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 (Amendment No.)</w:t>
      </w:r>
    </w:p>
    <w:p>
      <w:pPr>
        <w:spacing w:after="0" w:line="369"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7" w:lineRule="exact"/>
        <w:rPr>
          <w:sz w:val="24"/>
          <w:szCs w:val="24"/>
          <w:color w:val="auto"/>
        </w:rPr>
      </w:pPr>
    </w:p>
    <w:p>
      <w:pPr>
        <w:ind w:left="6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680" w:hanging="39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80" w:hanging="39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680" w:hanging="39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80" w:hanging="388"/>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680" w:hanging="395"/>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EDAP TMS S.A.</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2"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78" w:lineRule="exact"/>
        <w:rPr>
          <w:sz w:val="24"/>
          <w:szCs w:val="24"/>
          <w:color w:val="auto"/>
        </w:rPr>
      </w:pPr>
    </w:p>
    <w:p>
      <w:pPr>
        <w:ind w:left="60"/>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680" w:hanging="395"/>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395"/>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395"/>
        <w:spacing w:after="0"/>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779145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427990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EDAP TMS S.A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corporation with a capital of 4,907,697.47 euros</w:t>
      </w:r>
    </w:p>
    <w:p>
      <w:pPr>
        <w:jc w:val="center"/>
        <w:spacing w:after="0" w:line="234" w:lineRule="auto"/>
        <w:rPr>
          <w:sz w:val="20"/>
          <w:szCs w:val="20"/>
          <w:color w:val="auto"/>
        </w:rPr>
      </w:pPr>
      <w:r>
        <w:rPr>
          <w:rFonts w:ascii="Arial" w:cs="Arial" w:eastAsia="Arial" w:hAnsi="Arial"/>
          <w:sz w:val="18"/>
          <w:szCs w:val="18"/>
          <w:color w:val="auto"/>
        </w:rPr>
        <w:t>Headquarters: La Poudrette Lamartine Business Park</w:t>
      </w:r>
    </w:p>
    <w:p>
      <w:pPr>
        <w:jc w:val="center"/>
        <w:spacing w:after="0" w:line="235" w:lineRule="auto"/>
        <w:rPr>
          <w:sz w:val="20"/>
          <w:szCs w:val="20"/>
          <w:color w:val="auto"/>
        </w:rPr>
      </w:pPr>
      <w:r>
        <w:rPr>
          <w:rFonts w:ascii="Arial" w:cs="Arial" w:eastAsia="Arial" w:hAnsi="Arial"/>
          <w:sz w:val="18"/>
          <w:szCs w:val="18"/>
          <w:color w:val="auto"/>
        </w:rPr>
        <w:t>4, rue du Dauphiné</w:t>
      </w:r>
    </w:p>
    <w:p>
      <w:pPr>
        <w:jc w:val="center"/>
        <w:spacing w:after="0" w:line="235" w:lineRule="auto"/>
        <w:rPr>
          <w:sz w:val="20"/>
          <w:szCs w:val="20"/>
          <w:color w:val="auto"/>
        </w:rPr>
      </w:pPr>
      <w:r>
        <w:rPr>
          <w:rFonts w:ascii="Arial" w:cs="Arial" w:eastAsia="Arial" w:hAnsi="Arial"/>
          <w:sz w:val="18"/>
          <w:szCs w:val="18"/>
          <w:color w:val="auto"/>
        </w:rPr>
        <w:t>69120 Vaulx-en-Velin (France)</w:t>
      </w:r>
    </w:p>
    <w:p>
      <w:pPr>
        <w:jc w:val="center"/>
        <w:spacing w:after="0"/>
        <w:rPr>
          <w:sz w:val="20"/>
          <w:szCs w:val="20"/>
          <w:color w:val="auto"/>
        </w:rPr>
      </w:pPr>
      <w:r>
        <w:rPr>
          <w:rFonts w:ascii="Arial" w:cs="Arial" w:eastAsia="Arial" w:hAnsi="Arial"/>
          <w:sz w:val="18"/>
          <w:szCs w:val="18"/>
          <w:color w:val="auto"/>
        </w:rPr>
        <w:t>316 488 204 RCS Lyon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417830</wp:posOffset>
            </wp:positionV>
            <wp:extent cx="5743575"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35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REPORT OF THE BOARD OF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ANNUAL ORDINARY GENERAL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JUNE 26, 2026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THE ANNUAL STATUTORY AND CONSOLIDATED FINANCIAL STATEMENTS</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have convened this Annual General Meeting in accordance with the law and the Articles of Association, for the purpose, in particular, of presenting a report on the company’s business operations during the fiscal year ended December 31, 2025, and submitting the annual and consolidated financial statements for that fiscal year for your approval.</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addition, the reports of the co-auditors on the annual financial statements and the consolidated financial statements will be read aloud.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 - THE COMPANY’S BUSINESS PERFORMANCE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I.1 - The Company’s Activities During the Past Fiscal Year</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Revenue for the year 2025, which for the Company primarily reflects its role in managing and administering the group comprising the Company and its subsidiaries, amounted to 1,329,632 euros, compared to 1,287,273 euros for the 2024 fiscal year.</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Company’s net income resulted in an accounting loss of (3,582,723) euros as of December 31, 2025, compared to an accounting profit of 1,066,614 euros as of December 31, 2024.</w:t>
      </w:r>
    </w:p>
    <w:p>
      <w:pPr>
        <w:spacing w:after="0" w:line="15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Please note that the Group’s consolidated revenue, prepared in accordance with U.S. GAAP and IFRS, amounted to €62.4 million in 2025.</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December 31, 2025, the Group reported a consolidated net loss of (25.9) million euros in the financial statements prepared in accordance with U.S. GAAP and IFRS.</w:t>
      </w:r>
    </w:p>
    <w:p>
      <w:pPr>
        <w:spacing w:after="0" w:line="154" w:lineRule="exact"/>
        <w:rPr>
          <w:sz w:val="20"/>
          <w:szCs w:val="20"/>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loss of (21.9) million euros,</w:t>
      </w:r>
    </w:p>
    <w:p>
      <w:pPr>
        <w:spacing w:after="0" w:line="211" w:lineRule="exact"/>
        <w:rPr>
          <w:rFonts w:ascii="Arial" w:cs="Arial" w:eastAsia="Arial" w:hAnsi="Arial"/>
          <w:sz w:val="18"/>
          <w:szCs w:val="18"/>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financial loss of (2.8) million euros,</w:t>
      </w:r>
    </w:p>
    <w:p>
      <w:pPr>
        <w:spacing w:after="0" w:line="211" w:lineRule="exact"/>
        <w:rPr>
          <w:rFonts w:ascii="Arial" w:cs="Arial" w:eastAsia="Arial" w:hAnsi="Arial"/>
          <w:sz w:val="18"/>
          <w:szCs w:val="18"/>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negative foreign exchange impact of (0.89) million euros,</w:t>
      </w:r>
    </w:p>
    <w:p>
      <w:pPr>
        <w:spacing w:after="0" w:line="211" w:lineRule="exact"/>
        <w:rPr>
          <w:rFonts w:ascii="Arial" w:cs="Arial" w:eastAsia="Arial" w:hAnsi="Arial"/>
          <w:sz w:val="18"/>
          <w:szCs w:val="18"/>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negative tax impact of (0.39) million euros.</w:t>
      </w:r>
    </w:p>
    <w:p>
      <w:pPr>
        <w:spacing w:after="0" w:line="239"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 w:name="page3"/>
    <w:bookmarkEnd w:id="2"/>
    <w:p>
      <w:pPr>
        <w:ind w:left="2040"/>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I.2 - Changes in the financial position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2025, the consolidated net cash position stood at €17.4 million.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I.3 – Progress Made or Challenges Encountered</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On March 26, 2025, the Focal One Robotic HIFU system received the CE mark, issued by the notified body GMED, for the treatment of deep rectal endometriosis.</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On April 24, 2025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Company announced the launch of the new </w:t>
      </w:r>
      <w:r>
        <w:rPr>
          <w:rFonts w:ascii="Arial" w:cs="Arial" w:eastAsia="Arial" w:hAnsi="Arial"/>
          <w:sz w:val="18"/>
          <w:szCs w:val="18"/>
          <w:b w:val="1"/>
          <w:bCs w:val="1"/>
          <w:color w:val="auto"/>
        </w:rPr>
        <w:t>Focal One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w:t>
      </w:r>
      <w:r>
        <w:rPr>
          <w:rFonts w:ascii="Arial" w:cs="Arial" w:eastAsia="Arial" w:hAnsi="Arial"/>
          <w:sz w:val="18"/>
          <w:szCs w:val="18"/>
          <w:color w:val="auto"/>
        </w:rPr>
        <w:t xml:space="preserve"> robotic </w:t>
      </w:r>
      <w:r>
        <w:rPr>
          <w:rFonts w:ascii="Arial" w:cs="Arial" w:eastAsia="Arial" w:hAnsi="Arial"/>
          <w:sz w:val="18"/>
          <w:szCs w:val="18"/>
          <w:b w:val="1"/>
          <w:bCs w:val="1"/>
          <w:color w:val="auto"/>
        </w:rPr>
        <w:t>HIFU</w:t>
      </w:r>
      <w:r>
        <w:rPr>
          <w:rFonts w:ascii="Arial" w:cs="Arial" w:eastAsia="Arial" w:hAnsi="Arial"/>
          <w:sz w:val="18"/>
          <w:szCs w:val="18"/>
          <w:color w:val="auto"/>
        </w:rPr>
        <w:t xml:space="preserve"> system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featuring new functionalities.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1, 2025, the Company announced that, effective January 1, 2026, EDAP would become a “U.S. Domestic Filer” and would be required to comply with U.S. SEC reporting rules, like any U.S. company listed in the United States.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October 20, 2025, the Company announced the conclusion of a €36 million credit facility with the European Investment Bank (EIB). The proceeds from this financing will support development programs for the HIFU Focal One robotic system in the field of focal therapy, while accelerating the launches of new clinical indications. The Company received €11 million as the first tranche of the BSA in the fourth quarter of 2025.</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November 20, 2025, the Company announced that it had received 510(k) clearance from the U.S. Food and Drug Administration (FDA) for new improvements in ultrasound imaging integrated into our Focal One HIFU system.</w:t>
      </w:r>
    </w:p>
    <w:p>
      <w:pPr>
        <w:spacing w:after="0" w:line="16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u w:val="single" w:color="auto"/>
          <w:color w:val="auto"/>
        </w:rPr>
        <w:t>I.4 - Objective and comprehensive analysis of the Company’s business development, results, and financial position, particularly its debt situation, in light of the volume and complexity of its operations. Key financial performance indicators.</w:t>
      </w:r>
    </w:p>
    <w:p>
      <w:pPr>
        <w:spacing w:after="0" w:line="15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December 31, 2025, the holding company has a net financial receivable of €10.9 million from its French subsidiary. There are no particular complexities in the management of its business.</w:t>
      </w:r>
    </w:p>
    <w:p>
      <w:pPr>
        <w:spacing w:after="0" w:line="154"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u w:val="single" w:color="auto"/>
          <w:color w:val="auto"/>
        </w:rPr>
        <w:t>I.5 - Description of the main risks and uncertainties facing the company (financial, social, environmental: existence of pollution, significant debt, loss of profitability, insolvency)</w:t>
      </w:r>
    </w:p>
    <w:p>
      <w:pPr>
        <w:spacing w:after="0" w:line="13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company’s future growth depends in particular on the implementation of its strategy, which relies heavily on the success of HIFU technology.</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Current market trends allow for optimism regarding future sales, thanks in particular to the growth of our installed base, the increase in the number of treatments, HIFU publications, and regulatory progress regarding the treatment of rectal endometriosis using HIFU.</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recorded operating losses in the past and expects these losses to continue for the foreseeable future. As of December 31, 2025, the Company had €17.4 million in cash and cash equivalents, a decrease of €9 million compared to December 31, 2024. The Company intends to draw on Tranche B of its credit facility with the European Investment Bank (“EIB”) in the amount of € 12 million in April 2026, as it believes it meets or will be able to meet all conditions precedent to the drawdown of this second tranche as of the date of publication of these financial statements. With these additional funds, the Company believes it will have sufficient resources to finance its operations for at least a twelve-month period from the date of publication of these consolidated financial statements.</w:t>
      </w:r>
    </w:p>
    <w:p>
      <w:pPr>
        <w:spacing w:after="0" w:line="208"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However, the Company will need to raise significant additional funds to meet its cash flow needs in the coming period and until it becomes profitable. The Company may be unable to raise additional funds on acceptable terms, or may be unable to raise them at all, which could, in the future, raise uncertainties regarding its ability to continue as a going concern. Management is actively exploring various alternatives, including seeking additional financing in the debt and equity capital markets, cost-cutting measures, and restructuring opportunities, but there is no guarantee that these efforts will succeed or be sufficient to resolve these liquidity issues. If the Company is unable to raise capital on acceptable terms when it needs it, or if it fails to raise any capital at all, it may be forced to restructure its operations or delay, reduce, or terminate its product research and development programs, future commercialization efforts, or other operations.</w:t>
      </w:r>
    </w:p>
    <w:p>
      <w:pPr>
        <w:spacing w:after="0" w:line="183"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b w:val="1"/>
          <w:bCs w:val="1"/>
          <w:u w:val="single" w:color="auto"/>
          <w:color w:val="auto"/>
        </w:rPr>
        <w:t>I.6 - Where relevant to the assessment of its assets, liabilities, financial position, and profit or loss, disclosures regarding its objectives and policies for hedging each major category of forecast transactions for which hedge accounting is used, as well as its exposure to price, credit, liquidity, and cash flow risks. This information must include the company’s use of financial instruments.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u w:val="single" w:color="auto"/>
          <w:color w:val="auto"/>
        </w:rPr>
        <w:t>I.7 - The Company’s financial position in light of its debt situation and the volume and complexity of its business, Article L.225-100 of the Commercial Code</w:t>
      </w:r>
    </w:p>
    <w:p>
      <w:pPr>
        <w:spacing w:after="0" w:line="13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October 17, 2025, we requested the drawdown of Tranche A of the EIB loan and issued 2,624,421 Tranche A stock subscription warrants (BSA) to the EIB. Each Tranche A stock subscription warrant entitles the EIB, upon exercise, to subscribe for one common share. However, the EIB’s exercise of this right will likely result in the future not in the issuance of common shares, but in a net cash payment, the amount of which will be indexed to the average share price over the 90 days preceding the exercise date as well as the euro/dollar exchange rate on that date. At the date of issuance of the warrants, a liability was therefore recognized at their fair value of €4,494k, offset by redemption premiums amortized on a straight-line basis over five years. At the 2025 year-end, this liability was written down to its intrinsic value of €3,386k, with a corresponding entry in the translation adjustment account under liabilities (presented under Other Liabilities). The financing for Tranche A, in the amount of €11.0 million, was disbursed by the EIB in early November 2025. The Tranche A loans will mature five years after the disbursement date. Interest on Tranche A will be payable on the maturity date and will be capitalized annually by increasing the principal of Tranche A. Interest will accrue on Tranche A at a fixed rate of 8% per annum.</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a new loan in the amount of € 367,000 related to the financing of the 2024 CIR was contracted this year for the fiscal year ended 2025, which is in addition to the €329,000 loan related to the financing of the 2023 CIR that had been contracted by the company for the fiscal year ended December 31,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I.8 - Significant events since the end of the fiscal year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I.9 - Forecast and Outlook</w:t>
      </w:r>
    </w:p>
    <w:p>
      <w:pPr>
        <w:spacing w:after="0" w:line="212" w:lineRule="exact"/>
        <w:rPr>
          <w:sz w:val="20"/>
          <w:szCs w:val="20"/>
          <w:color w:val="auto"/>
        </w:rPr>
      </w:pPr>
    </w:p>
    <w:p>
      <w:pPr>
        <w:ind w:left="60" w:right="219"/>
        <w:spacing w:after="0" w:line="505" w:lineRule="auto"/>
        <w:rPr>
          <w:sz w:val="20"/>
          <w:szCs w:val="20"/>
          <w:color w:val="auto"/>
        </w:rPr>
      </w:pPr>
      <w:r>
        <w:rPr>
          <w:rFonts w:ascii="Arial" w:cs="Arial" w:eastAsia="Arial" w:hAnsi="Arial"/>
          <w:sz w:val="17"/>
          <w:szCs w:val="17"/>
          <w:color w:val="auto"/>
        </w:rPr>
        <w:t xml:space="preserve">As a holding company, we refer you to our comments below regarding the “Group’s future outlook and trends.” </w:t>
      </w:r>
      <w:r>
        <w:rPr>
          <w:rFonts w:ascii="Arial" w:cs="Arial" w:eastAsia="Arial" w:hAnsi="Arial"/>
          <w:sz w:val="17"/>
          <w:szCs w:val="17"/>
          <w:b w:val="1"/>
          <w:bCs w:val="1"/>
          <w:u w:val="single" w:color="auto"/>
          <w:color w:val="auto"/>
        </w:rPr>
        <w:t>II - PRESENTATION OF THE ANNUAL FINANCIAL STATEMENTS - APPROPRIATION OF EARNINGS</w:t>
      </w:r>
    </w:p>
    <w:p>
      <w:pPr>
        <w:spacing w:after="0" w:line="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accounting presentation rules comply with current regulations and are identical to those of the previous fiscal year. You will find all additional explanations in the notes.</w:t>
      </w:r>
    </w:p>
    <w:p>
      <w:pPr>
        <w:spacing w:after="0" w:line="181"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2040"/>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figures as of December 31, 2025,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0" w:type="dxa"/>
            <w:vAlign w:val="bottom"/>
            <w:gridSpan w:val="2"/>
          </w:tcPr>
          <w:p>
            <w:pPr>
              <w:ind w:left="136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12/31/2025</w:t>
            </w:r>
          </w:p>
        </w:tc>
        <w:tc>
          <w:tcPr>
            <w:tcW w:w="300" w:type="dxa"/>
            <w:vAlign w:val="bottom"/>
            <w:gridSpan w:val="3"/>
          </w:tcPr>
          <w:p>
            <w:pPr>
              <w:ind w:left="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12/31/2024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Borders>
              <w:top w:val="single" w:sz="8" w:color="E6F3FA"/>
            </w:tcBorders>
            <w:shd w:val="clear" w:color="auto" w:fill="E6F3FA"/>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tcBorders>
              <w:top w:val="single" w:sz="8" w:color="E6F3FA"/>
            </w:tcBorders>
            <w:shd w:val="clear" w:color="auto" w:fill="E6F3FA"/>
          </w:tcPr>
          <w:p>
            <w:pPr>
              <w:ind w:left="280"/>
              <w:spacing w:after="0" w:line="183" w:lineRule="exact"/>
              <w:rPr>
                <w:sz w:val="20"/>
                <w:szCs w:val="20"/>
                <w:color w:val="auto"/>
              </w:rPr>
            </w:pPr>
            <w:r>
              <w:rPr>
                <w:rFonts w:ascii="Arial" w:cs="Arial" w:eastAsia="Arial" w:hAnsi="Arial"/>
                <w:sz w:val="16"/>
                <w:szCs w:val="16"/>
                <w:color w:val="auto"/>
              </w:rPr>
              <w:t>Revenue amounts to</w:t>
            </w:r>
          </w:p>
        </w:tc>
        <w:tc>
          <w:tcPr>
            <w:tcW w:w="1480" w:type="dxa"/>
            <w:vAlign w:val="bottom"/>
            <w:tcBorders>
              <w:top w:val="single" w:sz="8" w:color="E6F3FA"/>
            </w:tcBorders>
            <w:shd w:val="clear" w:color="auto" w:fill="E6F3FA"/>
          </w:tcPr>
          <w:p>
            <w:pPr>
              <w:spacing w:after="0"/>
              <w:rPr>
                <w:sz w:val="15"/>
                <w:szCs w:val="15"/>
                <w:color w:val="auto"/>
              </w:rPr>
            </w:pPr>
          </w:p>
        </w:tc>
        <w:tc>
          <w:tcPr>
            <w:tcW w:w="120" w:type="dxa"/>
            <w:vAlign w:val="bottom"/>
            <w:tcBorders>
              <w:top w:val="single" w:sz="8" w:color="auto"/>
            </w:tcBorders>
            <w:shd w:val="clear" w:color="auto" w:fill="E6F3FA"/>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1,329,632</w:t>
            </w:r>
          </w:p>
        </w:tc>
        <w:tc>
          <w:tcPr>
            <w:tcW w:w="200" w:type="dxa"/>
            <w:vAlign w:val="bottom"/>
            <w:tcBorders>
              <w:top w:val="single" w:sz="8" w:color="E6F3FA"/>
            </w:tcBorders>
            <w:shd w:val="clear" w:color="auto" w:fill="E6F3FA"/>
          </w:tcPr>
          <w:p>
            <w:pPr>
              <w:spacing w:after="0"/>
              <w:rPr>
                <w:sz w:val="15"/>
                <w:szCs w:val="15"/>
                <w:color w:val="auto"/>
              </w:rPr>
            </w:pPr>
          </w:p>
        </w:tc>
        <w:tc>
          <w:tcPr>
            <w:tcW w:w="20" w:type="dxa"/>
            <w:vAlign w:val="bottom"/>
            <w:tcBorders>
              <w:top w:val="single" w:sz="8" w:color="E6F3FA"/>
            </w:tcBorders>
            <w:shd w:val="clear" w:color="auto" w:fill="E6F3FA"/>
          </w:tcPr>
          <w:p>
            <w:pPr>
              <w:spacing w:after="0"/>
              <w:rPr>
                <w:sz w:val="15"/>
                <w:szCs w:val="15"/>
                <w:color w:val="auto"/>
              </w:rPr>
            </w:pPr>
          </w:p>
        </w:tc>
        <w:tc>
          <w:tcPr>
            <w:tcW w:w="80" w:type="dxa"/>
            <w:vAlign w:val="bottom"/>
            <w:tcBorders>
              <w:top w:val="single" w:sz="8" w:color="auto"/>
            </w:tcBorders>
            <w:shd w:val="clear" w:color="auto" w:fill="E6F3FA"/>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1,287,273</w:t>
            </w:r>
          </w:p>
        </w:tc>
        <w:tc>
          <w:tcPr>
            <w:tcW w:w="60" w:type="dxa"/>
            <w:vAlign w:val="bottom"/>
            <w:tcBorders>
              <w:top w:val="single" w:sz="8" w:color="E6F3FA"/>
            </w:tcBorders>
            <w:shd w:val="clear" w:color="auto" w:fill="E6F3FA"/>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E6F3FA"/>
          </w:tcPr>
          <w:p>
            <w:pPr>
              <w:spacing w:after="0"/>
              <w:rPr>
                <w:sz w:val="20"/>
                <w:szCs w:val="20"/>
                <w:color w:val="auto"/>
              </w:rPr>
            </w:pPr>
            <w:r>
              <w:rPr>
                <w:rFonts w:ascii="Arial" w:cs="Arial" w:eastAsia="Arial" w:hAnsi="Arial"/>
                <w:sz w:val="16"/>
                <w:szCs w:val="16"/>
                <w:b w:val="1"/>
                <w:bCs w:val="1"/>
                <w:color w:val="auto"/>
              </w:rPr>
              <w:t>·</w:t>
            </w:r>
          </w:p>
        </w:tc>
        <w:tc>
          <w:tcPr>
            <w:tcW w:w="4620" w:type="dxa"/>
            <w:vAlign w:val="bottom"/>
            <w:shd w:val="clear" w:color="auto" w:fill="E6F3FA"/>
          </w:tcPr>
          <w:p>
            <w:pPr>
              <w:ind w:left="280"/>
              <w:spacing w:after="0"/>
              <w:rPr>
                <w:sz w:val="20"/>
                <w:szCs w:val="20"/>
                <w:color w:val="auto"/>
              </w:rPr>
            </w:pPr>
            <w:r>
              <w:rPr>
                <w:rFonts w:ascii="Arial" w:cs="Arial" w:eastAsia="Arial" w:hAnsi="Arial"/>
                <w:sz w:val="16"/>
                <w:szCs w:val="16"/>
                <w:color w:val="auto"/>
              </w:rPr>
              <w:t>Total operating revenue amounts to</w:t>
            </w:r>
          </w:p>
        </w:tc>
        <w:tc>
          <w:tcPr>
            <w:tcW w:w="1600" w:type="dxa"/>
            <w:vAlign w:val="bottom"/>
            <w:gridSpan w:val="2"/>
            <w:shd w:val="clear" w:color="auto" w:fill="E6F3FA"/>
          </w:tcPr>
          <w:p>
            <w:pPr>
              <w:ind w:left="1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F3FA"/>
          </w:tcPr>
          <w:p>
            <w:pPr>
              <w:jc w:val="right"/>
              <w:spacing w:after="0"/>
              <w:rPr>
                <w:sz w:val="20"/>
                <w:szCs w:val="20"/>
                <w:color w:val="auto"/>
              </w:rPr>
            </w:pPr>
            <w:r>
              <w:rPr>
                <w:rFonts w:ascii="Arial" w:cs="Arial" w:eastAsia="Arial" w:hAnsi="Arial"/>
                <w:sz w:val="16"/>
                <w:szCs w:val="16"/>
                <w:color w:val="auto"/>
              </w:rPr>
              <w:t>1,458,833</w:t>
            </w:r>
          </w:p>
        </w:tc>
        <w:tc>
          <w:tcPr>
            <w:tcW w:w="200" w:type="dxa"/>
            <w:vAlign w:val="bottom"/>
            <w:shd w:val="clear" w:color="auto" w:fill="E6F3FA"/>
          </w:tcPr>
          <w:p>
            <w:pPr>
              <w:spacing w:after="0"/>
              <w:rPr>
                <w:sz w:val="17"/>
                <w:szCs w:val="17"/>
                <w:color w:val="auto"/>
              </w:rPr>
            </w:pPr>
          </w:p>
        </w:tc>
        <w:tc>
          <w:tcPr>
            <w:tcW w:w="100" w:type="dxa"/>
            <w:vAlign w:val="bottom"/>
            <w:gridSpan w:val="2"/>
            <w:shd w:val="clear" w:color="auto" w:fill="E6F3FA"/>
          </w:tcPr>
          <w:p>
            <w:pP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6F3FA"/>
          </w:tcPr>
          <w:p>
            <w:pPr>
              <w:jc w:val="right"/>
              <w:spacing w:after="0"/>
              <w:rPr>
                <w:sz w:val="20"/>
                <w:szCs w:val="20"/>
                <w:color w:val="auto"/>
              </w:rPr>
            </w:pPr>
            <w:r>
              <w:rPr>
                <w:rFonts w:ascii="Arial" w:cs="Arial" w:eastAsia="Arial" w:hAnsi="Arial"/>
                <w:sz w:val="16"/>
                <w:szCs w:val="16"/>
                <w:color w:val="auto"/>
              </w:rPr>
              <w:t>1,756,358</w:t>
            </w:r>
          </w:p>
        </w:tc>
        <w:tc>
          <w:tcPr>
            <w:tcW w:w="60" w:type="dxa"/>
            <w:vAlign w:val="bottom"/>
            <w:shd w:val="clear" w:color="auto" w:fill="E6F3FA"/>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Borders>
              <w:bottom w:val="single" w:sz="8" w:color="E6F3FA"/>
            </w:tcBorders>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tcBorders>
              <w:bottom w:val="single" w:sz="8" w:color="E6F3FA"/>
            </w:tcBorders>
          </w:tcPr>
          <w:p>
            <w:pPr>
              <w:ind w:left="280"/>
              <w:spacing w:after="0" w:line="183" w:lineRule="exact"/>
              <w:rPr>
                <w:sz w:val="20"/>
                <w:szCs w:val="20"/>
                <w:color w:val="auto"/>
              </w:rPr>
            </w:pPr>
            <w:r>
              <w:rPr>
                <w:rFonts w:ascii="Arial" w:cs="Arial" w:eastAsia="Arial" w:hAnsi="Arial"/>
                <w:sz w:val="16"/>
                <w:szCs w:val="16"/>
                <w:color w:val="auto"/>
              </w:rPr>
              <w:t>Total operating expenses amount to</w:t>
            </w:r>
          </w:p>
        </w:tc>
        <w:tc>
          <w:tcPr>
            <w:tcW w:w="1480" w:type="dxa"/>
            <w:vAlign w:val="bottom"/>
            <w:tcBorders>
              <w:bottom w:val="single" w:sz="8" w:color="E6F3FA"/>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4,314,798</w:t>
            </w:r>
          </w:p>
        </w:tc>
        <w:tc>
          <w:tcPr>
            <w:tcW w:w="200" w:type="dxa"/>
            <w:vAlign w:val="bottom"/>
            <w:tcBorders>
              <w:bottom w:val="single" w:sz="8" w:color="E6F3FA"/>
            </w:tcBorders>
          </w:tcPr>
          <w:p>
            <w:pPr>
              <w:spacing w:after="0"/>
              <w:rPr>
                <w:sz w:val="15"/>
                <w:szCs w:val="15"/>
                <w:color w:val="auto"/>
              </w:rPr>
            </w:pPr>
          </w:p>
        </w:tc>
        <w:tc>
          <w:tcPr>
            <w:tcW w:w="20" w:type="dxa"/>
            <w:vAlign w:val="bottom"/>
            <w:tcBorders>
              <w:bottom w:val="single" w:sz="8" w:color="E6F3FA"/>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4,028,958</w:t>
            </w:r>
          </w:p>
        </w:tc>
        <w:tc>
          <w:tcPr>
            <w:tcW w:w="60" w:type="dxa"/>
            <w:vAlign w:val="bottom"/>
            <w:tcBorders>
              <w:bottom w:val="single" w:sz="8" w:color="E6F3FA"/>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shd w:val="clear" w:color="auto" w:fill="E6F3FA"/>
          </w:tcPr>
          <w:p>
            <w:pPr>
              <w:spacing w:after="0" w:line="183" w:lineRule="exact"/>
              <w:rPr>
                <w:sz w:val="20"/>
                <w:szCs w:val="20"/>
                <w:color w:val="auto"/>
              </w:rPr>
            </w:pPr>
            <w:r>
              <w:rPr>
                <w:rFonts w:ascii="Arial" w:cs="Arial" w:eastAsia="Arial" w:hAnsi="Arial"/>
                <w:sz w:val="16"/>
                <w:szCs w:val="16"/>
                <w:color w:val="auto"/>
              </w:rPr>
              <w:t>Resulting in an operating profit of</w:t>
            </w:r>
          </w:p>
        </w:tc>
        <w:tc>
          <w:tcPr>
            <w:tcW w:w="1480" w:type="dxa"/>
            <w:vAlign w:val="bottom"/>
            <w:shd w:val="clear" w:color="auto" w:fill="E6F3FA"/>
          </w:tcPr>
          <w:p>
            <w:pPr>
              <w:spacing w:after="0"/>
              <w:rPr>
                <w:sz w:val="15"/>
                <w:szCs w:val="15"/>
                <w:color w:val="auto"/>
              </w:rPr>
            </w:pPr>
          </w:p>
        </w:tc>
        <w:tc>
          <w:tcPr>
            <w:tcW w:w="120" w:type="dxa"/>
            <w:vAlign w:val="bottom"/>
            <w:shd w:val="clear" w:color="auto" w:fill="E6F3FA"/>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6F3FA"/>
          </w:tcPr>
          <w:p>
            <w:pPr>
              <w:jc w:val="right"/>
              <w:spacing w:after="0" w:line="183" w:lineRule="exact"/>
              <w:rPr>
                <w:sz w:val="20"/>
                <w:szCs w:val="20"/>
                <w:color w:val="auto"/>
              </w:rPr>
            </w:pPr>
            <w:r>
              <w:rPr>
                <w:rFonts w:ascii="Arial" w:cs="Arial" w:eastAsia="Arial" w:hAnsi="Arial"/>
                <w:sz w:val="16"/>
                <w:szCs w:val="16"/>
                <w:color w:val="auto"/>
              </w:rPr>
              <w:t>(2,855,965)</w:t>
            </w:r>
          </w:p>
        </w:tc>
        <w:tc>
          <w:tcPr>
            <w:tcW w:w="200" w:type="dxa"/>
            <w:vAlign w:val="bottom"/>
            <w:shd w:val="clear" w:color="auto" w:fill="E6F3FA"/>
          </w:tcPr>
          <w:p>
            <w:pPr>
              <w:spacing w:after="0"/>
              <w:rPr>
                <w:sz w:val="15"/>
                <w:szCs w:val="15"/>
                <w:color w:val="auto"/>
              </w:rPr>
            </w:pPr>
          </w:p>
        </w:tc>
        <w:tc>
          <w:tcPr>
            <w:tcW w:w="20" w:type="dxa"/>
            <w:vAlign w:val="bottom"/>
            <w:shd w:val="clear" w:color="auto" w:fill="E6F3FA"/>
          </w:tcPr>
          <w:p>
            <w:pPr>
              <w:spacing w:after="0"/>
              <w:rPr>
                <w:sz w:val="15"/>
                <w:szCs w:val="15"/>
                <w:color w:val="auto"/>
              </w:rPr>
            </w:pPr>
          </w:p>
        </w:tc>
        <w:tc>
          <w:tcPr>
            <w:tcW w:w="80" w:type="dxa"/>
            <w:vAlign w:val="bottom"/>
            <w:shd w:val="clear" w:color="auto" w:fill="E6F3FA"/>
          </w:tcPr>
          <w:p>
            <w:pPr>
              <w:spacing w:after="0"/>
              <w:rPr>
                <w:sz w:val="15"/>
                <w:szCs w:val="15"/>
                <w:color w:val="auto"/>
              </w:rPr>
            </w:pPr>
          </w:p>
        </w:tc>
        <w:tc>
          <w:tcPr>
            <w:tcW w:w="940" w:type="dxa"/>
            <w:vAlign w:val="bottom"/>
            <w:shd w:val="clear" w:color="auto" w:fill="E6F3FA"/>
          </w:tcPr>
          <w:p>
            <w:pPr>
              <w:jc w:val="right"/>
              <w:spacing w:after="0" w:line="183" w:lineRule="exact"/>
              <w:rPr>
                <w:sz w:val="20"/>
                <w:szCs w:val="20"/>
                <w:color w:val="auto"/>
              </w:rPr>
            </w:pPr>
            <w:r>
              <w:rPr>
                <w:rFonts w:ascii="Arial" w:cs="Arial" w:eastAsia="Arial" w:hAnsi="Arial"/>
                <w:sz w:val="16"/>
                <w:szCs w:val="16"/>
                <w:color w:val="auto"/>
              </w:rPr>
              <w:t>(2,272,600)</w:t>
            </w:r>
          </w:p>
        </w:tc>
        <w:tc>
          <w:tcPr>
            <w:tcW w:w="60" w:type="dxa"/>
            <w:vAlign w:val="bottom"/>
            <w:shd w:val="clear" w:color="auto" w:fill="E6F3FA"/>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E6F3FA"/>
          </w:tcPr>
          <w:p>
            <w:pPr>
              <w:spacing w:after="0"/>
              <w:rPr>
                <w:sz w:val="20"/>
                <w:szCs w:val="20"/>
                <w:color w:val="auto"/>
              </w:rPr>
            </w:pPr>
            <w:r>
              <w:rPr>
                <w:rFonts w:ascii="Arial" w:cs="Arial" w:eastAsia="Arial" w:hAnsi="Arial"/>
                <w:sz w:val="16"/>
                <w:szCs w:val="16"/>
                <w:b w:val="1"/>
                <w:bCs w:val="1"/>
                <w:color w:val="auto"/>
              </w:rPr>
              <w:t>·</w:t>
            </w:r>
          </w:p>
        </w:tc>
        <w:tc>
          <w:tcPr>
            <w:tcW w:w="4620" w:type="dxa"/>
            <w:vAlign w:val="bottom"/>
            <w:shd w:val="clear" w:color="auto" w:fill="E6F3FA"/>
          </w:tcPr>
          <w:p>
            <w:pPr>
              <w:ind w:left="280"/>
              <w:spacing w:after="0"/>
              <w:rPr>
                <w:sz w:val="20"/>
                <w:szCs w:val="20"/>
                <w:color w:val="auto"/>
              </w:rPr>
            </w:pPr>
            <w:r>
              <w:rPr>
                <w:rFonts w:ascii="Arial" w:cs="Arial" w:eastAsia="Arial" w:hAnsi="Arial"/>
                <w:sz w:val="16"/>
                <w:szCs w:val="16"/>
                <w:color w:val="auto"/>
              </w:rPr>
              <w:t>Total financial income amounts to</w:t>
            </w:r>
          </w:p>
        </w:tc>
        <w:tc>
          <w:tcPr>
            <w:tcW w:w="1600" w:type="dxa"/>
            <w:vAlign w:val="bottom"/>
            <w:gridSpan w:val="2"/>
            <w:shd w:val="clear" w:color="auto" w:fill="E6F3FA"/>
          </w:tcPr>
          <w:p>
            <w:pPr>
              <w:ind w:left="1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F3FA"/>
          </w:tcPr>
          <w:p>
            <w:pPr>
              <w:jc w:val="right"/>
              <w:spacing w:after="0"/>
              <w:rPr>
                <w:sz w:val="20"/>
                <w:szCs w:val="20"/>
                <w:color w:val="auto"/>
              </w:rPr>
            </w:pPr>
            <w:r>
              <w:rPr>
                <w:rFonts w:ascii="Arial" w:cs="Arial" w:eastAsia="Arial" w:hAnsi="Arial"/>
                <w:sz w:val="16"/>
                <w:szCs w:val="16"/>
                <w:color w:val="auto"/>
              </w:rPr>
              <w:t>1,288,723</w:t>
            </w:r>
          </w:p>
        </w:tc>
        <w:tc>
          <w:tcPr>
            <w:tcW w:w="200" w:type="dxa"/>
            <w:vAlign w:val="bottom"/>
            <w:shd w:val="clear" w:color="auto" w:fill="E6F3FA"/>
          </w:tcPr>
          <w:p>
            <w:pPr>
              <w:spacing w:after="0"/>
              <w:rPr>
                <w:sz w:val="17"/>
                <w:szCs w:val="17"/>
                <w:color w:val="auto"/>
              </w:rPr>
            </w:pPr>
          </w:p>
        </w:tc>
        <w:tc>
          <w:tcPr>
            <w:tcW w:w="100" w:type="dxa"/>
            <w:vAlign w:val="bottom"/>
            <w:gridSpan w:val="2"/>
            <w:shd w:val="clear" w:color="auto" w:fill="E6F3FA"/>
          </w:tcPr>
          <w:p>
            <w:pP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6F3FA"/>
          </w:tcPr>
          <w:p>
            <w:pPr>
              <w:jc w:val="right"/>
              <w:spacing w:after="0"/>
              <w:rPr>
                <w:sz w:val="20"/>
                <w:szCs w:val="20"/>
                <w:color w:val="auto"/>
              </w:rPr>
            </w:pPr>
            <w:r>
              <w:rPr>
                <w:rFonts w:ascii="Arial" w:cs="Arial" w:eastAsia="Arial" w:hAnsi="Arial"/>
                <w:sz w:val="16"/>
                <w:szCs w:val="16"/>
                <w:color w:val="auto"/>
              </w:rPr>
              <w:t>3,763,436</w:t>
            </w:r>
          </w:p>
        </w:tc>
        <w:tc>
          <w:tcPr>
            <w:tcW w:w="60" w:type="dxa"/>
            <w:vAlign w:val="bottom"/>
            <w:shd w:val="clear" w:color="auto" w:fill="E6F3FA"/>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Borders>
              <w:bottom w:val="single" w:sz="8" w:color="E6F3FA"/>
            </w:tcBorders>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tcBorders>
              <w:bottom w:val="single" w:sz="8" w:color="E6F3FA"/>
            </w:tcBorders>
          </w:tcPr>
          <w:p>
            <w:pPr>
              <w:ind w:left="280"/>
              <w:spacing w:after="0" w:line="183" w:lineRule="exact"/>
              <w:rPr>
                <w:sz w:val="20"/>
                <w:szCs w:val="20"/>
                <w:color w:val="auto"/>
              </w:rPr>
            </w:pPr>
            <w:r>
              <w:rPr>
                <w:rFonts w:ascii="Arial" w:cs="Arial" w:eastAsia="Arial" w:hAnsi="Arial"/>
                <w:sz w:val="16"/>
                <w:szCs w:val="16"/>
                <w:color w:val="auto"/>
              </w:rPr>
              <w:t>Total financial expenses amount to</w:t>
            </w:r>
          </w:p>
        </w:tc>
        <w:tc>
          <w:tcPr>
            <w:tcW w:w="1480" w:type="dxa"/>
            <w:vAlign w:val="bottom"/>
            <w:tcBorders>
              <w:bottom w:val="single" w:sz="8" w:color="E6F3FA"/>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2,015,481</w:t>
            </w:r>
          </w:p>
        </w:tc>
        <w:tc>
          <w:tcPr>
            <w:tcW w:w="200" w:type="dxa"/>
            <w:vAlign w:val="bottom"/>
            <w:tcBorders>
              <w:bottom w:val="single" w:sz="8" w:color="E6F3FA"/>
            </w:tcBorders>
          </w:tcPr>
          <w:p>
            <w:pPr>
              <w:spacing w:after="0"/>
              <w:rPr>
                <w:sz w:val="15"/>
                <w:szCs w:val="15"/>
                <w:color w:val="auto"/>
              </w:rPr>
            </w:pPr>
          </w:p>
        </w:tc>
        <w:tc>
          <w:tcPr>
            <w:tcW w:w="20" w:type="dxa"/>
            <w:vAlign w:val="bottom"/>
            <w:tcBorders>
              <w:bottom w:val="single" w:sz="8" w:color="E6F3FA"/>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424,222</w:t>
            </w:r>
          </w:p>
        </w:tc>
        <w:tc>
          <w:tcPr>
            <w:tcW w:w="60" w:type="dxa"/>
            <w:vAlign w:val="bottom"/>
            <w:tcBorders>
              <w:bottom w:val="single" w:sz="8" w:color="E6F3FA"/>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shd w:val="clear" w:color="auto" w:fill="E6F3FA"/>
          </w:tcPr>
          <w:p>
            <w:pPr>
              <w:spacing w:after="0" w:line="183" w:lineRule="exact"/>
              <w:rPr>
                <w:sz w:val="20"/>
                <w:szCs w:val="20"/>
                <w:color w:val="auto"/>
              </w:rPr>
            </w:pPr>
            <w:r>
              <w:rPr>
                <w:rFonts w:ascii="Arial" w:cs="Arial" w:eastAsia="Arial" w:hAnsi="Arial"/>
                <w:sz w:val="16"/>
                <w:szCs w:val="16"/>
                <w:color w:val="auto"/>
              </w:rPr>
              <w:t>Resulting in a financial result of</w:t>
            </w:r>
          </w:p>
        </w:tc>
        <w:tc>
          <w:tcPr>
            <w:tcW w:w="1480" w:type="dxa"/>
            <w:vAlign w:val="bottom"/>
            <w:shd w:val="clear" w:color="auto" w:fill="E6F3FA"/>
          </w:tcPr>
          <w:p>
            <w:pPr>
              <w:spacing w:after="0"/>
              <w:rPr>
                <w:sz w:val="15"/>
                <w:szCs w:val="15"/>
                <w:color w:val="auto"/>
              </w:rPr>
            </w:pPr>
          </w:p>
        </w:tc>
        <w:tc>
          <w:tcPr>
            <w:tcW w:w="120" w:type="dxa"/>
            <w:vAlign w:val="bottom"/>
            <w:shd w:val="clear" w:color="auto" w:fill="E6F3FA"/>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6F3FA"/>
          </w:tcPr>
          <w:p>
            <w:pPr>
              <w:jc w:val="right"/>
              <w:spacing w:after="0" w:line="183" w:lineRule="exact"/>
              <w:rPr>
                <w:sz w:val="20"/>
                <w:szCs w:val="20"/>
                <w:color w:val="auto"/>
              </w:rPr>
            </w:pPr>
            <w:r>
              <w:rPr>
                <w:rFonts w:ascii="Arial" w:cs="Arial" w:eastAsia="Arial" w:hAnsi="Arial"/>
                <w:sz w:val="16"/>
                <w:szCs w:val="16"/>
                <w:color w:val="auto"/>
              </w:rPr>
              <w:t>(726,758)</w:t>
            </w:r>
          </w:p>
        </w:tc>
        <w:tc>
          <w:tcPr>
            <w:tcW w:w="200" w:type="dxa"/>
            <w:vAlign w:val="bottom"/>
            <w:shd w:val="clear" w:color="auto" w:fill="E6F3FA"/>
          </w:tcPr>
          <w:p>
            <w:pPr>
              <w:spacing w:after="0"/>
              <w:rPr>
                <w:sz w:val="15"/>
                <w:szCs w:val="15"/>
                <w:color w:val="auto"/>
              </w:rPr>
            </w:pPr>
          </w:p>
        </w:tc>
        <w:tc>
          <w:tcPr>
            <w:tcW w:w="20" w:type="dxa"/>
            <w:vAlign w:val="bottom"/>
            <w:shd w:val="clear" w:color="auto" w:fill="E6F3FA"/>
          </w:tcPr>
          <w:p>
            <w:pPr>
              <w:spacing w:after="0"/>
              <w:rPr>
                <w:sz w:val="15"/>
                <w:szCs w:val="15"/>
                <w:color w:val="auto"/>
              </w:rPr>
            </w:pPr>
          </w:p>
        </w:tc>
        <w:tc>
          <w:tcPr>
            <w:tcW w:w="80" w:type="dxa"/>
            <w:vAlign w:val="bottom"/>
            <w:shd w:val="clear" w:color="auto" w:fill="E6F3FA"/>
          </w:tcPr>
          <w:p>
            <w:pPr>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6F3FA"/>
          </w:tcPr>
          <w:p>
            <w:pPr>
              <w:jc w:val="right"/>
              <w:spacing w:after="0" w:line="183" w:lineRule="exact"/>
              <w:rPr>
                <w:sz w:val="20"/>
                <w:szCs w:val="20"/>
                <w:color w:val="auto"/>
              </w:rPr>
            </w:pPr>
            <w:r>
              <w:rPr>
                <w:rFonts w:ascii="Arial" w:cs="Arial" w:eastAsia="Arial" w:hAnsi="Arial"/>
                <w:sz w:val="16"/>
                <w:szCs w:val="16"/>
                <w:color w:val="auto"/>
              </w:rPr>
              <w:t>3,339,214</w:t>
            </w:r>
          </w:p>
        </w:tc>
        <w:tc>
          <w:tcPr>
            <w:tcW w:w="60" w:type="dxa"/>
            <w:vAlign w:val="bottom"/>
            <w:shd w:val="clear" w:color="auto" w:fill="E6F3FA"/>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E6F3FA"/>
          </w:tcPr>
          <w:p>
            <w:pPr>
              <w:spacing w:after="0"/>
              <w:rPr>
                <w:sz w:val="20"/>
                <w:szCs w:val="20"/>
                <w:color w:val="auto"/>
              </w:rPr>
            </w:pPr>
            <w:r>
              <w:rPr>
                <w:rFonts w:ascii="Arial" w:cs="Arial" w:eastAsia="Arial" w:hAnsi="Arial"/>
                <w:sz w:val="16"/>
                <w:szCs w:val="16"/>
                <w:b w:val="1"/>
                <w:bCs w:val="1"/>
                <w:color w:val="auto"/>
              </w:rPr>
              <w:t>·</w:t>
            </w:r>
          </w:p>
        </w:tc>
        <w:tc>
          <w:tcPr>
            <w:tcW w:w="4620" w:type="dxa"/>
            <w:vAlign w:val="bottom"/>
            <w:shd w:val="clear" w:color="auto" w:fill="E6F3FA"/>
          </w:tcPr>
          <w:p>
            <w:pPr>
              <w:ind w:left="280"/>
              <w:spacing w:after="0"/>
              <w:rPr>
                <w:sz w:val="20"/>
                <w:szCs w:val="20"/>
                <w:color w:val="auto"/>
              </w:rPr>
            </w:pPr>
            <w:r>
              <w:rPr>
                <w:rFonts w:ascii="Arial" w:cs="Arial" w:eastAsia="Arial" w:hAnsi="Arial"/>
                <w:sz w:val="16"/>
                <w:szCs w:val="16"/>
                <w:color w:val="auto"/>
              </w:rPr>
              <w:t>The pre-tax operating income is therefore</w:t>
            </w:r>
          </w:p>
        </w:tc>
        <w:tc>
          <w:tcPr>
            <w:tcW w:w="1600" w:type="dxa"/>
            <w:vAlign w:val="bottom"/>
            <w:gridSpan w:val="2"/>
            <w:shd w:val="clear" w:color="auto" w:fill="E6F3FA"/>
          </w:tcPr>
          <w:p>
            <w:pPr>
              <w:ind w:left="1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F3FA"/>
          </w:tcPr>
          <w:p>
            <w:pPr>
              <w:jc w:val="right"/>
              <w:spacing w:after="0"/>
              <w:rPr>
                <w:sz w:val="20"/>
                <w:szCs w:val="20"/>
                <w:color w:val="auto"/>
              </w:rPr>
            </w:pPr>
            <w:r>
              <w:rPr>
                <w:rFonts w:ascii="Arial" w:cs="Arial" w:eastAsia="Arial" w:hAnsi="Arial"/>
                <w:sz w:val="16"/>
                <w:szCs w:val="16"/>
                <w:color w:val="auto"/>
              </w:rPr>
              <w:t>(3,582,723)</w:t>
            </w:r>
          </w:p>
        </w:tc>
        <w:tc>
          <w:tcPr>
            <w:tcW w:w="200" w:type="dxa"/>
            <w:vAlign w:val="bottom"/>
            <w:shd w:val="clear" w:color="auto" w:fill="E6F3FA"/>
          </w:tcPr>
          <w:p>
            <w:pPr>
              <w:spacing w:after="0"/>
              <w:rPr>
                <w:sz w:val="17"/>
                <w:szCs w:val="17"/>
                <w:color w:val="auto"/>
              </w:rPr>
            </w:pPr>
          </w:p>
        </w:tc>
        <w:tc>
          <w:tcPr>
            <w:tcW w:w="100" w:type="dxa"/>
            <w:vAlign w:val="bottom"/>
            <w:gridSpan w:val="2"/>
            <w:shd w:val="clear" w:color="auto" w:fill="E6F3FA"/>
          </w:tcPr>
          <w:p>
            <w:pP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6F3FA"/>
          </w:tcPr>
          <w:p>
            <w:pPr>
              <w:jc w:val="right"/>
              <w:spacing w:after="0"/>
              <w:rPr>
                <w:sz w:val="20"/>
                <w:szCs w:val="20"/>
                <w:color w:val="auto"/>
              </w:rPr>
            </w:pPr>
            <w:r>
              <w:rPr>
                <w:rFonts w:ascii="Arial" w:cs="Arial" w:eastAsia="Arial" w:hAnsi="Arial"/>
                <w:sz w:val="16"/>
                <w:szCs w:val="16"/>
                <w:color w:val="auto"/>
              </w:rPr>
              <w:t>1,066,614</w:t>
            </w:r>
          </w:p>
        </w:tc>
        <w:tc>
          <w:tcPr>
            <w:tcW w:w="60" w:type="dxa"/>
            <w:vAlign w:val="bottom"/>
            <w:shd w:val="clear" w:color="auto" w:fill="E6F3FA"/>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Borders>
              <w:bottom w:val="single" w:sz="8" w:color="E6F3FA"/>
            </w:tcBorders>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tcBorders>
              <w:bottom w:val="single" w:sz="8" w:color="E6F3FA"/>
            </w:tcBorders>
          </w:tcPr>
          <w:p>
            <w:pPr>
              <w:ind w:left="280"/>
              <w:spacing w:after="0" w:line="183" w:lineRule="exact"/>
              <w:rPr>
                <w:sz w:val="20"/>
                <w:szCs w:val="20"/>
                <w:color w:val="auto"/>
              </w:rPr>
            </w:pPr>
            <w:r>
              <w:rPr>
                <w:rFonts w:ascii="Arial" w:cs="Arial" w:eastAsia="Arial" w:hAnsi="Arial"/>
                <w:sz w:val="16"/>
                <w:szCs w:val="16"/>
                <w:color w:val="auto"/>
              </w:rPr>
              <w:t>Total extraordinary income amounts to</w:t>
            </w:r>
          </w:p>
        </w:tc>
        <w:tc>
          <w:tcPr>
            <w:tcW w:w="1480" w:type="dxa"/>
            <w:vAlign w:val="bottom"/>
            <w:tcBorders>
              <w:bottom w:val="single" w:sz="8" w:color="E6F3FA"/>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w:t>
            </w:r>
          </w:p>
        </w:tc>
        <w:tc>
          <w:tcPr>
            <w:tcW w:w="200" w:type="dxa"/>
            <w:vAlign w:val="bottom"/>
            <w:tcBorders>
              <w:bottom w:val="single" w:sz="8" w:color="E6F3FA"/>
            </w:tcBorders>
          </w:tcPr>
          <w:p>
            <w:pPr>
              <w:spacing w:after="0"/>
              <w:rPr>
                <w:sz w:val="15"/>
                <w:szCs w:val="15"/>
                <w:color w:val="auto"/>
              </w:rPr>
            </w:pPr>
          </w:p>
        </w:tc>
        <w:tc>
          <w:tcPr>
            <w:tcW w:w="20" w:type="dxa"/>
            <w:vAlign w:val="bottom"/>
            <w:tcBorders>
              <w:bottom w:val="single" w:sz="8" w:color="E6F3FA"/>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w:t>
            </w:r>
          </w:p>
        </w:tc>
        <w:tc>
          <w:tcPr>
            <w:tcW w:w="60" w:type="dxa"/>
            <w:vAlign w:val="bottom"/>
            <w:tcBorders>
              <w:bottom w:val="single" w:sz="8" w:color="E6F3FA"/>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shd w:val="clear" w:color="auto" w:fill="E6F3FA"/>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shd w:val="clear" w:color="auto" w:fill="E6F3FA"/>
          </w:tcPr>
          <w:p>
            <w:pPr>
              <w:ind w:left="280"/>
              <w:spacing w:after="0" w:line="183" w:lineRule="exact"/>
              <w:rPr>
                <w:sz w:val="20"/>
                <w:szCs w:val="20"/>
                <w:color w:val="auto"/>
              </w:rPr>
            </w:pPr>
            <w:r>
              <w:rPr>
                <w:rFonts w:ascii="Arial" w:cs="Arial" w:eastAsia="Arial" w:hAnsi="Arial"/>
                <w:sz w:val="16"/>
                <w:szCs w:val="16"/>
                <w:color w:val="auto"/>
              </w:rPr>
              <w:t>Total extraordinary expenses amount to</w:t>
            </w:r>
          </w:p>
        </w:tc>
        <w:tc>
          <w:tcPr>
            <w:tcW w:w="1480" w:type="dxa"/>
            <w:vAlign w:val="bottom"/>
            <w:shd w:val="clear" w:color="auto" w:fill="E6F3FA"/>
          </w:tcPr>
          <w:p>
            <w:pPr>
              <w:spacing w:after="0"/>
              <w:rPr>
                <w:sz w:val="15"/>
                <w:szCs w:val="15"/>
                <w:color w:val="auto"/>
              </w:rPr>
            </w:pPr>
          </w:p>
        </w:tc>
        <w:tc>
          <w:tcPr>
            <w:tcW w:w="120" w:type="dxa"/>
            <w:vAlign w:val="bottom"/>
            <w:tcBorders>
              <w:bottom w:val="single" w:sz="8" w:color="auto"/>
            </w:tcBorders>
            <w:shd w:val="clear" w:color="auto" w:fill="E6F3FA"/>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0</w:t>
            </w:r>
          </w:p>
        </w:tc>
        <w:tc>
          <w:tcPr>
            <w:tcW w:w="200" w:type="dxa"/>
            <w:vAlign w:val="bottom"/>
            <w:shd w:val="clear" w:color="auto" w:fill="E6F3FA"/>
          </w:tcPr>
          <w:p>
            <w:pPr>
              <w:spacing w:after="0"/>
              <w:rPr>
                <w:sz w:val="15"/>
                <w:szCs w:val="15"/>
                <w:color w:val="auto"/>
              </w:rPr>
            </w:pPr>
          </w:p>
        </w:tc>
        <w:tc>
          <w:tcPr>
            <w:tcW w:w="20" w:type="dxa"/>
            <w:vAlign w:val="bottom"/>
            <w:shd w:val="clear" w:color="auto" w:fill="E6F3FA"/>
          </w:tcPr>
          <w:p>
            <w:pPr>
              <w:spacing w:after="0"/>
              <w:rPr>
                <w:sz w:val="15"/>
                <w:szCs w:val="15"/>
                <w:color w:val="auto"/>
              </w:rPr>
            </w:pPr>
          </w:p>
        </w:tc>
        <w:tc>
          <w:tcPr>
            <w:tcW w:w="80" w:type="dxa"/>
            <w:vAlign w:val="bottom"/>
            <w:tcBorders>
              <w:bottom w:val="single" w:sz="8" w:color="auto"/>
            </w:tcBorders>
            <w:shd w:val="clear" w:color="auto" w:fill="E6F3FA"/>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0</w:t>
            </w:r>
          </w:p>
        </w:tc>
        <w:tc>
          <w:tcPr>
            <w:tcW w:w="60" w:type="dxa"/>
            <w:vAlign w:val="bottom"/>
            <w:shd w:val="clear" w:color="auto" w:fill="E6F3F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bottom w:val="single" w:sz="8" w:color="E6F3FA"/>
            </w:tcBorders>
            <w:gridSpan w:val="2"/>
          </w:tcPr>
          <w:p>
            <w:pPr>
              <w:spacing w:after="0" w:line="183" w:lineRule="exact"/>
              <w:rPr>
                <w:sz w:val="20"/>
                <w:szCs w:val="20"/>
                <w:color w:val="auto"/>
              </w:rPr>
            </w:pPr>
            <w:r>
              <w:rPr>
                <w:rFonts w:ascii="Arial" w:cs="Arial" w:eastAsia="Arial" w:hAnsi="Arial"/>
                <w:sz w:val="16"/>
                <w:szCs w:val="16"/>
                <w:color w:val="auto"/>
              </w:rPr>
              <w:t>Resulting in an extraordinary result of</w:t>
            </w:r>
          </w:p>
        </w:tc>
        <w:tc>
          <w:tcPr>
            <w:tcW w:w="1480" w:type="dxa"/>
            <w:vAlign w:val="bottom"/>
            <w:tcBorders>
              <w:bottom w:val="single" w:sz="8" w:color="E6F3FA"/>
            </w:tcBorders>
          </w:tcPr>
          <w:p>
            <w:pPr>
              <w:spacing w:after="0"/>
              <w:rPr>
                <w:sz w:val="15"/>
                <w:szCs w:val="15"/>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w:t>
            </w:r>
          </w:p>
        </w:tc>
        <w:tc>
          <w:tcPr>
            <w:tcW w:w="200" w:type="dxa"/>
            <w:vAlign w:val="bottom"/>
            <w:tcBorders>
              <w:bottom w:val="single" w:sz="8" w:color="E6F3FA"/>
            </w:tcBorders>
          </w:tcPr>
          <w:p>
            <w:pPr>
              <w:spacing w:after="0"/>
              <w:rPr>
                <w:sz w:val="15"/>
                <w:szCs w:val="15"/>
                <w:color w:val="auto"/>
              </w:rPr>
            </w:pPr>
          </w:p>
        </w:tc>
        <w:tc>
          <w:tcPr>
            <w:tcW w:w="20" w:type="dxa"/>
            <w:vAlign w:val="bottom"/>
            <w:tcBorders>
              <w:bottom w:val="single" w:sz="8" w:color="E6F3FA"/>
            </w:tcBorders>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E6F3FA"/>
            </w:tcBorders>
          </w:tcPr>
          <w:p>
            <w:pPr>
              <w:jc w:val="right"/>
              <w:spacing w:after="0" w:line="183" w:lineRule="exact"/>
              <w:rPr>
                <w:sz w:val="20"/>
                <w:szCs w:val="20"/>
                <w:color w:val="auto"/>
              </w:rPr>
            </w:pPr>
            <w:r>
              <w:rPr>
                <w:rFonts w:ascii="Arial" w:cs="Arial" w:eastAsia="Arial" w:hAnsi="Arial"/>
                <w:sz w:val="16"/>
                <w:szCs w:val="16"/>
                <w:color w:val="auto"/>
              </w:rPr>
              <w:t>0</w:t>
            </w:r>
          </w:p>
        </w:tc>
        <w:tc>
          <w:tcPr>
            <w:tcW w:w="60" w:type="dxa"/>
            <w:vAlign w:val="bottom"/>
            <w:tcBorders>
              <w:bottom w:val="single" w:sz="8" w:color="E6F3FA"/>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shd w:val="clear" w:color="auto" w:fill="E6F3FA"/>
          </w:tcPr>
          <w:p>
            <w:pPr>
              <w:spacing w:after="0" w:line="183" w:lineRule="exact"/>
              <w:rPr>
                <w:sz w:val="20"/>
                <w:szCs w:val="20"/>
                <w:color w:val="auto"/>
              </w:rPr>
            </w:pPr>
            <w:r>
              <w:rPr>
                <w:rFonts w:ascii="Arial" w:cs="Arial" w:eastAsia="Arial" w:hAnsi="Arial"/>
                <w:sz w:val="16"/>
                <w:szCs w:val="16"/>
                <w:color w:val="auto"/>
              </w:rPr>
              <w:t>Income tax</w:t>
            </w:r>
          </w:p>
        </w:tc>
        <w:tc>
          <w:tcPr>
            <w:tcW w:w="1480" w:type="dxa"/>
            <w:vAlign w:val="bottom"/>
            <w:shd w:val="clear" w:color="auto" w:fill="E6F3FA"/>
          </w:tcPr>
          <w:p>
            <w:pPr>
              <w:spacing w:after="0"/>
              <w:rPr>
                <w:sz w:val="15"/>
                <w:szCs w:val="15"/>
                <w:color w:val="auto"/>
              </w:rPr>
            </w:pPr>
          </w:p>
        </w:tc>
        <w:tc>
          <w:tcPr>
            <w:tcW w:w="120" w:type="dxa"/>
            <w:vAlign w:val="bottom"/>
            <w:tcBorders>
              <w:bottom w:val="single" w:sz="8" w:color="auto"/>
            </w:tcBorders>
            <w:shd w:val="clear" w:color="auto" w:fill="E6F3FA"/>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0</w:t>
            </w:r>
          </w:p>
        </w:tc>
        <w:tc>
          <w:tcPr>
            <w:tcW w:w="200" w:type="dxa"/>
            <w:vAlign w:val="bottom"/>
            <w:shd w:val="clear" w:color="auto" w:fill="E6F3FA"/>
          </w:tcPr>
          <w:p>
            <w:pPr>
              <w:spacing w:after="0"/>
              <w:rPr>
                <w:sz w:val="15"/>
                <w:szCs w:val="15"/>
                <w:color w:val="auto"/>
              </w:rPr>
            </w:pPr>
          </w:p>
        </w:tc>
        <w:tc>
          <w:tcPr>
            <w:tcW w:w="20" w:type="dxa"/>
            <w:vAlign w:val="bottom"/>
            <w:shd w:val="clear" w:color="auto" w:fill="E6F3FA"/>
          </w:tcPr>
          <w:p>
            <w:pPr>
              <w:spacing w:after="0"/>
              <w:rPr>
                <w:sz w:val="15"/>
                <w:szCs w:val="15"/>
                <w:color w:val="auto"/>
              </w:rPr>
            </w:pPr>
          </w:p>
        </w:tc>
        <w:tc>
          <w:tcPr>
            <w:tcW w:w="80" w:type="dxa"/>
            <w:vAlign w:val="bottom"/>
            <w:tcBorders>
              <w:bottom w:val="single" w:sz="8" w:color="auto"/>
            </w:tcBorders>
            <w:shd w:val="clear" w:color="auto" w:fill="E6F3FA"/>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6F3FA"/>
          </w:tcPr>
          <w:p>
            <w:pPr>
              <w:jc w:val="right"/>
              <w:spacing w:after="0" w:line="183" w:lineRule="exact"/>
              <w:rPr>
                <w:sz w:val="20"/>
                <w:szCs w:val="20"/>
                <w:color w:val="auto"/>
              </w:rPr>
            </w:pPr>
            <w:r>
              <w:rPr>
                <w:rFonts w:ascii="Arial" w:cs="Arial" w:eastAsia="Arial" w:hAnsi="Arial"/>
                <w:sz w:val="16"/>
                <w:szCs w:val="16"/>
                <w:color w:val="auto"/>
              </w:rPr>
              <w:t>0</w:t>
            </w:r>
          </w:p>
        </w:tc>
        <w:tc>
          <w:tcPr>
            <w:tcW w:w="60" w:type="dxa"/>
            <w:vAlign w:val="bottom"/>
            <w:shd w:val="clear" w:color="auto" w:fill="E6F3F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line="177" w:lineRule="exact"/>
              <w:rPr>
                <w:sz w:val="20"/>
                <w:szCs w:val="20"/>
                <w:color w:val="auto"/>
              </w:rPr>
            </w:pPr>
            <w:r>
              <w:rPr>
                <w:rFonts w:ascii="Arial" w:cs="Arial" w:eastAsia="Arial" w:hAnsi="Arial"/>
                <w:sz w:val="16"/>
                <w:szCs w:val="16"/>
                <w:b w:val="1"/>
                <w:bCs w:val="1"/>
                <w:color w:val="auto"/>
              </w:rPr>
              <w:t>·</w:t>
            </w:r>
          </w:p>
        </w:tc>
        <w:tc>
          <w:tcPr>
            <w:tcW w:w="4620" w:type="dxa"/>
            <w:vAlign w:val="bottom"/>
          </w:tcPr>
          <w:p>
            <w:pPr>
              <w:ind w:left="280"/>
              <w:spacing w:after="0" w:line="183" w:lineRule="exact"/>
              <w:rPr>
                <w:sz w:val="20"/>
                <w:szCs w:val="20"/>
                <w:color w:val="auto"/>
              </w:rPr>
            </w:pPr>
            <w:r>
              <w:rPr>
                <w:rFonts w:ascii="Arial" w:cs="Arial" w:eastAsia="Arial" w:hAnsi="Arial"/>
                <w:sz w:val="16"/>
                <w:szCs w:val="16"/>
                <w:color w:val="auto"/>
              </w:rPr>
              <w:t>Net income (Loss) of</w:t>
            </w: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(3,582,723)</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1,066,614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Based on this result, the equity of the holding company EDAP TMS SA amounts to €93,521,693 for a share capital of €4,907,697 as of December 31, 2025.</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III – PROPOSAL FOR THE APPROPRIATION OF THE RESULT FOR THE PAST FISCAL YEAR</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balance sheet of the holding company EDAP TMS SA as of 12/31/2025 shows an accounting loss of (3,582,723) euros.</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Consequently, we propose to allocate the entire amount to the “retained earnings” debit account in the amount of (3,582,723) euros, thereby increasing the balance from (15,696,866) euros to (19,279,590) euros.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IV - NON-TAX-DEDUCTIBLE EXPENSES AND CHARGES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accordance with the provisions of Article 223 quater of the General Tax Code, we ask that you note that no expenses or charges referred to in Article 39-4 of this Code, nor any amount of theoretical tax, will be borne by the company.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V - AMOUNT OF DIVIDENDS DISTRIBUTED FOR THE PREVIOUS THREE FISCAL YEARS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 accordance with the provisions of Article 243 bis of the General Tax Code, we draw your attention to the fact that no dividends were paid for the three preceding fiscal years.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VI - TABLE OF THE COMPANY’S FINANCIAL RESULTS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Attached to this report is a table showing the company’s results for the past fiscal year and the five preceding fiscal years.</w:t>
      </w:r>
    </w:p>
    <w:p>
      <w:pPr>
        <w:spacing w:after="0" w:line="181"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u w:val="single" w:color="auto"/>
          <w:color w:val="auto"/>
        </w:rPr>
        <w:t>VII – INFORMATION ON THE BREAKDOWN OF ACCOUNTS PAYABLE/RECEIVABLE BALANCES BY DUE DATE</w:t>
      </w:r>
    </w:p>
    <w:p>
      <w:pPr>
        <w:spacing w:after="0" w:line="13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accordance with the provisions of the Commercial Code, we provide, in the Appendix to this report, a breakdown—in accordance with the templates established by the decree of March 20, 2017—of the payment terms for our suppliers and customers, showing:</w:t>
      </w:r>
    </w:p>
    <w:p>
      <w:pPr>
        <w:spacing w:after="0" w:line="169" w:lineRule="exact"/>
        <w:rPr>
          <w:sz w:val="20"/>
          <w:szCs w:val="20"/>
          <w:color w:val="auto"/>
        </w:rPr>
      </w:pPr>
    </w:p>
    <w:p>
      <w:pPr>
        <w:ind w:left="300" w:right="79" w:hanging="250"/>
        <w:spacing w:after="0" w:line="271"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invoices received and issued that remain unpaid as of the fiscal year-end and for which the payment term has expired.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refer to Appendix 1, which contains the table of customer/supplier payment terms</w:t>
      </w:r>
      <w:r>
        <w:rPr>
          <w:rFonts w:ascii="Arial" w:cs="Arial" w:eastAsia="Arial" w:hAnsi="Arial"/>
          <w:sz w:val="18"/>
          <w:szCs w:val="18"/>
          <w:color w:val="FF0000"/>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VIII - Subsidiaries and Equity Interests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EDAP TMS France SAS: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This wholly-owned subsidiary encompasses the Development, Production, and Services activities for both product lines: HIFU and lithotripsy, as well as sales outside areas covered by other distribution subsidiaries.</w:t>
      </w:r>
    </w:p>
    <w:p>
      <w:pPr>
        <w:spacing w:after="0" w:line="15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 2025, it generated net revenue of €30.3 million compared to €33.7 million in 2024, and reported a net loss of (4,089,039) euros in 2025 compared to a loss of (3,229,001) euros in 2024.</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It is noted that EDAP TMS France SAS holds 100% of the capital of (i) EDAP TMS GmbH, the distribution subsidiary for Germany, and (ii) EDAP Switzerland GmbH, established on May 3, 2024, responsible for marketing EDAP TMS Group products in Switzerland.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remind you that EDAP TMS France SAS has an additional establishment in South Korea.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EDAP TECHNOMED Co. Ltd (Tokyo, Japan):</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This wholly-owned subsidiary, responsible for distributing the Group’s products in Japan, generated revenue of €10.7 million in 2025 compared to €12.5 million in 2024 and a net loss of €0.9 million in 2025 compared to a net profit of €58,000 in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EDAP TECHNOMED Inc. (Austin, TX, U.S.A.):</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This wholly owned subsidiary, responsible for the commercial development of the company’s operations in the United States, generated revenue of €25.3 million in 2025, compared with €18.4 million in 2024, and reported a net loss of (14.31) in 2025, compared to a net loss of (14.43) million in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EDAP TECHNOMED Sdn Bhd (Petaling Jaya):</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This wholly-owned subsidiary, responsible for distributing the Group’s products in Southeast Asia and the the Pacific (excluding Korea and Japan), generated revenue of € 4.8 million in 2025 compared to €4.6 million in 2024 and a net profit of €1,120 in 2025 compared to a net profit of €806,000 in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IX – RESEARCH AND DEVELOPMENT ACTIVITIES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holding company, EDAP TMS SA does not engage in R&amp;D activities.</w:t>
      </w:r>
    </w:p>
    <w:p>
      <w:pPr>
        <w:spacing w:after="0" w:line="239"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2040"/>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 – REGULATED AGREEMENTS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ask you, in accordance with Article L. 225-40 of the French Commercial Code, to approve, in a first resolution, the special report of the statutory auditor stating the absence of any agreement referred to in Article L. 225-38 of the French Commercial Code.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XI – GROUP OUTLOOK AND TRENDS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To date, our overall strategy is to expand our HIFU business in the United States and globally to accelerate the adoption of Focal One Robotic HIFU. We are focusing our efforts on the clinical development and commercialization of our HIFU products, with the aim of expanding clinical indications beyond prostate cancer. Going forward, we intend to concentrate the majority of our investments and resources on our HIFU business, while scaling back our activities related to lithotripsy and distribution.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XII – DIRECTORS’ PERFORMANCE-BASED COMPENSATION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amount of 244,410 euros was paid to the directors as compensation for their services for the year 2025.</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XIII - STATUS OF THE APPOINTMENTS OF THE REGULAR AUDITORS AND THE ASSISTANT AUDITOR</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remind you that the term of office of the incumbent auditors is held by the firm KPMG SA, located at 2, Avenue Gambetta, Tour Eqho, 92066 Paris la Défense CEDEX, registered with the Nanterre Trade and Companies Register under number 775726417, for a period of six fiscal years beginning on January 1January 2024. KPMG SA’s term of office will end following the General Meeting called to approve the financial statements for the fiscal year ending December 31, 2029, i.e., in 2030.</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the role of the company’s co-statutory auditor has been held since June 30, 2020—the date of its appointment—by the firm AGILI3F, located at 69 boulevard des Canuts, 69004 Lyon, RCS Lyon 840 062 442, for a term of six fiscal years ending at the close of the ordinary general meeting called to approve the financial statements for the fiscal year ending December 31, 2025, i.e., in June 2026. The renewal of the term of office of the co-statutory auditor AGILI3F will be submitted for approval by the shareholders at the annual general meeting approving the financial statements for the fiscal year ending December 31, 2025, scheduled for June 26, 2026.</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XIV – STATEMENT OF EMPLOYEE OWNERSHIP IN THE SHARE CAPITAL AS OF DECEMBER 31, 2025</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accordance with the provisions of Article L.225-102 of the French Commercial Code, we hereby report on the status of employee ownership in the Company’s share capital as of the last day of the fiscal year, December 31,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employees’ share of the share capital was less than 1% as of December 31, 2025.</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Furthermore, no portion of the capital is represented by shares held by the Company’s employees under a corporate savings plan provided for in Articles L. 3332-1 et seq. of the Labor Code, or by employees or former employees through corporate mutual funds.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XV – TREASURY SHARES AND VOTING RIGHTS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December 31, 2025, the Company held 269,533 treasury shares with a gross book value of 590,427 euros. We confirm that the Company did not make any acquisitions during the fiscal year.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number of voting shares as of December 31, 2025, is 37,442,155.</w:t>
      </w:r>
    </w:p>
    <w:p>
      <w:pPr>
        <w:spacing w:after="0" w:line="239"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XVI - ACQUISITION OF SIGNIFICANT INTERESTS IN FRANCE OR ACQUISITION OF CONTROL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accordance with the provisions of the first paragraph of Article L.233-6 of the French Commercial Code, we hereby inform you that our Company did not, during the past fiscal year, acquire any new equity interest in a company having its registered office within the territory of the French Republic.</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XVII - CROSS-SHAREHOLDINGS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hereby inform you that we hold no equity interest in any company that is a shareholder of our Company and that, consequently, the review of cross-shareholdings is not applicable.</w:t>
      </w:r>
    </w:p>
    <w:p>
      <w:pPr>
        <w:spacing w:after="0" w:line="154"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u w:val="single" w:color="auto"/>
          <w:color w:val="auto"/>
        </w:rPr>
        <w:t>XIII - ADJUSTMENT OF STOCK OPTIONS AND SECURITIES GIVING FUTURE ACCESS TO THE SHARE CAPITAL</w:t>
      </w:r>
    </w:p>
    <w:p>
      <w:pPr>
        <w:spacing w:after="0" w:line="13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Pursuant to Article R. 228-91, we hereby inform you that there were no adjustments to stock subscription or purchase options or securities giving future access to the share capital issued by the Company during the 2024 fiscal year.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XIX - DECISION BY THE COMPETITION AUTHORITY REGARDING ANTICOMPETITIVE PRACTICES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XX - INFORMATION ON THE AMOUNT OF LOANS GRANTED BY THE COMPANY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XXI - FEES PAID TO THE STATUTORY AUDITORS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For the fiscal year ended December 31, 2025, the amount of fees paid to the auditors totals 547,070.00 Euros excluding tax.</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accordance with Article L 820-3, paragraph 1, of the Commercial Code, we hereby inform you that the firm KPMG S.A., the statutory auditor, is a member of a network and that this network has billed for services other than those related to the audit of the financial statements.</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AGILI3F is also a statutory auditor and has billed only for services related to the audit of the financial statements. This information is available to shareholders at the Company’s headquarters.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XXII - PRESENTATION OF THE CONSOLIDATED FINANCIAL STATEMENTS (in accordance with IFRS)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accounting presentation rules comply with current regulations.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You will find all additional explanations in the notes—IFRS report.</w:t>
      </w:r>
    </w:p>
    <w:p>
      <w:pPr>
        <w:spacing w:after="0" w:line="239"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tbl>
      <w:tblPr>
        <w:tblLayout w:type="fixed"/>
        <w:tblInd w:w="6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7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ENGLISH TRANSLATION FOR INFORMATION PURPOSES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6420" w:type="dxa"/>
            <w:vAlign w:val="bottom"/>
            <w:gridSpan w:val="2"/>
          </w:tcPr>
          <w:p>
            <w:pPr>
              <w:spacing w:after="0"/>
              <w:rPr>
                <w:sz w:val="20"/>
                <w:szCs w:val="20"/>
                <w:color w:val="auto"/>
              </w:rPr>
            </w:pPr>
            <w:r>
              <w:rPr>
                <w:rFonts w:ascii="Arial" w:cs="Arial" w:eastAsia="Arial" w:hAnsi="Arial"/>
                <w:sz w:val="18"/>
                <w:szCs w:val="18"/>
                <w:color w:val="auto"/>
              </w:rPr>
              <w:t>The figures as of December 31, 2025, are as follows (</w:t>
            </w:r>
            <w:r>
              <w:rPr>
                <w:rFonts w:ascii="Arial" w:cs="Arial" w:eastAsia="Arial" w:hAnsi="Arial"/>
                <w:sz w:val="18"/>
                <w:szCs w:val="18"/>
                <w:b w:val="1"/>
                <w:bCs w:val="1"/>
                <w:color w:val="auto"/>
              </w:rPr>
              <w:t>in thousands of euros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   2025</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Sales of goods</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43,273</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44,037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Sales of Revenue-per-Procedure (RPPs) and leases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9,106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of spare parts and services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62,416</w:t>
            </w: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Cost of goods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(24,027)</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RPPs and leases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(5,525)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Cost of spare parts and services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cost of sales</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(35,865)</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26,551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(R&amp;D) Expenses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(8,550)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(24,174)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and General Expenses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(15,682)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(21,854)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(20,534)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Net financial income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(2,753)</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gain (loss), net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(888)</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tax</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(25,495)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tax</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(19,018)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w:t>
            </w:r>
          </w:p>
        </w:tc>
        <w:tc>
          <w:tcPr>
            <w:tcW w:w="28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(0.69)</w:t>
            </w:r>
          </w:p>
        </w:tc>
        <w:tc>
          <w:tcPr>
            <w:tcW w:w="200" w:type="dxa"/>
            <w:vAlign w:val="bottom"/>
            <w:vMerge w:val="continue"/>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(0.51)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Weighted average number of common shares outstanding</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37,442,155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37,286,446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diluted number of common shares outstanding</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37,442,155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37,286,446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XXIII – AMENDMENTS TO THE BYLAWS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3820"/>
        <w:spacing w:after="0"/>
        <w:tabs>
          <w:tab w:leader="none" w:pos="4440" w:val="left"/>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thank you for the confidence you will show in us by adopting the proposed resolutions.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OF DIRECTORS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(on March 24, 2026)</w:t>
      </w:r>
    </w:p>
    <w:p>
      <w:pPr>
        <w:spacing w:after="0" w:line="208"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FOR THE LAST FIVE FISCAL YEARS (In Euros)</w:t>
      </w:r>
    </w:p>
    <w:p>
      <w:pPr>
        <w:spacing w:after="0" w:line="210" w:lineRule="exact"/>
        <w:rPr>
          <w:sz w:val="20"/>
          <w:szCs w:val="20"/>
          <w:color w:val="auto"/>
        </w:rPr>
      </w:pPr>
    </w:p>
    <w:tbl>
      <w:tblPr>
        <w:tblLayout w:type="fixed"/>
        <w:tblInd w:w="50" w:type="dxa"/>
        <w:tblCellMar>
          <w:top w:w="0" w:type="dxa"/>
          <w:left w:w="0" w:type="dxa"/>
          <w:bottom w:w="0" w:type="dxa"/>
          <w:right w:w="0" w:type="dxa"/>
        </w:tblCellMar>
      </w:tblPr>
      <w:tr>
        <w:trPr>
          <w:trHeight w:val="197"/>
        </w:trPr>
        <w:tc>
          <w:tcPr>
            <w:tcW w:w="3400" w:type="dxa"/>
            <w:vAlign w:val="bottom"/>
            <w:tcBorders>
              <w:top w:val="single" w:sz="8" w:color="auto"/>
              <w:left w:val="single" w:sz="8" w:color="auto"/>
              <w:right w:val="single" w:sz="8" w:color="auto"/>
            </w:tcBorders>
            <w:shd w:val="clear" w:color="auto" w:fill="CCCCCC"/>
          </w:tcPr>
          <w:p>
            <w:pPr>
              <w:ind w:left="900"/>
              <w:spacing w:after="0" w:line="197" w:lineRule="exact"/>
              <w:rPr>
                <w:sz w:val="20"/>
                <w:szCs w:val="20"/>
                <w:color w:val="auto"/>
              </w:rPr>
            </w:pPr>
            <w:r>
              <w:rPr>
                <w:rFonts w:ascii="Arial" w:cs="Arial" w:eastAsia="Arial" w:hAnsi="Arial"/>
                <w:sz w:val="18"/>
                <w:szCs w:val="18"/>
                <w:b w:val="1"/>
                <w:bCs w:val="1"/>
                <w:color w:val="auto"/>
              </w:rPr>
              <w:t>FISCAL YEAR END</w:t>
            </w:r>
          </w:p>
        </w:tc>
        <w:tc>
          <w:tcPr>
            <w:tcW w:w="1100" w:type="dxa"/>
            <w:vAlign w:val="bottom"/>
            <w:tcBorders>
              <w:top w:val="single" w:sz="8" w:color="auto"/>
              <w:right w:val="single" w:sz="8" w:color="auto"/>
            </w:tcBorders>
            <w:shd w:val="clear" w:color="auto" w:fill="CCCCCC"/>
          </w:tcPr>
          <w:p>
            <w:pPr>
              <w:jc w:val="right"/>
              <w:ind w:right="130"/>
              <w:spacing w:after="0" w:line="197" w:lineRule="exact"/>
              <w:rPr>
                <w:sz w:val="20"/>
                <w:szCs w:val="20"/>
                <w:color w:val="auto"/>
              </w:rPr>
            </w:pPr>
            <w:r>
              <w:rPr>
                <w:rFonts w:ascii="Arial" w:cs="Arial" w:eastAsia="Arial" w:hAnsi="Arial"/>
                <w:sz w:val="18"/>
                <w:szCs w:val="18"/>
                <w:b w:val="1"/>
                <w:bCs w:val="1"/>
                <w:color w:val="auto"/>
              </w:rPr>
              <w:t>12/31/21</w:t>
            </w:r>
          </w:p>
        </w:tc>
        <w:tc>
          <w:tcPr>
            <w:tcW w:w="1100" w:type="dxa"/>
            <w:vAlign w:val="bottom"/>
            <w:tcBorders>
              <w:top w:val="single" w:sz="8" w:color="auto"/>
              <w:right w:val="single" w:sz="8" w:color="auto"/>
            </w:tcBorders>
            <w:shd w:val="clear" w:color="auto" w:fill="CCCCCC"/>
          </w:tcPr>
          <w:p>
            <w:pPr>
              <w:jc w:val="right"/>
              <w:ind w:right="130"/>
              <w:spacing w:after="0" w:line="197" w:lineRule="exact"/>
              <w:rPr>
                <w:sz w:val="20"/>
                <w:szCs w:val="20"/>
                <w:color w:val="auto"/>
              </w:rPr>
            </w:pPr>
            <w:r>
              <w:rPr>
                <w:rFonts w:ascii="Arial" w:cs="Arial" w:eastAsia="Arial" w:hAnsi="Arial"/>
                <w:sz w:val="18"/>
                <w:szCs w:val="18"/>
                <w:b w:val="1"/>
                <w:bCs w:val="1"/>
                <w:color w:val="auto"/>
              </w:rPr>
              <w:t>12/31/22</w:t>
            </w:r>
          </w:p>
        </w:tc>
        <w:tc>
          <w:tcPr>
            <w:tcW w:w="1100" w:type="dxa"/>
            <w:vAlign w:val="bottom"/>
            <w:tcBorders>
              <w:top w:val="single" w:sz="8" w:color="auto"/>
              <w:right w:val="single" w:sz="8" w:color="auto"/>
            </w:tcBorders>
            <w:shd w:val="clear" w:color="auto" w:fill="CCCCCC"/>
          </w:tcPr>
          <w:p>
            <w:pPr>
              <w:jc w:val="right"/>
              <w:ind w:right="130"/>
              <w:spacing w:after="0" w:line="197" w:lineRule="exact"/>
              <w:rPr>
                <w:sz w:val="20"/>
                <w:szCs w:val="20"/>
                <w:color w:val="auto"/>
              </w:rPr>
            </w:pPr>
            <w:r>
              <w:rPr>
                <w:rFonts w:ascii="Arial" w:cs="Arial" w:eastAsia="Arial" w:hAnsi="Arial"/>
                <w:sz w:val="18"/>
                <w:szCs w:val="18"/>
                <w:b w:val="1"/>
                <w:bCs w:val="1"/>
                <w:color w:val="auto"/>
              </w:rPr>
              <w:t>12/31/23</w:t>
            </w:r>
          </w:p>
        </w:tc>
        <w:tc>
          <w:tcPr>
            <w:tcW w:w="1100" w:type="dxa"/>
            <w:vAlign w:val="bottom"/>
            <w:tcBorders>
              <w:top w:val="single" w:sz="8" w:color="auto"/>
              <w:right w:val="single" w:sz="8" w:color="auto"/>
            </w:tcBorders>
            <w:shd w:val="clear" w:color="auto" w:fill="CCCCCC"/>
          </w:tcPr>
          <w:p>
            <w:pPr>
              <w:jc w:val="right"/>
              <w:ind w:right="130"/>
              <w:spacing w:after="0" w:line="197" w:lineRule="exact"/>
              <w:rPr>
                <w:sz w:val="20"/>
                <w:szCs w:val="20"/>
                <w:color w:val="auto"/>
              </w:rPr>
            </w:pPr>
            <w:r>
              <w:rPr>
                <w:rFonts w:ascii="Arial" w:cs="Arial" w:eastAsia="Arial" w:hAnsi="Arial"/>
                <w:sz w:val="18"/>
                <w:szCs w:val="18"/>
                <w:b w:val="1"/>
                <w:bCs w:val="1"/>
                <w:color w:val="auto"/>
              </w:rPr>
              <w:t>12/31/24</w:t>
            </w:r>
          </w:p>
        </w:tc>
        <w:tc>
          <w:tcPr>
            <w:tcW w:w="1120" w:type="dxa"/>
            <w:vAlign w:val="bottom"/>
            <w:tcBorders>
              <w:top w:val="single" w:sz="8" w:color="auto"/>
              <w:right w:val="single" w:sz="8" w:color="auto"/>
            </w:tcBorders>
            <w:shd w:val="clear" w:color="auto" w:fill="CCCCCC"/>
          </w:tcPr>
          <w:p>
            <w:pPr>
              <w:jc w:val="right"/>
              <w:ind w:right="130"/>
              <w:spacing w:after="0" w:line="197" w:lineRule="exact"/>
              <w:rPr>
                <w:sz w:val="20"/>
                <w:szCs w:val="20"/>
                <w:color w:val="auto"/>
              </w:rPr>
            </w:pPr>
            <w:r>
              <w:rPr>
                <w:rFonts w:ascii="Arial" w:cs="Arial" w:eastAsia="Arial" w:hAnsi="Arial"/>
                <w:sz w:val="18"/>
                <w:szCs w:val="18"/>
                <w:b w:val="1"/>
                <w:bCs w:val="1"/>
                <w:color w:val="auto"/>
              </w:rPr>
              <w:t>12/31/25</w:t>
            </w:r>
          </w:p>
        </w:tc>
      </w:tr>
      <w:tr>
        <w:trPr>
          <w:trHeight w:val="235"/>
        </w:trPr>
        <w:tc>
          <w:tcPr>
            <w:tcW w:w="3400" w:type="dxa"/>
            <w:vAlign w:val="bottom"/>
            <w:tcBorders>
              <w:left w:val="single" w:sz="8" w:color="auto"/>
              <w:bottom w:val="single" w:sz="8" w:color="auto"/>
              <w:right w:val="single" w:sz="8" w:color="auto"/>
            </w:tcBorders>
            <w:shd w:val="clear" w:color="auto" w:fill="CCCCCC"/>
          </w:tcPr>
          <w:p>
            <w:pPr>
              <w:ind w:left="1240"/>
              <w:spacing w:after="0"/>
              <w:rPr>
                <w:sz w:val="20"/>
                <w:szCs w:val="20"/>
                <w:color w:val="auto"/>
              </w:rPr>
            </w:pPr>
            <w:r>
              <w:rPr>
                <w:rFonts w:ascii="Arial" w:cs="Arial" w:eastAsia="Arial" w:hAnsi="Arial"/>
                <w:sz w:val="18"/>
                <w:szCs w:val="18"/>
                <w:b w:val="1"/>
                <w:bCs w:val="1"/>
                <w:color w:val="auto"/>
              </w:rPr>
              <w:t>Fiscal year</w:t>
            </w:r>
          </w:p>
        </w:tc>
        <w:tc>
          <w:tcPr>
            <w:tcW w:w="1100" w:type="dxa"/>
            <w:vAlign w:val="bottom"/>
            <w:tcBorders>
              <w:bottom w:val="single" w:sz="8" w:color="auto"/>
              <w:right w:val="single" w:sz="8" w:color="auto"/>
            </w:tcBorders>
            <w:shd w:val="clear" w:color="auto" w:fill="CCCCCC"/>
          </w:tcPr>
          <w:p>
            <w:pPr>
              <w:jc w:val="right"/>
              <w:ind w:right="30"/>
              <w:spacing w:after="0"/>
              <w:rPr>
                <w:sz w:val="20"/>
                <w:szCs w:val="20"/>
                <w:color w:val="auto"/>
              </w:rPr>
            </w:pPr>
            <w:r>
              <w:rPr>
                <w:rFonts w:ascii="Arial" w:cs="Arial" w:eastAsia="Arial" w:hAnsi="Arial"/>
                <w:sz w:val="18"/>
                <w:szCs w:val="18"/>
                <w:b w:val="1"/>
                <w:bCs w:val="1"/>
                <w:color w:val="auto"/>
              </w:rPr>
              <w:t>12 months</w:t>
            </w:r>
          </w:p>
        </w:tc>
        <w:tc>
          <w:tcPr>
            <w:tcW w:w="1100" w:type="dxa"/>
            <w:vAlign w:val="bottom"/>
            <w:tcBorders>
              <w:bottom w:val="single" w:sz="8" w:color="auto"/>
              <w:right w:val="single" w:sz="8" w:color="auto"/>
            </w:tcBorders>
            <w:shd w:val="clear" w:color="auto" w:fill="CCCCCC"/>
          </w:tcPr>
          <w:p>
            <w:pPr>
              <w:jc w:val="right"/>
              <w:ind w:right="30"/>
              <w:spacing w:after="0"/>
              <w:rPr>
                <w:sz w:val="20"/>
                <w:szCs w:val="20"/>
                <w:color w:val="auto"/>
              </w:rPr>
            </w:pPr>
            <w:r>
              <w:rPr>
                <w:rFonts w:ascii="Arial" w:cs="Arial" w:eastAsia="Arial" w:hAnsi="Arial"/>
                <w:sz w:val="18"/>
                <w:szCs w:val="18"/>
                <w:b w:val="1"/>
                <w:bCs w:val="1"/>
                <w:color w:val="auto"/>
              </w:rPr>
              <w:t>12 months</w:t>
            </w:r>
          </w:p>
        </w:tc>
        <w:tc>
          <w:tcPr>
            <w:tcW w:w="1100" w:type="dxa"/>
            <w:vAlign w:val="bottom"/>
            <w:tcBorders>
              <w:bottom w:val="single" w:sz="8" w:color="auto"/>
              <w:right w:val="single" w:sz="8" w:color="auto"/>
            </w:tcBorders>
            <w:shd w:val="clear" w:color="auto" w:fill="CCCCCC"/>
          </w:tcPr>
          <w:p>
            <w:pPr>
              <w:jc w:val="right"/>
              <w:ind w:right="30"/>
              <w:spacing w:after="0"/>
              <w:rPr>
                <w:sz w:val="20"/>
                <w:szCs w:val="20"/>
                <w:color w:val="auto"/>
              </w:rPr>
            </w:pPr>
            <w:r>
              <w:rPr>
                <w:rFonts w:ascii="Arial" w:cs="Arial" w:eastAsia="Arial" w:hAnsi="Arial"/>
                <w:sz w:val="18"/>
                <w:szCs w:val="18"/>
                <w:b w:val="1"/>
                <w:bCs w:val="1"/>
                <w:color w:val="auto"/>
              </w:rPr>
              <w:t>12 months</w:t>
            </w:r>
          </w:p>
        </w:tc>
        <w:tc>
          <w:tcPr>
            <w:tcW w:w="1100" w:type="dxa"/>
            <w:vAlign w:val="bottom"/>
            <w:tcBorders>
              <w:bottom w:val="single" w:sz="8" w:color="auto"/>
              <w:right w:val="single" w:sz="8" w:color="auto"/>
            </w:tcBorders>
            <w:shd w:val="clear" w:color="auto" w:fill="CCCCCC"/>
          </w:tcPr>
          <w:p>
            <w:pPr>
              <w:jc w:val="right"/>
              <w:ind w:right="30"/>
              <w:spacing w:after="0"/>
              <w:rPr>
                <w:sz w:val="20"/>
                <w:szCs w:val="20"/>
                <w:color w:val="auto"/>
              </w:rPr>
            </w:pPr>
            <w:r>
              <w:rPr>
                <w:rFonts w:ascii="Arial" w:cs="Arial" w:eastAsia="Arial" w:hAnsi="Arial"/>
                <w:sz w:val="18"/>
                <w:szCs w:val="18"/>
                <w:b w:val="1"/>
                <w:bCs w:val="1"/>
                <w:color w:val="auto"/>
              </w:rPr>
              <w:t>12 months</w:t>
            </w:r>
          </w:p>
        </w:tc>
        <w:tc>
          <w:tcPr>
            <w:tcW w:w="1120" w:type="dxa"/>
            <w:vAlign w:val="bottom"/>
            <w:tcBorders>
              <w:bottom w:val="single" w:sz="8" w:color="auto"/>
              <w:right w:val="single" w:sz="8" w:color="auto"/>
            </w:tcBorders>
            <w:shd w:val="clear" w:color="auto" w:fill="CCCCCC"/>
          </w:tcPr>
          <w:p>
            <w:pPr>
              <w:jc w:val="right"/>
              <w:ind w:right="30"/>
              <w:spacing w:after="0"/>
              <w:rPr>
                <w:sz w:val="20"/>
                <w:szCs w:val="20"/>
                <w:color w:val="auto"/>
              </w:rPr>
            </w:pPr>
            <w:r>
              <w:rPr>
                <w:rFonts w:ascii="Arial" w:cs="Arial" w:eastAsia="Arial" w:hAnsi="Arial"/>
                <w:sz w:val="18"/>
                <w:szCs w:val="18"/>
                <w:b w:val="1"/>
                <w:bCs w:val="1"/>
                <w:color w:val="auto"/>
              </w:rPr>
              <w:t>12 months</w:t>
            </w: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b w:val="1"/>
                <w:bCs w:val="1"/>
                <w:color w:val="auto"/>
              </w:rPr>
              <w:t>Financial position at year-end</w:t>
            </w: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20" w:type="dxa"/>
            <w:vAlign w:val="bottom"/>
            <w:tcBorders>
              <w:bottom w:val="single" w:sz="8" w:color="auto"/>
              <w:right w:val="single" w:sz="8" w:color="auto"/>
            </w:tcBorders>
            <w:shd w:val="clear" w:color="auto" w:fill="CCCCCC"/>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Share capital</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4,388,613</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4,835,705</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4,858,531</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4,896,010</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4,907,697</w:t>
            </w: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Number of shares issued</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33,758,564</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37,197,731</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37,373,312</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37,661,619</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37,751,519</w:t>
            </w:r>
          </w:p>
        </w:tc>
      </w:tr>
      <w:tr>
        <w:trPr>
          <w:trHeight w:val="232"/>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Number of bonds convertible into shares</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180"/>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r>
      <w:tr>
        <w:trPr>
          <w:trHeight w:val="196"/>
        </w:trPr>
        <w:tc>
          <w:tcPr>
            <w:tcW w:w="3400" w:type="dxa"/>
            <w:vAlign w:val="bottom"/>
            <w:tcBorders>
              <w:left w:val="single" w:sz="8" w:color="auto"/>
              <w:bottom w:val="single" w:sz="8" w:color="auto"/>
              <w:right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b w:val="1"/>
                <w:bCs w:val="1"/>
                <w:color w:val="auto"/>
              </w:rPr>
              <w:t>Total income from actual operations</w:t>
            </w: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20" w:type="dxa"/>
            <w:vAlign w:val="bottom"/>
            <w:tcBorders>
              <w:bottom w:val="single" w:sz="8" w:color="auto"/>
              <w:right w:val="single" w:sz="8" w:color="auto"/>
            </w:tcBorders>
            <w:shd w:val="clear" w:color="auto" w:fill="CCCCCC"/>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Revenue excluding taxes</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830,941</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925,146</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914,752</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1,287,273</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1,329,632</w:t>
            </w:r>
          </w:p>
        </w:tc>
      </w:tr>
      <w:tr>
        <w:trPr>
          <w:trHeight w:val="177"/>
        </w:trPr>
        <w:tc>
          <w:tcPr>
            <w:tcW w:w="340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Income before taxes, Employee profit</w:t>
            </w: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r>
      <w:tr>
        <w:trPr>
          <w:trHeight w:val="221"/>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sharing, depreciation, and provisions</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888,567</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750,320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FF0000"/>
              </w:rPr>
              <w:t>(2,363,885)</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1,066,614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EE0000"/>
              </w:rPr>
              <w:t>(3,409,406)</w:t>
            </w: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Income taxes</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83,319</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FF0000"/>
              </w:rPr>
              <w:t>(283,360)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FF0000"/>
              </w:rPr>
              <w:t>(3,074)</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w:t>
            </w: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Employee Participation</w:t>
            </w: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77"/>
        </w:trPr>
        <w:tc>
          <w:tcPr>
            <w:tcW w:w="340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Earnings after taxes, depreciation, and</w:t>
            </w: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r>
      <w:tr>
        <w:trPr>
          <w:trHeight w:val="221"/>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provisions</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805,248</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1,038,067</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FF0000"/>
              </w:rPr>
              <w:t>(2,366,869)</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1,066,614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EE0000"/>
              </w:rPr>
              <w:t>(3,409,406)</w:t>
            </w: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Amount of dividends distributed</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w:t>
            </w: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b w:val="1"/>
                <w:bCs w:val="1"/>
                <w:color w:val="auto"/>
              </w:rPr>
              <w:t>Earnings per share</w:t>
            </w: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20" w:type="dxa"/>
            <w:vAlign w:val="bottom"/>
            <w:tcBorders>
              <w:bottom w:val="single" w:sz="8" w:color="auto"/>
              <w:right w:val="single" w:sz="8" w:color="auto"/>
            </w:tcBorders>
            <w:shd w:val="clear" w:color="auto" w:fill="CCCCCC"/>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77"/>
        </w:trPr>
        <w:tc>
          <w:tcPr>
            <w:tcW w:w="340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Earnings after taxes, but before</w:t>
            </w: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r>
      <w:tr>
        <w:trPr>
          <w:trHeight w:val="203"/>
        </w:trPr>
        <w:tc>
          <w:tcPr>
            <w:tcW w:w="340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depreciation, amortization, and</w:t>
            </w: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1"/>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provisions,</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r>
      <w:tr>
        <w:trPr>
          <w:trHeight w:val="177"/>
        </w:trPr>
        <w:tc>
          <w:tcPr>
            <w:tcW w:w="340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Earnings after taxes, depreciation, and</w:t>
            </w: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r>
      <w:tr>
        <w:trPr>
          <w:trHeight w:val="221"/>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provisions</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Dividend paid per share</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w:t>
            </w: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b w:val="1"/>
                <w:bCs w:val="1"/>
                <w:color w:val="auto"/>
              </w:rPr>
              <w:t>STAFF</w:t>
            </w: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00" w:type="dxa"/>
            <w:vAlign w:val="bottom"/>
            <w:tcBorders>
              <w:bottom w:val="single" w:sz="8" w:color="auto"/>
              <w:right w:val="single" w:sz="8" w:color="auto"/>
            </w:tcBorders>
            <w:shd w:val="clear" w:color="auto" w:fill="CCCCCC"/>
          </w:tcPr>
          <w:p>
            <w:pPr>
              <w:spacing w:after="0"/>
              <w:rPr>
                <w:sz w:val="17"/>
                <w:szCs w:val="17"/>
                <w:color w:val="auto"/>
              </w:rPr>
            </w:pPr>
          </w:p>
        </w:tc>
        <w:tc>
          <w:tcPr>
            <w:tcW w:w="1120" w:type="dxa"/>
            <w:vAlign w:val="bottom"/>
            <w:tcBorders>
              <w:bottom w:val="single" w:sz="8" w:color="auto"/>
              <w:right w:val="single" w:sz="8" w:color="auto"/>
            </w:tcBorders>
            <w:shd w:val="clear" w:color="auto" w:fill="CCCCCC"/>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Number of employees</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r>
      <w:tr>
        <w:trPr>
          <w:trHeight w:val="196"/>
        </w:trPr>
        <w:tc>
          <w:tcPr>
            <w:tcW w:w="340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Total payroll</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443,807</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590,388</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364,760</w:t>
            </w:r>
          </w:p>
        </w:tc>
        <w:tc>
          <w:tcPr>
            <w:tcW w:w="11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529,268</w:t>
            </w:r>
          </w:p>
        </w:tc>
        <w:tc>
          <w:tcPr>
            <w:tcW w:w="11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510,920</w:t>
            </w:r>
          </w:p>
        </w:tc>
      </w:tr>
      <w:tr>
        <w:trPr>
          <w:trHeight w:val="177"/>
        </w:trPr>
        <w:tc>
          <w:tcPr>
            <w:tcW w:w="340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Amount paid for employee benefits</w:t>
            </w: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r>
      <w:tr>
        <w:trPr>
          <w:trHeight w:val="202"/>
        </w:trPr>
        <w:tc>
          <w:tcPr>
            <w:tcW w:w="340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(social security, social welfare programs,</w:t>
            </w: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1"/>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etc.)</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325,984</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426,613</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346,739</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300,581</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251,720</w:t>
            </w:r>
          </w:p>
        </w:tc>
      </w:tr>
    </w:tbl>
    <w:p>
      <w:pPr>
        <w:spacing w:after="0" w:line="3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Given the losses incurred during the fiscal year, no earnings per share were reported.</w:t>
      </w:r>
    </w:p>
    <w:p>
      <w:pPr>
        <w:spacing w:after="0" w:line="200" w:lineRule="exact"/>
        <w:rPr>
          <w:sz w:val="20"/>
          <w:szCs w:val="20"/>
          <w:color w:val="auto"/>
        </w:rPr>
      </w:pPr>
    </w:p>
    <w:p>
      <w:pPr>
        <w:spacing w:after="0" w:line="226"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Page 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5648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ENGLISH TRANSLATION FOR INFORMATION PURPOSES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APPENDIX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(EDAP TMS S.A. Management Report 2024)</w:t>
      </w:r>
    </w:p>
    <w:p>
      <w:pPr>
        <w:spacing w:after="0" w:line="10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TABLE OF PAYMENT TERMS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Invoices received and issued that were unpaid as of the fiscal year-end and for which the payment term has expired (table provided for in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Section I of Article D. 441-4)</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right w:val="single" w:sz="8" w:color="auto"/>
            </w:tcBorders>
            <w:gridSpan w:val="8"/>
          </w:tcPr>
          <w:p>
            <w:pPr>
              <w:ind w:left="100"/>
              <w:spacing w:after="0"/>
              <w:rPr>
                <w:sz w:val="20"/>
                <w:szCs w:val="20"/>
                <w:color w:val="auto"/>
              </w:rPr>
            </w:pPr>
            <w:r>
              <w:rPr>
                <w:rFonts w:ascii="Arial" w:cs="Arial" w:eastAsia="Arial" w:hAnsi="Arial"/>
                <w:sz w:val="11"/>
                <w:szCs w:val="11"/>
                <w:b w:val="1"/>
                <w:bCs w:val="1"/>
                <w:color w:val="auto"/>
              </w:rPr>
              <w:t xml:space="preserve">Article D441-I.-1°: </w:t>
            </w:r>
            <w:r>
              <w:rPr>
                <w:rFonts w:ascii="Arial" w:cs="Arial" w:eastAsia="Arial" w:hAnsi="Arial"/>
                <w:sz w:val="11"/>
                <w:szCs w:val="11"/>
                <w:b w:val="1"/>
                <w:bCs w:val="1"/>
                <w:i w:val="1"/>
                <w:iCs w:val="1"/>
                <w:color w:val="auto"/>
              </w:rPr>
              <w:t>Received</w:t>
            </w:r>
            <w:r>
              <w:rPr>
                <w:rFonts w:ascii="Arial" w:cs="Arial" w:eastAsia="Arial" w:hAnsi="Arial"/>
                <w:sz w:val="11"/>
                <w:szCs w:val="11"/>
                <w:b w:val="1"/>
                <w:bCs w:val="1"/>
                <w:color w:val="auto"/>
              </w:rPr>
              <w:t xml:space="preserve"> invoices outstanding as of the fiscal year-end</w:t>
            </w:r>
          </w:p>
        </w:tc>
        <w:tc>
          <w:tcPr>
            <w:tcW w:w="140" w:type="dxa"/>
            <w:vAlign w:val="bottom"/>
            <w:tcBorders>
              <w:top w:val="single" w:sz="8" w:color="auto"/>
            </w:tcBorders>
          </w:tcPr>
          <w:p>
            <w:pPr>
              <w:spacing w:after="0"/>
              <w:rPr>
                <w:sz w:val="24"/>
                <w:szCs w:val="24"/>
                <w:color w:val="auto"/>
              </w:rPr>
            </w:pPr>
          </w:p>
        </w:tc>
        <w:tc>
          <w:tcPr>
            <w:tcW w:w="3980" w:type="dxa"/>
            <w:vAlign w:val="bottom"/>
            <w:tcBorders>
              <w:top w:val="single" w:sz="8" w:color="auto"/>
              <w:right w:val="single" w:sz="8" w:color="auto"/>
            </w:tcBorders>
            <w:gridSpan w:val="7"/>
          </w:tcPr>
          <w:p>
            <w:pPr>
              <w:jc w:val="right"/>
              <w:ind w:right="86"/>
              <w:spacing w:after="0"/>
              <w:rPr>
                <w:sz w:val="20"/>
                <w:szCs w:val="20"/>
                <w:color w:val="auto"/>
              </w:rPr>
            </w:pPr>
            <w:r>
              <w:rPr>
                <w:rFonts w:ascii="Arial" w:cs="Arial" w:eastAsia="Arial" w:hAnsi="Arial"/>
                <w:sz w:val="11"/>
                <w:szCs w:val="11"/>
                <w:b w:val="1"/>
                <w:bCs w:val="1"/>
                <w:color w:val="auto"/>
                <w:w w:val="97"/>
              </w:rPr>
              <w:t xml:space="preserve">Article D441-I.-1°: </w:t>
            </w:r>
            <w:r>
              <w:rPr>
                <w:rFonts w:ascii="Arial" w:cs="Arial" w:eastAsia="Arial" w:hAnsi="Arial"/>
                <w:sz w:val="11"/>
                <w:szCs w:val="11"/>
                <w:b w:val="1"/>
                <w:bCs w:val="1"/>
                <w:i w:val="1"/>
                <w:iCs w:val="1"/>
                <w:color w:val="auto"/>
                <w:w w:val="97"/>
              </w:rPr>
              <w:t>Issued</w:t>
            </w:r>
            <w:r>
              <w:rPr>
                <w:rFonts w:ascii="Arial" w:cs="Arial" w:eastAsia="Arial" w:hAnsi="Arial"/>
                <w:sz w:val="11"/>
                <w:szCs w:val="11"/>
                <w:b w:val="1"/>
                <w:bCs w:val="1"/>
                <w:color w:val="auto"/>
                <w:w w:val="97"/>
              </w:rPr>
              <w:t xml:space="preserve"> invoices outstanding as of the fiscal year-end and</w:t>
            </w: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0" w:type="dxa"/>
            <w:vAlign w:val="bottom"/>
            <w:tcBorders>
              <w:top w:val="single" w:sz="8" w:color="auto"/>
              <w:right w:val="single" w:sz="8" w:color="auto"/>
            </w:tcBorders>
            <w:shd w:val="clear" w:color="auto" w:fill="000000"/>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whose</w:t>
            </w:r>
          </w:p>
        </w:tc>
        <w:tc>
          <w:tcPr>
            <w:tcW w:w="162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w w:val="91"/>
              </w:rPr>
              <w:t>payment terms have expired</w:t>
            </w:r>
          </w:p>
        </w:tc>
        <w:tc>
          <w:tcPr>
            <w:tcW w:w="8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b w:val="1"/>
                <w:bCs w:val="1"/>
                <w:color w:val="auto"/>
                <w:w w:val="97"/>
              </w:rPr>
              <w:t>past due</w:t>
            </w:r>
          </w:p>
        </w:tc>
        <w:tc>
          <w:tcPr>
            <w:tcW w:w="9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0" w:type="dxa"/>
            <w:vAlign w:val="bottom"/>
            <w:tcBorders>
              <w:right w:val="single" w:sz="8" w:color="auto"/>
            </w:tcBorders>
            <w:shd w:val="clear" w:color="auto" w:fill="000000"/>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 to 30</w:t>
            </w:r>
          </w:p>
        </w:tc>
        <w:tc>
          <w:tcPr>
            <w:tcW w:w="72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31 to 60</w:t>
            </w:r>
          </w:p>
        </w:tc>
        <w:tc>
          <w:tcPr>
            <w:tcW w:w="72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61 to 90</w:t>
            </w:r>
          </w:p>
        </w:tc>
        <w:tc>
          <w:tcPr>
            <w:tcW w:w="840" w:type="dxa"/>
            <w:vAlign w:val="bottom"/>
            <w:tcBorders>
              <w:right w:val="single" w:sz="8" w:color="auto"/>
            </w:tcBorders>
          </w:tcPr>
          <w:p>
            <w:pPr>
              <w:ind w:left="160"/>
              <w:spacing w:after="0"/>
              <w:rPr>
                <w:sz w:val="20"/>
                <w:szCs w:val="20"/>
                <w:color w:val="auto"/>
              </w:rPr>
            </w:pPr>
            <w:r>
              <w:rPr>
                <w:rFonts w:ascii="Arial" w:cs="Arial" w:eastAsia="Arial" w:hAnsi="Arial"/>
                <w:sz w:val="11"/>
                <w:szCs w:val="11"/>
                <w:b w:val="1"/>
                <w:bCs w:val="1"/>
                <w:color w:val="auto"/>
              </w:rPr>
              <w:t>+ 91 days</w:t>
            </w:r>
          </w:p>
        </w:tc>
        <w:tc>
          <w:tcPr>
            <w:tcW w:w="880" w:type="dxa"/>
            <w:vAlign w:val="bottom"/>
            <w:tcBorders>
              <w:right w:val="single" w:sz="8" w:color="auto"/>
            </w:tcBorders>
          </w:tcPr>
          <w:p>
            <w:pPr>
              <w:ind w:left="26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 to 30</w:t>
            </w:r>
          </w:p>
        </w:tc>
        <w:tc>
          <w:tcPr>
            <w:tcW w:w="7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31 to 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61 to 90</w:t>
            </w:r>
          </w:p>
        </w:tc>
        <w:tc>
          <w:tcPr>
            <w:tcW w:w="940" w:type="dxa"/>
            <w:vAlign w:val="bottom"/>
            <w:tcBorders>
              <w:right w:val="single" w:sz="8" w:color="auto"/>
            </w:tcBorders>
          </w:tcPr>
          <w:p>
            <w:pPr>
              <w:ind w:left="200"/>
              <w:spacing w:after="0"/>
              <w:rPr>
                <w:sz w:val="20"/>
                <w:szCs w:val="20"/>
                <w:color w:val="auto"/>
              </w:rPr>
            </w:pPr>
            <w:r>
              <w:rPr>
                <w:rFonts w:ascii="Arial" w:cs="Arial" w:eastAsia="Arial" w:hAnsi="Arial"/>
                <w:sz w:val="11"/>
                <w:szCs w:val="11"/>
                <w:b w:val="1"/>
                <w:bCs w:val="1"/>
                <w:color w:val="auto"/>
              </w:rPr>
              <w:t>+ 91 days</w:t>
            </w:r>
          </w:p>
        </w:tc>
        <w:tc>
          <w:tcPr>
            <w:tcW w:w="86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TOTAL</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days</w:t>
            </w:r>
          </w:p>
        </w:tc>
        <w:tc>
          <w:tcPr>
            <w:tcW w:w="72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d days</w:t>
            </w:r>
          </w:p>
        </w:tc>
        <w:tc>
          <w:tcPr>
            <w:tcW w:w="72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days</w:t>
            </w:r>
          </w:p>
        </w:tc>
        <w:tc>
          <w:tcPr>
            <w:tcW w:w="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days</w:t>
            </w:r>
          </w:p>
        </w:tc>
        <w:tc>
          <w:tcPr>
            <w:tcW w:w="7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days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days</w:t>
            </w: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auto"/>
            </w:tcBorders>
            <w:shd w:val="clear" w:color="auto" w:fill="000000"/>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By payment delay brackets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700" w:type="dxa"/>
            <w:vAlign w:val="bottom"/>
            <w:tcBorders>
              <w:right w:val="single" w:sz="8" w:color="D9D9D9"/>
            </w:tcBorders>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60" w:type="dxa"/>
            <w:vAlign w:val="bottom"/>
            <w:tcBorders>
              <w:right w:val="single" w:sz="8" w:color="D9D9D9"/>
            </w:tcBorders>
            <w:shd w:val="clear" w:color="auto" w:fill="D9D9D9"/>
          </w:tcPr>
          <w:p>
            <w:pPr>
              <w:spacing w:after="0"/>
              <w:rPr>
                <w:sz w:val="12"/>
                <w:szCs w:val="12"/>
                <w:color w:val="auto"/>
              </w:rPr>
            </w:pPr>
          </w:p>
        </w:tc>
        <w:tc>
          <w:tcPr>
            <w:tcW w:w="720" w:type="dxa"/>
            <w:vAlign w:val="bottom"/>
            <w:tcBorders>
              <w:right w:val="single" w:sz="8" w:color="D9D9D9"/>
            </w:tcBorders>
            <w:shd w:val="clear" w:color="auto" w:fill="D9D9D9"/>
          </w:tcPr>
          <w:p>
            <w:pPr>
              <w:spacing w:after="0"/>
              <w:rPr>
                <w:sz w:val="12"/>
                <w:szCs w:val="12"/>
                <w:color w:val="auto"/>
              </w:rPr>
            </w:pPr>
          </w:p>
        </w:tc>
        <w:tc>
          <w:tcPr>
            <w:tcW w:w="840" w:type="dxa"/>
            <w:vAlign w:val="bottom"/>
            <w:tcBorders>
              <w:right w:val="single" w:sz="8" w:color="auto"/>
            </w:tcBorders>
            <w:shd w:val="clear" w:color="auto" w:fill="D9D9D9"/>
          </w:tcPr>
          <w:p>
            <w:pPr>
              <w:spacing w:after="0"/>
              <w:rPr>
                <w:sz w:val="12"/>
                <w:szCs w:val="12"/>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20</w:t>
            </w:r>
          </w:p>
        </w:tc>
        <w:tc>
          <w:tcPr>
            <w:tcW w:w="140" w:type="dxa"/>
            <w:vAlign w:val="bottom"/>
            <w:tcBorders>
              <w:right w:val="single" w:sz="8" w:color="auto"/>
            </w:tcBorders>
          </w:tcPr>
          <w:p>
            <w:pPr>
              <w:spacing w:after="0"/>
              <w:rPr>
                <w:sz w:val="12"/>
                <w:szCs w:val="12"/>
                <w:color w:val="auto"/>
              </w:rPr>
            </w:pPr>
          </w:p>
        </w:tc>
        <w:tc>
          <w:tcPr>
            <w:tcW w:w="620" w:type="dxa"/>
            <w:vAlign w:val="bottom"/>
            <w:tcBorders>
              <w:right w:val="single" w:sz="8" w:color="D9D9D9"/>
            </w:tcBorders>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800" w:type="dxa"/>
            <w:vAlign w:val="bottom"/>
            <w:tcBorders>
              <w:right w:val="single" w:sz="8" w:color="D9D9D9"/>
            </w:tcBorders>
            <w:shd w:val="clear" w:color="auto" w:fill="D9D9D9"/>
          </w:tcPr>
          <w:p>
            <w:pPr>
              <w:spacing w:after="0"/>
              <w:rPr>
                <w:sz w:val="12"/>
                <w:szCs w:val="12"/>
                <w:color w:val="auto"/>
              </w:rPr>
            </w:pPr>
          </w:p>
        </w:tc>
        <w:tc>
          <w:tcPr>
            <w:tcW w:w="940" w:type="dxa"/>
            <w:vAlign w:val="bottom"/>
            <w:tcBorders>
              <w:right w:val="single" w:sz="8" w:color="auto"/>
            </w:tcBorders>
            <w:shd w:val="clear" w:color="auto" w:fill="D9D9D9"/>
          </w:tcPr>
          <w:p>
            <w:pPr>
              <w:spacing w:after="0"/>
              <w:rPr>
                <w:sz w:val="12"/>
                <w:szCs w:val="12"/>
                <w:color w:val="auto"/>
              </w:rPr>
            </w:pPr>
          </w:p>
        </w:tc>
        <w:tc>
          <w:tcPr>
            <w:tcW w:w="860" w:type="dxa"/>
            <w:vAlign w:val="bottom"/>
          </w:tcPr>
          <w:p>
            <w:pPr>
              <w:jc w:val="right"/>
              <w:ind w:right="326"/>
              <w:spacing w:after="0"/>
              <w:rPr>
                <w:sz w:val="20"/>
                <w:szCs w:val="20"/>
                <w:color w:val="auto"/>
              </w:rPr>
            </w:pPr>
            <w:r>
              <w:rPr>
                <w:rFonts w:ascii="Arial" w:cs="Arial" w:eastAsia="Arial" w:hAnsi="Arial"/>
                <w:sz w:val="11"/>
                <w:szCs w:val="11"/>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Number of</w:t>
            </w:r>
          </w:p>
        </w:tc>
        <w:tc>
          <w:tcPr>
            <w:tcW w:w="140" w:type="dxa"/>
            <w:vAlign w:val="bottom"/>
            <w:tcBorders>
              <w:right w:val="single" w:sz="8" w:color="auto"/>
            </w:tcBorders>
          </w:tcPr>
          <w:p>
            <w:pPr>
              <w:spacing w:after="0"/>
              <w:rPr>
                <w:sz w:val="15"/>
                <w:szCs w:val="15"/>
                <w:color w:val="auto"/>
              </w:rPr>
            </w:pPr>
          </w:p>
        </w:tc>
        <w:tc>
          <w:tcPr>
            <w:tcW w:w="700" w:type="dxa"/>
            <w:vAlign w:val="bottom"/>
            <w:tcBorders>
              <w:right w:val="single" w:sz="8" w:color="D9D9D9"/>
            </w:tcBorders>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480" w:type="dxa"/>
            <w:vAlign w:val="bottom"/>
            <w:shd w:val="clear" w:color="auto" w:fill="D9D9D9"/>
          </w:tcPr>
          <w:p>
            <w:pPr>
              <w:spacing w:after="0"/>
              <w:rPr>
                <w:sz w:val="15"/>
                <w:szCs w:val="15"/>
                <w:color w:val="auto"/>
              </w:rPr>
            </w:pPr>
          </w:p>
        </w:tc>
        <w:tc>
          <w:tcPr>
            <w:tcW w:w="60" w:type="dxa"/>
            <w:vAlign w:val="bottom"/>
            <w:tcBorders>
              <w:right w:val="single" w:sz="8" w:color="D9D9D9"/>
            </w:tcBorders>
            <w:shd w:val="clear" w:color="auto" w:fill="D9D9D9"/>
          </w:tcPr>
          <w:p>
            <w:pPr>
              <w:spacing w:after="0"/>
              <w:rPr>
                <w:sz w:val="15"/>
                <w:szCs w:val="15"/>
                <w:color w:val="auto"/>
              </w:rPr>
            </w:pPr>
          </w:p>
        </w:tc>
        <w:tc>
          <w:tcPr>
            <w:tcW w:w="720" w:type="dxa"/>
            <w:vAlign w:val="bottom"/>
            <w:tcBorders>
              <w:right w:val="single" w:sz="8" w:color="D9D9D9"/>
            </w:tcBorders>
            <w:shd w:val="clear" w:color="auto" w:fill="D9D9D9"/>
          </w:tcPr>
          <w:p>
            <w:pPr>
              <w:spacing w:after="0"/>
              <w:rPr>
                <w:sz w:val="15"/>
                <w:szCs w:val="15"/>
                <w:color w:val="auto"/>
              </w:rPr>
            </w:pPr>
          </w:p>
        </w:tc>
        <w:tc>
          <w:tcPr>
            <w:tcW w:w="840" w:type="dxa"/>
            <w:vAlign w:val="bottom"/>
            <w:tcBorders>
              <w:right w:val="single" w:sz="8" w:color="auto"/>
            </w:tcBorders>
            <w:shd w:val="clear" w:color="auto" w:fill="D9D9D9"/>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20" w:type="dxa"/>
            <w:vAlign w:val="bottom"/>
            <w:tcBorders>
              <w:right w:val="single" w:sz="8" w:color="D9D9D9"/>
            </w:tcBorders>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120" w:type="dxa"/>
            <w:vAlign w:val="bottom"/>
            <w:tcBorders>
              <w:right w:val="single" w:sz="8" w:color="D9D9D9"/>
            </w:tcBorders>
            <w:shd w:val="clear" w:color="auto" w:fill="D9D9D9"/>
          </w:tcPr>
          <w:p>
            <w:pPr>
              <w:spacing w:after="0"/>
              <w:rPr>
                <w:sz w:val="15"/>
                <w:szCs w:val="15"/>
                <w:color w:val="auto"/>
              </w:rPr>
            </w:pPr>
          </w:p>
        </w:tc>
        <w:tc>
          <w:tcPr>
            <w:tcW w:w="800" w:type="dxa"/>
            <w:vAlign w:val="bottom"/>
            <w:tcBorders>
              <w:right w:val="single" w:sz="8" w:color="D9D9D9"/>
            </w:tcBorders>
            <w:shd w:val="clear" w:color="auto" w:fill="D9D9D9"/>
          </w:tcPr>
          <w:p>
            <w:pPr>
              <w:spacing w:after="0"/>
              <w:rPr>
                <w:sz w:val="15"/>
                <w:szCs w:val="15"/>
                <w:color w:val="auto"/>
              </w:rPr>
            </w:pPr>
          </w:p>
        </w:tc>
        <w:tc>
          <w:tcPr>
            <w:tcW w:w="940" w:type="dxa"/>
            <w:vAlign w:val="bottom"/>
            <w:tcBorders>
              <w:right w:val="single" w:sz="8" w:color="auto"/>
            </w:tcBorders>
            <w:shd w:val="clear" w:color="auto" w:fill="D9D9D9"/>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invoices</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720" w:type="dxa"/>
            <w:vAlign w:val="bottom"/>
            <w:tcBorders>
              <w:right w:val="single" w:sz="8" w:color="D9D9D9"/>
            </w:tcBorders>
            <w:shd w:val="clear" w:color="auto" w:fill="D9D9D9"/>
          </w:tcPr>
          <w:p>
            <w:pPr>
              <w:spacing w:after="0"/>
              <w:rPr>
                <w:sz w:val="10"/>
                <w:szCs w:val="10"/>
                <w:color w:val="auto"/>
              </w:rPr>
            </w:pPr>
          </w:p>
        </w:tc>
        <w:tc>
          <w:tcPr>
            <w:tcW w:w="840" w:type="dxa"/>
            <w:vAlign w:val="bottom"/>
            <w:tcBorders>
              <w:right w:val="single" w:sz="8" w:color="auto"/>
            </w:tcBorders>
            <w:shd w:val="clear" w:color="auto" w:fill="D9D9D9"/>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auto"/>
            </w:tcBorders>
            <w:shd w:val="clear" w:color="auto" w:fill="D9D9D9"/>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affected</w:t>
            </w:r>
          </w:p>
        </w:tc>
        <w:tc>
          <w:tcPr>
            <w:tcW w:w="140" w:type="dxa"/>
            <w:vAlign w:val="bottom"/>
            <w:tcBorders>
              <w:right w:val="single" w:sz="8" w:color="auto"/>
            </w:tcBorders>
          </w:tcPr>
          <w:p>
            <w:pPr>
              <w:spacing w:after="0"/>
              <w:rPr>
                <w:sz w:val="12"/>
                <w:szCs w:val="12"/>
                <w:color w:val="auto"/>
              </w:rPr>
            </w:pPr>
          </w:p>
        </w:tc>
        <w:tc>
          <w:tcPr>
            <w:tcW w:w="700" w:type="dxa"/>
            <w:vAlign w:val="bottom"/>
            <w:tcBorders>
              <w:right w:val="single" w:sz="8" w:color="D9D9D9"/>
            </w:tcBorders>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60" w:type="dxa"/>
            <w:vAlign w:val="bottom"/>
            <w:tcBorders>
              <w:right w:val="single" w:sz="8" w:color="D9D9D9"/>
            </w:tcBorders>
            <w:shd w:val="clear" w:color="auto" w:fill="D9D9D9"/>
          </w:tcPr>
          <w:p>
            <w:pPr>
              <w:spacing w:after="0"/>
              <w:rPr>
                <w:sz w:val="12"/>
                <w:szCs w:val="12"/>
                <w:color w:val="auto"/>
              </w:rPr>
            </w:pPr>
          </w:p>
        </w:tc>
        <w:tc>
          <w:tcPr>
            <w:tcW w:w="720" w:type="dxa"/>
            <w:vAlign w:val="bottom"/>
            <w:tcBorders>
              <w:right w:val="single" w:sz="8" w:color="D9D9D9"/>
            </w:tcBorders>
            <w:shd w:val="clear" w:color="auto" w:fill="D9D9D9"/>
          </w:tcPr>
          <w:p>
            <w:pPr>
              <w:spacing w:after="0"/>
              <w:rPr>
                <w:sz w:val="12"/>
                <w:szCs w:val="12"/>
                <w:color w:val="auto"/>
              </w:rPr>
            </w:pPr>
          </w:p>
        </w:tc>
        <w:tc>
          <w:tcPr>
            <w:tcW w:w="840" w:type="dxa"/>
            <w:vAlign w:val="bottom"/>
            <w:tcBorders>
              <w:right w:val="single" w:sz="8" w:color="auto"/>
            </w:tcBorders>
            <w:shd w:val="clear" w:color="auto" w:fill="D9D9D9"/>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Borders>
              <w:right w:val="single" w:sz="8" w:color="D9D9D9"/>
            </w:tcBorders>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800" w:type="dxa"/>
            <w:vAlign w:val="bottom"/>
            <w:tcBorders>
              <w:right w:val="single" w:sz="8" w:color="D9D9D9"/>
            </w:tcBorders>
            <w:shd w:val="clear" w:color="auto" w:fill="D9D9D9"/>
          </w:tcPr>
          <w:p>
            <w:pPr>
              <w:spacing w:after="0"/>
              <w:rPr>
                <w:sz w:val="12"/>
                <w:szCs w:val="12"/>
                <w:color w:val="auto"/>
              </w:rPr>
            </w:pPr>
          </w:p>
        </w:tc>
        <w:tc>
          <w:tcPr>
            <w:tcW w:w="940" w:type="dxa"/>
            <w:vAlign w:val="bottom"/>
            <w:tcBorders>
              <w:right w:val="single" w:sz="8" w:color="auto"/>
            </w:tcBorders>
            <w:shd w:val="clear" w:color="auto" w:fill="D9D9D9"/>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2"/>
        </w:trPr>
        <w:tc>
          <w:tcPr>
            <w:tcW w:w="40" w:type="dxa"/>
            <w:vAlign w:val="bottom"/>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480" w:type="dxa"/>
            <w:vAlign w:val="bottom"/>
            <w:tcBorders>
              <w:bottom w:val="single" w:sz="8" w:color="auto"/>
            </w:tcBorders>
            <w:shd w:val="clear" w:color="auto" w:fill="D9D9D9"/>
          </w:tcPr>
          <w:p>
            <w:pPr>
              <w:spacing w:after="0"/>
              <w:rPr>
                <w:sz w:val="24"/>
                <w:szCs w:val="24"/>
                <w:color w:val="auto"/>
              </w:rPr>
            </w:pPr>
          </w:p>
        </w:tc>
        <w:tc>
          <w:tcPr>
            <w:tcW w:w="60" w:type="dxa"/>
            <w:vAlign w:val="bottom"/>
            <w:tcBorders>
              <w:bottom w:val="single" w:sz="8" w:color="auto"/>
              <w:right w:val="single" w:sz="8" w:color="D9D9D9"/>
            </w:tcBorders>
            <w:shd w:val="clear" w:color="auto" w:fill="D9D9D9"/>
          </w:tcPr>
          <w:p>
            <w:pPr>
              <w:spacing w:after="0"/>
              <w:rPr>
                <w:sz w:val="24"/>
                <w:szCs w:val="24"/>
                <w:color w:val="auto"/>
              </w:rPr>
            </w:pPr>
          </w:p>
        </w:tc>
        <w:tc>
          <w:tcPr>
            <w:tcW w:w="720" w:type="dxa"/>
            <w:vAlign w:val="bottom"/>
            <w:tcBorders>
              <w:bottom w:val="single" w:sz="8" w:color="auto"/>
              <w:right w:val="single" w:sz="8" w:color="D9D9D9"/>
            </w:tcBorders>
            <w:shd w:val="clear" w:color="auto" w:fill="D9D9D9"/>
          </w:tcPr>
          <w:p>
            <w:pPr>
              <w:spacing w:after="0"/>
              <w:rPr>
                <w:sz w:val="24"/>
                <w:szCs w:val="24"/>
                <w:color w:val="auto"/>
              </w:rPr>
            </w:pPr>
          </w:p>
        </w:tc>
        <w:tc>
          <w:tcPr>
            <w:tcW w:w="840" w:type="dxa"/>
            <w:vAlign w:val="bottom"/>
            <w:tcBorders>
              <w:bottom w:val="single" w:sz="8" w:color="auto"/>
              <w:right w:val="single" w:sz="8" w:color="auto"/>
            </w:tcBorders>
            <w:shd w:val="clear" w:color="auto" w:fill="D9D9D9"/>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D9D9D9"/>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spacing w:after="0"/>
              <w:rPr>
                <w:sz w:val="24"/>
                <w:szCs w:val="24"/>
                <w:color w:val="auto"/>
              </w:rPr>
            </w:pPr>
          </w:p>
        </w:tc>
        <w:tc>
          <w:tcPr>
            <w:tcW w:w="120" w:type="dxa"/>
            <w:vAlign w:val="bottom"/>
            <w:tcBorders>
              <w:bottom w:val="single" w:sz="8" w:color="auto"/>
              <w:right w:val="single" w:sz="8" w:color="D9D9D9"/>
            </w:tcBorders>
            <w:shd w:val="clear" w:color="auto" w:fill="D9D9D9"/>
          </w:tcPr>
          <w:p>
            <w:pPr>
              <w:spacing w:after="0"/>
              <w:rPr>
                <w:sz w:val="24"/>
                <w:szCs w:val="24"/>
                <w:color w:val="auto"/>
              </w:rPr>
            </w:pPr>
          </w:p>
        </w:tc>
        <w:tc>
          <w:tcPr>
            <w:tcW w:w="800" w:type="dxa"/>
            <w:vAlign w:val="bottom"/>
            <w:tcBorders>
              <w:bottom w:val="single" w:sz="8" w:color="auto"/>
              <w:right w:val="single" w:sz="8" w:color="D9D9D9"/>
            </w:tcBorders>
            <w:shd w:val="clear" w:color="auto" w:fill="D9D9D9"/>
          </w:tcPr>
          <w:p>
            <w:pPr>
              <w:spacing w:after="0"/>
              <w:rPr>
                <w:sz w:val="24"/>
                <w:szCs w:val="24"/>
                <w:color w:val="auto"/>
              </w:rPr>
            </w:pPr>
          </w:p>
        </w:tc>
        <w:tc>
          <w:tcPr>
            <w:tcW w:w="940" w:type="dxa"/>
            <w:vAlign w:val="bottom"/>
            <w:tcBorders>
              <w:bottom w:val="single" w:sz="8" w:color="auto"/>
              <w:right w:val="single" w:sz="8" w:color="auto"/>
            </w:tcBorders>
            <w:shd w:val="clear" w:color="auto" w:fill="D9D9D9"/>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20" w:type="dxa"/>
            <w:vAlign w:val="bottom"/>
            <w:tcBorders>
              <w:right w:val="single" w:sz="8" w:color="auto"/>
            </w:tcBorders>
          </w:tcPr>
          <w:p>
            <w:pPr>
              <w:ind w:left="60"/>
              <w:spacing w:after="0" w:line="102" w:lineRule="exact"/>
              <w:rPr>
                <w:sz w:val="20"/>
                <w:szCs w:val="20"/>
                <w:color w:val="auto"/>
              </w:rPr>
            </w:pPr>
            <w:r>
              <w:rPr>
                <w:rFonts w:ascii="Arial" w:cs="Arial" w:eastAsia="Arial" w:hAnsi="Arial"/>
                <w:sz w:val="11"/>
                <w:szCs w:val="11"/>
                <w:color w:val="auto"/>
              </w:rPr>
              <w:t>Total</w:t>
            </w:r>
          </w:p>
        </w:tc>
        <w:tc>
          <w:tcPr>
            <w:tcW w:w="14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rPr>
              <w:t>€317,357</w:t>
            </w:r>
          </w:p>
        </w:tc>
        <w:tc>
          <w:tcPr>
            <w:tcW w:w="720" w:type="dxa"/>
            <w:vAlign w:val="bottom"/>
            <w:tcBorders>
              <w:right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94"/>
              </w:rPr>
              <w:t>€1,200</w:t>
            </w:r>
          </w:p>
        </w:tc>
        <w:tc>
          <w:tcPr>
            <w:tcW w:w="720" w:type="dxa"/>
            <w:vAlign w:val="bottom"/>
            <w:tcBorders>
              <w:right w:val="single" w:sz="8" w:color="auto"/>
            </w:tcBorders>
          </w:tcPr>
          <w:p>
            <w:pPr>
              <w:jc w:val="center"/>
              <w:ind w:right="6"/>
              <w:spacing w:after="0" w:line="102" w:lineRule="exact"/>
              <w:rPr>
                <w:sz w:val="20"/>
                <w:szCs w:val="20"/>
                <w:color w:val="auto"/>
              </w:rPr>
            </w:pPr>
            <w:r>
              <w:rPr>
                <w:rFonts w:ascii="Arial" w:cs="Arial" w:eastAsia="Arial" w:hAnsi="Arial"/>
                <w:sz w:val="11"/>
                <w:szCs w:val="11"/>
                <w:color w:val="auto"/>
              </w:rPr>
              <w:t>€184,480</w:t>
            </w:r>
          </w:p>
        </w:tc>
        <w:tc>
          <w:tcPr>
            <w:tcW w:w="840" w:type="dxa"/>
            <w:vAlign w:val="bottom"/>
            <w:tcBorders>
              <w:right w:val="single" w:sz="8" w:color="auto"/>
            </w:tcBorders>
          </w:tcPr>
          <w:p>
            <w:pPr>
              <w:ind w:left="160"/>
              <w:spacing w:after="0" w:line="102" w:lineRule="exact"/>
              <w:rPr>
                <w:sz w:val="20"/>
                <w:szCs w:val="20"/>
                <w:color w:val="auto"/>
              </w:rPr>
            </w:pPr>
            <w:r>
              <w:rPr>
                <w:rFonts w:ascii="Arial" w:cs="Arial" w:eastAsia="Arial" w:hAnsi="Arial"/>
                <w:sz w:val="11"/>
                <w:szCs w:val="11"/>
                <w:color w:val="auto"/>
              </w:rPr>
              <w:t>€2,475,408</w:t>
            </w:r>
          </w:p>
        </w:tc>
        <w:tc>
          <w:tcPr>
            <w:tcW w:w="88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8"/>
              </w:rPr>
              <w:t>€2,978,445</w:t>
            </w:r>
          </w:p>
        </w:tc>
        <w:tc>
          <w:tcPr>
            <w:tcW w:w="14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7"/>
              </w:rPr>
              <w:t>€0</w:t>
            </w:r>
          </w:p>
        </w:tc>
        <w:tc>
          <w:tcPr>
            <w:tcW w:w="280" w:type="dxa"/>
            <w:vAlign w:val="bottom"/>
          </w:tcPr>
          <w:p>
            <w:pPr>
              <w:spacing w:after="0"/>
              <w:rPr>
                <w:sz w:val="8"/>
                <w:szCs w:val="8"/>
                <w:color w:val="auto"/>
              </w:rPr>
            </w:pPr>
          </w:p>
        </w:tc>
        <w:tc>
          <w:tcPr>
            <w:tcW w:w="480" w:type="dxa"/>
            <w:vAlign w:val="bottom"/>
            <w:tcBorders>
              <w:right w:val="single" w:sz="8" w:color="auto"/>
            </w:tcBorders>
            <w:gridSpan w:val="2"/>
          </w:tcPr>
          <w:p>
            <w:pPr>
              <w:jc w:val="center"/>
              <w:ind w:right="320"/>
              <w:spacing w:after="0" w:line="102" w:lineRule="exact"/>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rPr>
              <w:t>€352,047</w:t>
            </w:r>
          </w:p>
        </w:tc>
        <w:tc>
          <w:tcPr>
            <w:tcW w:w="9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8"/>
              </w:rPr>
              <w:t>€2,032,203</w:t>
            </w:r>
          </w:p>
        </w:tc>
        <w:tc>
          <w:tcPr>
            <w:tcW w:w="860" w:type="dxa"/>
            <w:vAlign w:val="bottom"/>
          </w:tcPr>
          <w:p>
            <w:pPr>
              <w:jc w:val="right"/>
              <w:ind w:right="86"/>
              <w:spacing w:after="0" w:line="102" w:lineRule="exact"/>
              <w:rPr>
                <w:sz w:val="20"/>
                <w:szCs w:val="20"/>
                <w:color w:val="auto"/>
              </w:rPr>
            </w:pPr>
            <w:r>
              <w:rPr>
                <w:rFonts w:ascii="Arial" w:cs="Arial" w:eastAsia="Arial" w:hAnsi="Arial"/>
                <w:sz w:val="11"/>
                <w:szCs w:val="11"/>
                <w:color w:val="auto"/>
              </w:rPr>
              <w:t>€2,384,250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amount of</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affected</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invoices</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i w:val="1"/>
                <w:iCs w:val="1"/>
                <w:color w:val="auto"/>
              </w:rPr>
              <w:t>Including</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tax</w:t>
            </w:r>
          </w:p>
        </w:tc>
        <w:tc>
          <w:tcPr>
            <w:tcW w:w="1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Percentage</w:t>
            </w:r>
          </w:p>
        </w:tc>
        <w:tc>
          <w:tcPr>
            <w:tcW w:w="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rPr>
              <w:t>10.55%</w:t>
            </w:r>
          </w:p>
        </w:tc>
        <w:tc>
          <w:tcPr>
            <w:tcW w:w="660" w:type="dxa"/>
            <w:vAlign w:val="bottom"/>
            <w:gridSpan w:val="2"/>
          </w:tcPr>
          <w:p>
            <w:pPr>
              <w:jc w:val="right"/>
              <w:ind w:right="106"/>
              <w:spacing w:after="0"/>
              <w:rPr>
                <w:sz w:val="20"/>
                <w:szCs w:val="20"/>
                <w:color w:val="auto"/>
              </w:rPr>
            </w:pPr>
            <w:r>
              <w:rPr>
                <w:rFonts w:ascii="Arial" w:cs="Arial" w:eastAsia="Arial" w:hAnsi="Arial"/>
                <w:sz w:val="11"/>
                <w:szCs w:val="11"/>
                <w:color w:val="auto"/>
              </w:rPr>
              <w:t>0.04%</w:t>
            </w:r>
          </w:p>
        </w:tc>
        <w:tc>
          <w:tcPr>
            <w:tcW w:w="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6.13%</w:t>
            </w:r>
          </w:p>
        </w:tc>
        <w:tc>
          <w:tcPr>
            <w:tcW w:w="840" w:type="dxa"/>
            <w:vAlign w:val="bottom"/>
            <w:tcBorders>
              <w:right w:val="single" w:sz="8" w:color="auto"/>
            </w:tcBorders>
          </w:tcPr>
          <w:p>
            <w:pPr>
              <w:jc w:val="right"/>
              <w:ind w:right="206"/>
              <w:spacing w:after="0"/>
              <w:rPr>
                <w:sz w:val="20"/>
                <w:szCs w:val="20"/>
                <w:color w:val="auto"/>
              </w:rPr>
            </w:pPr>
            <w:r>
              <w:rPr>
                <w:rFonts w:ascii="Arial" w:cs="Arial" w:eastAsia="Arial" w:hAnsi="Arial"/>
                <w:sz w:val="11"/>
                <w:szCs w:val="11"/>
                <w:color w:val="auto"/>
              </w:rPr>
              <w:t>82.27%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98.99%</w:t>
            </w:r>
          </w:p>
        </w:tc>
        <w:tc>
          <w:tcPr>
            <w:tcW w:w="140" w:type="dxa"/>
            <w:vAlign w:val="bottom"/>
            <w:tcBorders>
              <w:right w:val="single" w:sz="8" w:color="D9D9D9"/>
            </w:tcBorders>
            <w:shd w:val="clear" w:color="auto" w:fill="D9D9D9"/>
          </w:tcPr>
          <w:p>
            <w:pPr>
              <w:spacing w:after="0"/>
              <w:rPr>
                <w:sz w:val="11"/>
                <w:szCs w:val="11"/>
                <w:color w:val="auto"/>
              </w:rPr>
            </w:pPr>
          </w:p>
        </w:tc>
        <w:tc>
          <w:tcPr>
            <w:tcW w:w="620" w:type="dxa"/>
            <w:vAlign w:val="bottom"/>
            <w:tcBorders>
              <w:right w:val="single" w:sz="8" w:color="D9D9D9"/>
            </w:tcBorders>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120" w:type="dxa"/>
            <w:vAlign w:val="bottom"/>
            <w:tcBorders>
              <w:right w:val="single" w:sz="8" w:color="D9D9D9"/>
            </w:tcBorders>
            <w:shd w:val="clear" w:color="auto" w:fill="D9D9D9"/>
          </w:tcPr>
          <w:p>
            <w:pPr>
              <w:spacing w:after="0"/>
              <w:rPr>
                <w:sz w:val="11"/>
                <w:szCs w:val="11"/>
                <w:color w:val="auto"/>
              </w:rPr>
            </w:pPr>
          </w:p>
        </w:tc>
        <w:tc>
          <w:tcPr>
            <w:tcW w:w="800" w:type="dxa"/>
            <w:vAlign w:val="bottom"/>
            <w:tcBorders>
              <w:right w:val="single" w:sz="8" w:color="D9D9D9"/>
            </w:tcBorders>
            <w:shd w:val="clear" w:color="auto" w:fill="D9D9D9"/>
          </w:tcPr>
          <w:p>
            <w:pPr>
              <w:spacing w:after="0"/>
              <w:rPr>
                <w:sz w:val="11"/>
                <w:szCs w:val="11"/>
                <w:color w:val="auto"/>
              </w:rPr>
            </w:pPr>
          </w:p>
        </w:tc>
        <w:tc>
          <w:tcPr>
            <w:tcW w:w="940" w:type="dxa"/>
            <w:vAlign w:val="bottom"/>
            <w:tcBorders>
              <w:right w:val="single" w:sz="8" w:color="D9D9D9"/>
            </w:tcBorders>
            <w:shd w:val="clear" w:color="auto" w:fill="D9D9D9"/>
          </w:tcPr>
          <w:p>
            <w:pPr>
              <w:spacing w:after="0"/>
              <w:rPr>
                <w:sz w:val="11"/>
                <w:szCs w:val="11"/>
                <w:color w:val="auto"/>
              </w:rPr>
            </w:pPr>
          </w:p>
        </w:tc>
        <w:tc>
          <w:tcPr>
            <w:tcW w:w="860" w:type="dxa"/>
            <w:vAlign w:val="bottom"/>
            <w:tcBorders>
              <w:right w:val="single" w:sz="8" w:color="D9D9D9"/>
            </w:tcBorders>
            <w:shd w:val="clear" w:color="auto" w:fill="D9D9D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40" w:type="dxa"/>
            <w:vAlign w:val="bottom"/>
            <w:tcBorders>
              <w:right w:val="single" w:sz="8" w:color="D9D9D9"/>
            </w:tcBorders>
            <w:shd w:val="clear" w:color="auto" w:fill="D9D9D9"/>
          </w:tcPr>
          <w:p>
            <w:pPr>
              <w:spacing w:after="0"/>
              <w:rPr>
                <w:sz w:val="7"/>
                <w:szCs w:val="7"/>
                <w:color w:val="auto"/>
              </w:rPr>
            </w:pPr>
          </w:p>
        </w:tc>
        <w:tc>
          <w:tcPr>
            <w:tcW w:w="620" w:type="dxa"/>
            <w:vAlign w:val="bottom"/>
            <w:tcBorders>
              <w:right w:val="single" w:sz="8" w:color="D9D9D9"/>
            </w:tcBorders>
            <w:shd w:val="clear" w:color="auto" w:fill="D9D9D9"/>
          </w:tcPr>
          <w:p>
            <w:pPr>
              <w:spacing w:after="0"/>
              <w:rPr>
                <w:sz w:val="7"/>
                <w:szCs w:val="7"/>
                <w:color w:val="auto"/>
              </w:rPr>
            </w:pPr>
          </w:p>
        </w:tc>
        <w:tc>
          <w:tcPr>
            <w:tcW w:w="280" w:type="dxa"/>
            <w:vAlign w:val="bottom"/>
            <w:shd w:val="clear" w:color="auto" w:fill="D9D9D9"/>
          </w:tcPr>
          <w:p>
            <w:pPr>
              <w:spacing w:after="0"/>
              <w:rPr>
                <w:sz w:val="7"/>
                <w:szCs w:val="7"/>
                <w:color w:val="auto"/>
              </w:rPr>
            </w:pPr>
          </w:p>
        </w:tc>
        <w:tc>
          <w:tcPr>
            <w:tcW w:w="360" w:type="dxa"/>
            <w:vAlign w:val="bottom"/>
            <w:shd w:val="clear" w:color="auto" w:fill="D9D9D9"/>
          </w:tcPr>
          <w:p>
            <w:pPr>
              <w:spacing w:after="0"/>
              <w:rPr>
                <w:sz w:val="7"/>
                <w:szCs w:val="7"/>
                <w:color w:val="auto"/>
              </w:rPr>
            </w:pPr>
          </w:p>
        </w:tc>
        <w:tc>
          <w:tcPr>
            <w:tcW w:w="120" w:type="dxa"/>
            <w:vAlign w:val="bottom"/>
            <w:tcBorders>
              <w:right w:val="single" w:sz="8" w:color="D9D9D9"/>
            </w:tcBorders>
            <w:shd w:val="clear" w:color="auto" w:fill="D9D9D9"/>
          </w:tcPr>
          <w:p>
            <w:pPr>
              <w:spacing w:after="0"/>
              <w:rPr>
                <w:sz w:val="7"/>
                <w:szCs w:val="7"/>
                <w:color w:val="auto"/>
              </w:rPr>
            </w:pPr>
          </w:p>
        </w:tc>
        <w:tc>
          <w:tcPr>
            <w:tcW w:w="800" w:type="dxa"/>
            <w:vAlign w:val="bottom"/>
            <w:tcBorders>
              <w:right w:val="single" w:sz="8" w:color="D9D9D9"/>
            </w:tcBorders>
            <w:shd w:val="clear" w:color="auto" w:fill="D9D9D9"/>
          </w:tcPr>
          <w:p>
            <w:pPr>
              <w:spacing w:after="0"/>
              <w:rPr>
                <w:sz w:val="7"/>
                <w:szCs w:val="7"/>
                <w:color w:val="auto"/>
              </w:rPr>
            </w:pPr>
          </w:p>
        </w:tc>
        <w:tc>
          <w:tcPr>
            <w:tcW w:w="940" w:type="dxa"/>
            <w:vAlign w:val="bottom"/>
            <w:tcBorders>
              <w:right w:val="single" w:sz="8" w:color="D9D9D9"/>
            </w:tcBorders>
            <w:shd w:val="clear" w:color="auto" w:fill="D9D9D9"/>
          </w:tcPr>
          <w:p>
            <w:pPr>
              <w:spacing w:after="0"/>
              <w:rPr>
                <w:sz w:val="7"/>
                <w:szCs w:val="7"/>
                <w:color w:val="auto"/>
              </w:rPr>
            </w:pPr>
          </w:p>
        </w:tc>
        <w:tc>
          <w:tcPr>
            <w:tcW w:w="860" w:type="dxa"/>
            <w:vAlign w:val="bottom"/>
            <w:tcBorders>
              <w:right w:val="single" w:sz="8" w:color="D9D9D9"/>
            </w:tcBorders>
            <w:shd w:val="clear" w:color="auto" w:fill="D9D9D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of total</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D9D9D9"/>
            </w:tcBorders>
            <w:shd w:val="clear" w:color="auto" w:fill="D9D9D9"/>
          </w:tcPr>
          <w:p>
            <w:pPr>
              <w:spacing w:after="0"/>
              <w:rPr>
                <w:sz w:val="10"/>
                <w:szCs w:val="10"/>
                <w:color w:val="auto"/>
              </w:rPr>
            </w:pPr>
          </w:p>
        </w:tc>
        <w:tc>
          <w:tcPr>
            <w:tcW w:w="860" w:type="dxa"/>
            <w:vAlign w:val="bottom"/>
            <w:tcBorders>
              <w:right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purchases</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D9D9D9"/>
            </w:tcBorders>
            <w:shd w:val="clear" w:color="auto" w:fill="D9D9D9"/>
          </w:tcPr>
          <w:p>
            <w:pPr>
              <w:spacing w:after="0"/>
              <w:rPr>
                <w:sz w:val="10"/>
                <w:szCs w:val="10"/>
                <w:color w:val="auto"/>
              </w:rPr>
            </w:pPr>
          </w:p>
        </w:tc>
        <w:tc>
          <w:tcPr>
            <w:tcW w:w="860" w:type="dxa"/>
            <w:vAlign w:val="bottom"/>
            <w:tcBorders>
              <w:right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for the</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D9D9D9"/>
            </w:tcBorders>
            <w:shd w:val="clear" w:color="auto" w:fill="D9D9D9"/>
          </w:tcPr>
          <w:p>
            <w:pPr>
              <w:spacing w:after="0"/>
              <w:rPr>
                <w:sz w:val="10"/>
                <w:szCs w:val="10"/>
                <w:color w:val="auto"/>
              </w:rPr>
            </w:pPr>
          </w:p>
        </w:tc>
        <w:tc>
          <w:tcPr>
            <w:tcW w:w="860" w:type="dxa"/>
            <w:vAlign w:val="bottom"/>
            <w:tcBorders>
              <w:right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fiscal year</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D9D9D9"/>
            </w:tcBorders>
            <w:shd w:val="clear" w:color="auto" w:fill="D9D9D9"/>
          </w:tcPr>
          <w:p>
            <w:pPr>
              <w:spacing w:after="0"/>
              <w:rPr>
                <w:sz w:val="10"/>
                <w:szCs w:val="10"/>
                <w:color w:val="auto"/>
              </w:rPr>
            </w:pPr>
          </w:p>
        </w:tc>
        <w:tc>
          <w:tcPr>
            <w:tcW w:w="860" w:type="dxa"/>
            <w:vAlign w:val="bottom"/>
            <w:tcBorders>
              <w:right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i w:val="1"/>
                <w:iCs w:val="1"/>
                <w:color w:val="auto"/>
              </w:rPr>
              <w:t>Including</w:t>
            </w:r>
          </w:p>
        </w:tc>
        <w:tc>
          <w:tcPr>
            <w:tcW w:w="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20" w:type="dxa"/>
            <w:vAlign w:val="bottom"/>
            <w:tcBorders>
              <w:right w:val="single" w:sz="8" w:color="D9D9D9"/>
            </w:tcBorders>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940" w:type="dxa"/>
            <w:vAlign w:val="bottom"/>
            <w:tcBorders>
              <w:right w:val="single" w:sz="8" w:color="D9D9D9"/>
            </w:tcBorders>
            <w:shd w:val="clear" w:color="auto" w:fill="D9D9D9"/>
          </w:tcPr>
          <w:p>
            <w:pPr>
              <w:spacing w:after="0"/>
              <w:rPr>
                <w:sz w:val="10"/>
                <w:szCs w:val="10"/>
                <w:color w:val="auto"/>
              </w:rPr>
            </w:pPr>
          </w:p>
        </w:tc>
        <w:tc>
          <w:tcPr>
            <w:tcW w:w="860" w:type="dxa"/>
            <w:vAlign w:val="bottom"/>
            <w:tcBorders>
              <w:right w:val="single" w:sz="8" w:color="D9D9D9"/>
            </w:tcBorders>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tax</w:t>
            </w:r>
          </w:p>
        </w:tc>
        <w:tc>
          <w:tcPr>
            <w:tcW w:w="1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620" w:type="dxa"/>
            <w:vAlign w:val="bottom"/>
            <w:tcBorders>
              <w:right w:val="single" w:sz="8" w:color="D9D9D9"/>
            </w:tcBorders>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20" w:type="dxa"/>
            <w:vAlign w:val="bottom"/>
            <w:tcBorders>
              <w:right w:val="single" w:sz="8" w:color="D9D9D9"/>
            </w:tcBorders>
            <w:shd w:val="clear" w:color="auto" w:fill="D9D9D9"/>
          </w:tcPr>
          <w:p>
            <w:pPr>
              <w:spacing w:after="0"/>
              <w:rPr>
                <w:sz w:val="12"/>
                <w:szCs w:val="12"/>
                <w:color w:val="auto"/>
              </w:rPr>
            </w:pPr>
          </w:p>
        </w:tc>
        <w:tc>
          <w:tcPr>
            <w:tcW w:w="800" w:type="dxa"/>
            <w:vAlign w:val="bottom"/>
            <w:tcBorders>
              <w:right w:val="single" w:sz="8" w:color="D9D9D9"/>
            </w:tcBorders>
            <w:shd w:val="clear" w:color="auto" w:fill="D9D9D9"/>
          </w:tcPr>
          <w:p>
            <w:pPr>
              <w:spacing w:after="0"/>
              <w:rPr>
                <w:sz w:val="12"/>
                <w:szCs w:val="12"/>
                <w:color w:val="auto"/>
              </w:rPr>
            </w:pPr>
          </w:p>
        </w:tc>
        <w:tc>
          <w:tcPr>
            <w:tcW w:w="940" w:type="dxa"/>
            <w:vAlign w:val="bottom"/>
            <w:tcBorders>
              <w:right w:val="single" w:sz="8" w:color="D9D9D9"/>
            </w:tcBorders>
            <w:shd w:val="clear" w:color="auto" w:fill="D9D9D9"/>
          </w:tcPr>
          <w:p>
            <w:pPr>
              <w:spacing w:after="0"/>
              <w:rPr>
                <w:sz w:val="12"/>
                <w:szCs w:val="12"/>
                <w:color w:val="auto"/>
              </w:rPr>
            </w:pPr>
          </w:p>
        </w:tc>
        <w:tc>
          <w:tcPr>
            <w:tcW w:w="860" w:type="dxa"/>
            <w:vAlign w:val="bottom"/>
            <w:tcBorders>
              <w:right w:val="single" w:sz="8" w:color="D9D9D9"/>
            </w:tcBorders>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D9D9D9"/>
            </w:tcBorders>
            <w:shd w:val="clear" w:color="auto" w:fill="D9D9D9"/>
          </w:tcPr>
          <w:p>
            <w:pPr>
              <w:spacing w:after="0"/>
              <w:rPr>
                <w:sz w:val="24"/>
                <w:szCs w:val="24"/>
                <w:color w:val="auto"/>
              </w:rPr>
            </w:pPr>
          </w:p>
        </w:tc>
        <w:tc>
          <w:tcPr>
            <w:tcW w:w="620" w:type="dxa"/>
            <w:vAlign w:val="bottom"/>
            <w:tcBorders>
              <w:bottom w:val="single" w:sz="8" w:color="auto"/>
              <w:right w:val="single" w:sz="8" w:color="D9D9D9"/>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spacing w:after="0"/>
              <w:rPr>
                <w:sz w:val="24"/>
                <w:szCs w:val="24"/>
                <w:color w:val="auto"/>
              </w:rPr>
            </w:pPr>
          </w:p>
        </w:tc>
        <w:tc>
          <w:tcPr>
            <w:tcW w:w="120" w:type="dxa"/>
            <w:vAlign w:val="bottom"/>
            <w:tcBorders>
              <w:bottom w:val="single" w:sz="8" w:color="auto"/>
              <w:right w:val="single" w:sz="8" w:color="D9D9D9"/>
            </w:tcBorders>
            <w:shd w:val="clear" w:color="auto" w:fill="D9D9D9"/>
          </w:tcPr>
          <w:p>
            <w:pPr>
              <w:spacing w:after="0"/>
              <w:rPr>
                <w:sz w:val="24"/>
                <w:szCs w:val="24"/>
                <w:color w:val="auto"/>
              </w:rPr>
            </w:pPr>
          </w:p>
        </w:tc>
        <w:tc>
          <w:tcPr>
            <w:tcW w:w="800" w:type="dxa"/>
            <w:vAlign w:val="bottom"/>
            <w:tcBorders>
              <w:bottom w:val="single" w:sz="8" w:color="auto"/>
              <w:right w:val="single" w:sz="8" w:color="D9D9D9"/>
            </w:tcBorders>
            <w:shd w:val="clear" w:color="auto" w:fill="D9D9D9"/>
          </w:tcPr>
          <w:p>
            <w:pPr>
              <w:spacing w:after="0"/>
              <w:rPr>
                <w:sz w:val="24"/>
                <w:szCs w:val="24"/>
                <w:color w:val="auto"/>
              </w:rPr>
            </w:pPr>
          </w:p>
        </w:tc>
        <w:tc>
          <w:tcPr>
            <w:tcW w:w="940" w:type="dxa"/>
            <w:vAlign w:val="bottom"/>
            <w:tcBorders>
              <w:bottom w:val="single" w:sz="8" w:color="auto"/>
              <w:right w:val="single" w:sz="8" w:color="D9D9D9"/>
            </w:tcBorders>
            <w:shd w:val="clear" w:color="auto" w:fill="D9D9D9"/>
          </w:tcPr>
          <w:p>
            <w:pPr>
              <w:spacing w:after="0"/>
              <w:rPr>
                <w:sz w:val="24"/>
                <w:szCs w:val="24"/>
                <w:color w:val="auto"/>
              </w:rPr>
            </w:pPr>
          </w:p>
        </w:tc>
        <w:tc>
          <w:tcPr>
            <w:tcW w:w="860" w:type="dxa"/>
            <w:vAlign w:val="bottom"/>
            <w:tcBorders>
              <w:bottom w:val="single" w:sz="8" w:color="auto"/>
              <w:right w:val="single" w:sz="8" w:color="D9D9D9"/>
            </w:tcBorders>
            <w:shd w:val="clear" w:color="auto" w:fill="D9D9D9"/>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20" w:type="dxa"/>
            <w:vAlign w:val="bottom"/>
            <w:tcBorders>
              <w:right w:val="single" w:sz="8" w:color="auto"/>
            </w:tcBorders>
          </w:tcPr>
          <w:p>
            <w:pPr>
              <w:ind w:left="60"/>
              <w:spacing w:after="0" w:line="102" w:lineRule="exact"/>
              <w:rPr>
                <w:sz w:val="20"/>
                <w:szCs w:val="20"/>
                <w:color w:val="auto"/>
              </w:rPr>
            </w:pPr>
            <w:r>
              <w:rPr>
                <w:rFonts w:ascii="Arial" w:cs="Arial" w:eastAsia="Arial" w:hAnsi="Arial"/>
                <w:sz w:val="11"/>
                <w:szCs w:val="11"/>
                <w:color w:val="auto"/>
              </w:rPr>
              <w:t>Percentage</w:t>
            </w:r>
          </w:p>
        </w:tc>
        <w:tc>
          <w:tcPr>
            <w:tcW w:w="140" w:type="dxa"/>
            <w:vAlign w:val="bottom"/>
            <w:tcBorders>
              <w:right w:val="single" w:sz="8" w:color="D9D9D9"/>
            </w:tcBorders>
            <w:shd w:val="clear" w:color="auto" w:fill="D9D9D9"/>
          </w:tcPr>
          <w:p>
            <w:pPr>
              <w:spacing w:after="0"/>
              <w:rPr>
                <w:sz w:val="8"/>
                <w:szCs w:val="8"/>
                <w:color w:val="auto"/>
              </w:rPr>
            </w:pPr>
          </w:p>
        </w:tc>
        <w:tc>
          <w:tcPr>
            <w:tcW w:w="700" w:type="dxa"/>
            <w:vAlign w:val="bottom"/>
            <w:tcBorders>
              <w:right w:val="single" w:sz="8" w:color="D9D9D9"/>
            </w:tcBorders>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480" w:type="dxa"/>
            <w:vAlign w:val="bottom"/>
            <w:shd w:val="clear" w:color="auto" w:fill="D9D9D9"/>
          </w:tcPr>
          <w:p>
            <w:pPr>
              <w:spacing w:after="0"/>
              <w:rPr>
                <w:sz w:val="8"/>
                <w:szCs w:val="8"/>
                <w:color w:val="auto"/>
              </w:rPr>
            </w:pPr>
          </w:p>
        </w:tc>
        <w:tc>
          <w:tcPr>
            <w:tcW w:w="60" w:type="dxa"/>
            <w:vAlign w:val="bottom"/>
            <w:tcBorders>
              <w:right w:val="single" w:sz="8" w:color="D9D9D9"/>
            </w:tcBorders>
            <w:shd w:val="clear" w:color="auto" w:fill="D9D9D9"/>
          </w:tcPr>
          <w:p>
            <w:pPr>
              <w:spacing w:after="0"/>
              <w:rPr>
                <w:sz w:val="8"/>
                <w:szCs w:val="8"/>
                <w:color w:val="auto"/>
              </w:rPr>
            </w:pPr>
          </w:p>
        </w:tc>
        <w:tc>
          <w:tcPr>
            <w:tcW w:w="720" w:type="dxa"/>
            <w:vAlign w:val="bottom"/>
            <w:tcBorders>
              <w:right w:val="single" w:sz="8" w:color="D9D9D9"/>
            </w:tcBorders>
            <w:shd w:val="clear" w:color="auto" w:fill="D9D9D9"/>
          </w:tcPr>
          <w:p>
            <w:pPr>
              <w:spacing w:after="0"/>
              <w:rPr>
                <w:sz w:val="8"/>
                <w:szCs w:val="8"/>
                <w:color w:val="auto"/>
              </w:rPr>
            </w:pPr>
          </w:p>
        </w:tc>
        <w:tc>
          <w:tcPr>
            <w:tcW w:w="840" w:type="dxa"/>
            <w:vAlign w:val="bottom"/>
            <w:tcBorders>
              <w:right w:val="single" w:sz="8" w:color="D9D9D9"/>
            </w:tcBorders>
            <w:shd w:val="clear" w:color="auto" w:fill="D9D9D9"/>
          </w:tcPr>
          <w:p>
            <w:pPr>
              <w:spacing w:after="0"/>
              <w:rPr>
                <w:sz w:val="8"/>
                <w:szCs w:val="8"/>
                <w:color w:val="auto"/>
              </w:rPr>
            </w:pPr>
          </w:p>
        </w:tc>
        <w:tc>
          <w:tcPr>
            <w:tcW w:w="880" w:type="dxa"/>
            <w:vAlign w:val="bottom"/>
            <w:tcBorders>
              <w:right w:val="single" w:sz="8" w:color="auto"/>
            </w:tcBorders>
            <w:shd w:val="clear" w:color="auto" w:fill="D9D9D9"/>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jc w:val="right"/>
              <w:ind w:right="186"/>
              <w:spacing w:after="0" w:line="102" w:lineRule="exact"/>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146"/>
              <w:spacing w:after="0" w:line="102" w:lineRule="exact"/>
              <w:rPr>
                <w:sz w:val="20"/>
                <w:szCs w:val="20"/>
                <w:color w:val="auto"/>
              </w:rPr>
            </w:pPr>
            <w:r>
              <w:rPr>
                <w:rFonts w:ascii="Arial" w:cs="Arial" w:eastAsia="Arial" w:hAnsi="Arial"/>
                <w:sz w:val="11"/>
                <w:szCs w:val="11"/>
                <w:color w:val="auto"/>
              </w:rPr>
              <w:t>0%</w:t>
            </w:r>
          </w:p>
        </w:tc>
        <w:tc>
          <w:tcPr>
            <w:tcW w:w="1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jc w:val="right"/>
              <w:ind w:right="186"/>
              <w:spacing w:after="0" w:line="102" w:lineRule="exact"/>
              <w:rPr>
                <w:sz w:val="20"/>
                <w:szCs w:val="20"/>
                <w:color w:val="auto"/>
              </w:rPr>
            </w:pPr>
            <w:r>
              <w:rPr>
                <w:rFonts w:ascii="Arial" w:cs="Arial" w:eastAsia="Arial" w:hAnsi="Arial"/>
                <w:sz w:val="11"/>
                <w:szCs w:val="11"/>
                <w:color w:val="auto"/>
              </w:rPr>
              <w:t>24.19%</w:t>
            </w:r>
          </w:p>
        </w:tc>
        <w:tc>
          <w:tcPr>
            <w:tcW w:w="940" w:type="dxa"/>
            <w:vAlign w:val="bottom"/>
            <w:tcBorders>
              <w:right w:val="single" w:sz="8" w:color="auto"/>
            </w:tcBorders>
          </w:tcPr>
          <w:p>
            <w:pPr>
              <w:jc w:val="right"/>
              <w:ind w:right="226"/>
              <w:spacing w:after="0" w:line="102" w:lineRule="exact"/>
              <w:rPr>
                <w:sz w:val="20"/>
                <w:szCs w:val="20"/>
                <w:color w:val="auto"/>
              </w:rPr>
            </w:pPr>
            <w:r>
              <w:rPr>
                <w:rFonts w:ascii="Arial" w:cs="Arial" w:eastAsia="Arial" w:hAnsi="Arial"/>
                <w:sz w:val="11"/>
                <w:szCs w:val="11"/>
                <w:color w:val="auto"/>
              </w:rPr>
              <w:t>139.61%</w:t>
            </w:r>
          </w:p>
        </w:tc>
        <w:tc>
          <w:tcPr>
            <w:tcW w:w="860" w:type="dxa"/>
            <w:vAlign w:val="bottom"/>
          </w:tcPr>
          <w:p>
            <w:pPr>
              <w:jc w:val="right"/>
              <w:ind w:right="166"/>
              <w:spacing w:after="0" w:line="102" w:lineRule="exact"/>
              <w:rPr>
                <w:sz w:val="20"/>
                <w:szCs w:val="20"/>
                <w:color w:val="auto"/>
              </w:rPr>
            </w:pPr>
            <w:r>
              <w:rPr>
                <w:rFonts w:ascii="Arial" w:cs="Arial" w:eastAsia="Arial" w:hAnsi="Arial"/>
                <w:sz w:val="11"/>
                <w:szCs w:val="11"/>
                <w:color w:val="auto"/>
              </w:rPr>
              <w:t>163.80%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of revenue</w:t>
            </w:r>
          </w:p>
        </w:tc>
        <w:tc>
          <w:tcPr>
            <w:tcW w:w="140" w:type="dxa"/>
            <w:vAlign w:val="bottom"/>
            <w:tcBorders>
              <w:right w:val="single" w:sz="8" w:color="D9D9D9"/>
            </w:tcBorders>
            <w:shd w:val="clear" w:color="auto" w:fill="D9D9D9"/>
          </w:tcPr>
          <w:p>
            <w:pPr>
              <w:spacing w:after="0"/>
              <w:rPr>
                <w:sz w:val="10"/>
                <w:szCs w:val="10"/>
                <w:color w:val="auto"/>
              </w:rPr>
            </w:pPr>
          </w:p>
        </w:tc>
        <w:tc>
          <w:tcPr>
            <w:tcW w:w="70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720" w:type="dxa"/>
            <w:vAlign w:val="bottom"/>
            <w:tcBorders>
              <w:right w:val="single" w:sz="8" w:color="D9D9D9"/>
            </w:tcBorders>
            <w:shd w:val="clear" w:color="auto" w:fill="D9D9D9"/>
          </w:tcPr>
          <w:p>
            <w:pPr>
              <w:spacing w:after="0"/>
              <w:rPr>
                <w:sz w:val="10"/>
                <w:szCs w:val="10"/>
                <w:color w:val="auto"/>
              </w:rPr>
            </w:pPr>
          </w:p>
        </w:tc>
        <w:tc>
          <w:tcPr>
            <w:tcW w:w="840" w:type="dxa"/>
            <w:vAlign w:val="bottom"/>
            <w:tcBorders>
              <w:right w:val="single" w:sz="8" w:color="D9D9D9"/>
            </w:tcBorders>
            <w:shd w:val="clear" w:color="auto" w:fill="D9D9D9"/>
          </w:tcPr>
          <w:p>
            <w:pPr>
              <w:spacing w:after="0"/>
              <w:rPr>
                <w:sz w:val="10"/>
                <w:szCs w:val="10"/>
                <w:color w:val="auto"/>
              </w:rPr>
            </w:pPr>
          </w:p>
        </w:tc>
        <w:tc>
          <w:tcPr>
            <w:tcW w:w="880" w:type="dxa"/>
            <w:vAlign w:val="bottom"/>
            <w:tcBorders>
              <w:right w:val="single" w:sz="8" w:color="auto"/>
            </w:tcBorders>
            <w:shd w:val="clear" w:color="auto" w:fill="D9D9D9"/>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for the</w:t>
            </w:r>
          </w:p>
        </w:tc>
        <w:tc>
          <w:tcPr>
            <w:tcW w:w="140" w:type="dxa"/>
            <w:vAlign w:val="bottom"/>
            <w:tcBorders>
              <w:right w:val="single" w:sz="8" w:color="D9D9D9"/>
            </w:tcBorders>
            <w:shd w:val="clear" w:color="auto" w:fill="D9D9D9"/>
          </w:tcPr>
          <w:p>
            <w:pPr>
              <w:spacing w:after="0"/>
              <w:rPr>
                <w:sz w:val="10"/>
                <w:szCs w:val="10"/>
                <w:color w:val="auto"/>
              </w:rPr>
            </w:pPr>
          </w:p>
        </w:tc>
        <w:tc>
          <w:tcPr>
            <w:tcW w:w="70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720" w:type="dxa"/>
            <w:vAlign w:val="bottom"/>
            <w:tcBorders>
              <w:right w:val="single" w:sz="8" w:color="D9D9D9"/>
            </w:tcBorders>
            <w:shd w:val="clear" w:color="auto" w:fill="D9D9D9"/>
          </w:tcPr>
          <w:p>
            <w:pPr>
              <w:spacing w:after="0"/>
              <w:rPr>
                <w:sz w:val="10"/>
                <w:szCs w:val="10"/>
                <w:color w:val="auto"/>
              </w:rPr>
            </w:pPr>
          </w:p>
        </w:tc>
        <w:tc>
          <w:tcPr>
            <w:tcW w:w="840" w:type="dxa"/>
            <w:vAlign w:val="bottom"/>
            <w:tcBorders>
              <w:right w:val="single" w:sz="8" w:color="D9D9D9"/>
            </w:tcBorders>
            <w:shd w:val="clear" w:color="auto" w:fill="D9D9D9"/>
          </w:tcPr>
          <w:p>
            <w:pPr>
              <w:spacing w:after="0"/>
              <w:rPr>
                <w:sz w:val="10"/>
                <w:szCs w:val="10"/>
                <w:color w:val="auto"/>
              </w:rPr>
            </w:pPr>
          </w:p>
        </w:tc>
        <w:tc>
          <w:tcPr>
            <w:tcW w:w="880" w:type="dxa"/>
            <w:vAlign w:val="bottom"/>
            <w:tcBorders>
              <w:right w:val="single" w:sz="8" w:color="auto"/>
            </w:tcBorders>
            <w:shd w:val="clear" w:color="auto" w:fill="D9D9D9"/>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fiscal year</w:t>
            </w:r>
          </w:p>
        </w:tc>
        <w:tc>
          <w:tcPr>
            <w:tcW w:w="140" w:type="dxa"/>
            <w:vAlign w:val="bottom"/>
            <w:tcBorders>
              <w:right w:val="single" w:sz="8" w:color="D9D9D9"/>
            </w:tcBorders>
            <w:shd w:val="clear" w:color="auto" w:fill="D9D9D9"/>
          </w:tcPr>
          <w:p>
            <w:pPr>
              <w:spacing w:after="0"/>
              <w:rPr>
                <w:sz w:val="10"/>
                <w:szCs w:val="10"/>
                <w:color w:val="auto"/>
              </w:rPr>
            </w:pPr>
          </w:p>
        </w:tc>
        <w:tc>
          <w:tcPr>
            <w:tcW w:w="70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720" w:type="dxa"/>
            <w:vAlign w:val="bottom"/>
            <w:tcBorders>
              <w:right w:val="single" w:sz="8" w:color="D9D9D9"/>
            </w:tcBorders>
            <w:shd w:val="clear" w:color="auto" w:fill="D9D9D9"/>
          </w:tcPr>
          <w:p>
            <w:pPr>
              <w:spacing w:after="0"/>
              <w:rPr>
                <w:sz w:val="10"/>
                <w:szCs w:val="10"/>
                <w:color w:val="auto"/>
              </w:rPr>
            </w:pPr>
          </w:p>
        </w:tc>
        <w:tc>
          <w:tcPr>
            <w:tcW w:w="840" w:type="dxa"/>
            <w:vAlign w:val="bottom"/>
            <w:tcBorders>
              <w:right w:val="single" w:sz="8" w:color="D9D9D9"/>
            </w:tcBorders>
            <w:shd w:val="clear" w:color="auto" w:fill="D9D9D9"/>
          </w:tcPr>
          <w:p>
            <w:pPr>
              <w:spacing w:after="0"/>
              <w:rPr>
                <w:sz w:val="10"/>
                <w:szCs w:val="10"/>
                <w:color w:val="auto"/>
              </w:rPr>
            </w:pPr>
          </w:p>
        </w:tc>
        <w:tc>
          <w:tcPr>
            <w:tcW w:w="880" w:type="dxa"/>
            <w:vAlign w:val="bottom"/>
            <w:tcBorders>
              <w:right w:val="single" w:sz="8" w:color="auto"/>
            </w:tcBorders>
            <w:shd w:val="clear" w:color="auto" w:fill="D9D9D9"/>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72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1"/>
                <w:szCs w:val="11"/>
                <w:i w:val="1"/>
                <w:iCs w:val="1"/>
                <w:color w:val="auto"/>
              </w:rPr>
              <w:t>Including</w:t>
            </w:r>
          </w:p>
        </w:tc>
        <w:tc>
          <w:tcPr>
            <w:tcW w:w="140" w:type="dxa"/>
            <w:vAlign w:val="bottom"/>
            <w:tcBorders>
              <w:right w:val="single" w:sz="8" w:color="D9D9D9"/>
            </w:tcBorders>
            <w:shd w:val="clear" w:color="auto" w:fill="D9D9D9"/>
          </w:tcPr>
          <w:p>
            <w:pPr>
              <w:spacing w:after="0"/>
              <w:rPr>
                <w:sz w:val="10"/>
                <w:szCs w:val="10"/>
                <w:color w:val="auto"/>
              </w:rPr>
            </w:pPr>
          </w:p>
        </w:tc>
        <w:tc>
          <w:tcPr>
            <w:tcW w:w="700" w:type="dxa"/>
            <w:vAlign w:val="bottom"/>
            <w:tcBorders>
              <w:right w:val="single" w:sz="8" w:color="D9D9D9"/>
            </w:tcBorders>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720" w:type="dxa"/>
            <w:vAlign w:val="bottom"/>
            <w:tcBorders>
              <w:right w:val="single" w:sz="8" w:color="D9D9D9"/>
            </w:tcBorders>
            <w:shd w:val="clear" w:color="auto" w:fill="D9D9D9"/>
          </w:tcPr>
          <w:p>
            <w:pPr>
              <w:spacing w:after="0"/>
              <w:rPr>
                <w:sz w:val="10"/>
                <w:szCs w:val="10"/>
                <w:color w:val="auto"/>
              </w:rPr>
            </w:pPr>
          </w:p>
        </w:tc>
        <w:tc>
          <w:tcPr>
            <w:tcW w:w="840" w:type="dxa"/>
            <w:vAlign w:val="bottom"/>
            <w:tcBorders>
              <w:right w:val="single" w:sz="8" w:color="D9D9D9"/>
            </w:tcBorders>
            <w:shd w:val="clear" w:color="auto" w:fill="D9D9D9"/>
          </w:tcPr>
          <w:p>
            <w:pPr>
              <w:spacing w:after="0"/>
              <w:rPr>
                <w:sz w:val="10"/>
                <w:szCs w:val="10"/>
                <w:color w:val="auto"/>
              </w:rPr>
            </w:pPr>
          </w:p>
        </w:tc>
        <w:tc>
          <w:tcPr>
            <w:tcW w:w="880" w:type="dxa"/>
            <w:vAlign w:val="bottom"/>
            <w:tcBorders>
              <w:right w:val="single" w:sz="8" w:color="auto"/>
            </w:tcBorders>
            <w:shd w:val="clear" w:color="auto" w:fill="D9D9D9"/>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tax</w:t>
            </w:r>
          </w:p>
        </w:tc>
        <w:tc>
          <w:tcPr>
            <w:tcW w:w="140" w:type="dxa"/>
            <w:vAlign w:val="bottom"/>
            <w:tcBorders>
              <w:right w:val="single" w:sz="8" w:color="D9D9D9"/>
            </w:tcBorders>
            <w:shd w:val="clear" w:color="auto" w:fill="D9D9D9"/>
          </w:tcPr>
          <w:p>
            <w:pPr>
              <w:spacing w:after="0"/>
              <w:rPr>
                <w:sz w:val="12"/>
                <w:szCs w:val="12"/>
                <w:color w:val="auto"/>
              </w:rPr>
            </w:pPr>
          </w:p>
        </w:tc>
        <w:tc>
          <w:tcPr>
            <w:tcW w:w="700" w:type="dxa"/>
            <w:vAlign w:val="bottom"/>
            <w:tcBorders>
              <w:right w:val="single" w:sz="8" w:color="D9D9D9"/>
            </w:tcBorders>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60" w:type="dxa"/>
            <w:vAlign w:val="bottom"/>
            <w:tcBorders>
              <w:right w:val="single" w:sz="8" w:color="D9D9D9"/>
            </w:tcBorders>
            <w:shd w:val="clear" w:color="auto" w:fill="D9D9D9"/>
          </w:tcPr>
          <w:p>
            <w:pPr>
              <w:spacing w:after="0"/>
              <w:rPr>
                <w:sz w:val="12"/>
                <w:szCs w:val="12"/>
                <w:color w:val="auto"/>
              </w:rPr>
            </w:pPr>
          </w:p>
        </w:tc>
        <w:tc>
          <w:tcPr>
            <w:tcW w:w="720" w:type="dxa"/>
            <w:vAlign w:val="bottom"/>
            <w:tcBorders>
              <w:right w:val="single" w:sz="8" w:color="D9D9D9"/>
            </w:tcBorders>
            <w:shd w:val="clear" w:color="auto" w:fill="D9D9D9"/>
          </w:tcPr>
          <w:p>
            <w:pPr>
              <w:spacing w:after="0"/>
              <w:rPr>
                <w:sz w:val="12"/>
                <w:szCs w:val="12"/>
                <w:color w:val="auto"/>
              </w:rPr>
            </w:pPr>
          </w:p>
        </w:tc>
        <w:tc>
          <w:tcPr>
            <w:tcW w:w="840" w:type="dxa"/>
            <w:vAlign w:val="bottom"/>
            <w:tcBorders>
              <w:right w:val="single" w:sz="8" w:color="D9D9D9"/>
            </w:tcBorders>
            <w:shd w:val="clear" w:color="auto" w:fill="D9D9D9"/>
          </w:tcPr>
          <w:p>
            <w:pPr>
              <w:spacing w:after="0"/>
              <w:rPr>
                <w:sz w:val="12"/>
                <w:szCs w:val="12"/>
                <w:color w:val="auto"/>
              </w:rPr>
            </w:pPr>
          </w:p>
        </w:tc>
        <w:tc>
          <w:tcPr>
            <w:tcW w:w="880" w:type="dxa"/>
            <w:vAlign w:val="bottom"/>
            <w:tcBorders>
              <w:right w:val="single" w:sz="8" w:color="auto"/>
            </w:tcBorders>
            <w:shd w:val="clear" w:color="auto" w:fill="D9D9D9"/>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D9D9D9"/>
            </w:tcBorders>
            <w:shd w:val="clear" w:color="auto" w:fill="D9D9D9"/>
          </w:tcPr>
          <w:p>
            <w:pPr>
              <w:spacing w:after="0"/>
              <w:rPr>
                <w:sz w:val="24"/>
                <w:szCs w:val="24"/>
                <w:color w:val="auto"/>
              </w:rPr>
            </w:pPr>
          </w:p>
        </w:tc>
        <w:tc>
          <w:tcPr>
            <w:tcW w:w="700" w:type="dxa"/>
            <w:vAlign w:val="bottom"/>
            <w:tcBorders>
              <w:bottom w:val="single" w:sz="8" w:color="auto"/>
              <w:right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480" w:type="dxa"/>
            <w:vAlign w:val="bottom"/>
            <w:tcBorders>
              <w:bottom w:val="single" w:sz="8" w:color="auto"/>
            </w:tcBorders>
            <w:shd w:val="clear" w:color="auto" w:fill="D9D9D9"/>
          </w:tcPr>
          <w:p>
            <w:pPr>
              <w:spacing w:after="0"/>
              <w:rPr>
                <w:sz w:val="24"/>
                <w:szCs w:val="24"/>
                <w:color w:val="auto"/>
              </w:rPr>
            </w:pPr>
          </w:p>
        </w:tc>
        <w:tc>
          <w:tcPr>
            <w:tcW w:w="60" w:type="dxa"/>
            <w:vAlign w:val="bottom"/>
            <w:tcBorders>
              <w:bottom w:val="single" w:sz="8" w:color="auto"/>
              <w:right w:val="single" w:sz="8" w:color="D9D9D9"/>
            </w:tcBorders>
            <w:shd w:val="clear" w:color="auto" w:fill="D9D9D9"/>
          </w:tcPr>
          <w:p>
            <w:pPr>
              <w:spacing w:after="0"/>
              <w:rPr>
                <w:sz w:val="24"/>
                <w:szCs w:val="24"/>
                <w:color w:val="auto"/>
              </w:rPr>
            </w:pPr>
          </w:p>
        </w:tc>
        <w:tc>
          <w:tcPr>
            <w:tcW w:w="720" w:type="dxa"/>
            <w:vAlign w:val="bottom"/>
            <w:tcBorders>
              <w:bottom w:val="single" w:sz="8" w:color="auto"/>
              <w:right w:val="single" w:sz="8" w:color="D9D9D9"/>
            </w:tcBorders>
            <w:shd w:val="clear" w:color="auto" w:fill="D9D9D9"/>
          </w:tcPr>
          <w:p>
            <w:pPr>
              <w:spacing w:after="0"/>
              <w:rPr>
                <w:sz w:val="24"/>
                <w:szCs w:val="24"/>
                <w:color w:val="auto"/>
              </w:rPr>
            </w:pPr>
          </w:p>
        </w:tc>
        <w:tc>
          <w:tcPr>
            <w:tcW w:w="840" w:type="dxa"/>
            <w:vAlign w:val="bottom"/>
            <w:tcBorders>
              <w:bottom w:val="single" w:sz="8" w:color="auto"/>
              <w:right w:val="single" w:sz="8" w:color="D9D9D9"/>
            </w:tcBorders>
            <w:shd w:val="clear" w:color="auto" w:fill="D9D9D9"/>
          </w:tcPr>
          <w:p>
            <w:pPr>
              <w:spacing w:after="0"/>
              <w:rPr>
                <w:sz w:val="24"/>
                <w:szCs w:val="24"/>
                <w:color w:val="auto"/>
              </w:rPr>
            </w:pPr>
          </w:p>
        </w:tc>
        <w:tc>
          <w:tcPr>
            <w:tcW w:w="880" w:type="dxa"/>
            <w:vAlign w:val="bottom"/>
            <w:tcBorders>
              <w:bottom w:val="single" w:sz="8" w:color="auto"/>
              <w:right w:val="single" w:sz="8" w:color="auto"/>
            </w:tcBorders>
            <w:shd w:val="clear" w:color="auto" w:fill="D9D9D9"/>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20" w:type="dxa"/>
            <w:vAlign w:val="bottom"/>
            <w:gridSpan w:val="9"/>
          </w:tcPr>
          <w:p>
            <w:pPr>
              <w:ind w:left="60"/>
              <w:spacing w:after="0"/>
              <w:rPr>
                <w:sz w:val="20"/>
                <w:szCs w:val="20"/>
                <w:color w:val="auto"/>
              </w:rPr>
            </w:pPr>
            <w:r>
              <w:rPr>
                <w:rFonts w:ascii="Arial" w:cs="Arial" w:eastAsia="Arial" w:hAnsi="Arial"/>
                <w:sz w:val="11"/>
                <w:szCs w:val="11"/>
                <w:b w:val="1"/>
                <w:bCs w:val="1"/>
                <w:color w:val="auto"/>
              </w:rPr>
              <w:t>B Invoices excluded from (A) relating to disputed or unrecorded debts and receivables</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20" w:type="dxa"/>
            <w:vAlign w:val="bottom"/>
          </w:tcPr>
          <w:p>
            <w:pPr>
              <w:ind w:left="60"/>
              <w:spacing w:after="0" w:line="102" w:lineRule="exact"/>
              <w:rPr>
                <w:sz w:val="20"/>
                <w:szCs w:val="20"/>
                <w:color w:val="auto"/>
              </w:rPr>
            </w:pPr>
            <w:r>
              <w:rPr>
                <w:rFonts w:ascii="Arial" w:cs="Arial" w:eastAsia="Arial" w:hAnsi="Arial"/>
                <w:sz w:val="11"/>
                <w:szCs w:val="11"/>
                <w:color w:val="auto"/>
              </w:rPr>
              <w:t>Number of</w:t>
            </w:r>
          </w:p>
        </w:tc>
        <w:tc>
          <w:tcPr>
            <w:tcW w:w="840" w:type="dxa"/>
            <w:vAlign w:val="bottom"/>
            <w:gridSpan w:val="2"/>
          </w:tcPr>
          <w:p>
            <w:pPr>
              <w:ind w:left="40"/>
              <w:spacing w:after="0" w:line="102" w:lineRule="exact"/>
              <w:rPr>
                <w:sz w:val="20"/>
                <w:szCs w:val="20"/>
                <w:color w:val="auto"/>
              </w:rPr>
            </w:pPr>
            <w:r>
              <w:rPr>
                <w:rFonts w:ascii="Arial" w:cs="Arial" w:eastAsia="Arial" w:hAnsi="Arial"/>
                <w:sz w:val="11"/>
                <w:szCs w:val="11"/>
                <w:color w:val="auto"/>
              </w:rPr>
              <w:t>None</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gridSpan w:val="2"/>
          </w:tcPr>
          <w:p>
            <w:pPr>
              <w:ind w:left="40"/>
              <w:spacing w:after="0" w:line="102" w:lineRule="exact"/>
              <w:rPr>
                <w:sz w:val="20"/>
                <w:szCs w:val="20"/>
                <w:color w:val="auto"/>
              </w:rPr>
            </w:pPr>
            <w:r>
              <w:rPr>
                <w:rFonts w:ascii="Arial" w:cs="Arial" w:eastAsia="Arial" w:hAnsi="Arial"/>
                <w:sz w:val="11"/>
                <w:szCs w:val="11"/>
                <w:color w:val="auto"/>
              </w:rPr>
              <w:t>None</w:t>
            </w: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color w:val="auto"/>
              </w:rPr>
              <w:t>invoices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excluded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-3646805</wp:posOffset>
            </wp:positionV>
            <wp:extent cx="5631815" cy="4920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1815" cy="4920615"/>
                    </a:xfrm>
                    <a:prstGeom prst="rect">
                      <a:avLst/>
                    </a:prstGeom>
                    <a:noFill/>
                  </pic:spPr>
                </pic:pic>
              </a:graphicData>
            </a:graphic>
          </wp:anchor>
        </w:drawing>
      </w:r>
    </w:p>
    <w:p>
      <w:pPr>
        <w:spacing w:after="0" w:line="270"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w:t>
      </w:r>
    </w:p>
    <w:p>
      <w:pPr>
        <w:ind w:left="140"/>
        <w:spacing w:after="0"/>
        <w:rPr>
          <w:sz w:val="20"/>
          <w:szCs w:val="20"/>
          <w:color w:val="auto"/>
        </w:rPr>
      </w:pPr>
      <w:r>
        <w:rPr>
          <w:rFonts w:ascii="Arial" w:cs="Arial" w:eastAsia="Arial" w:hAnsi="Arial"/>
          <w:sz w:val="11"/>
          <w:szCs w:val="11"/>
          <w:color w:val="auto"/>
        </w:rPr>
        <w:t>amount of</w:t>
      </w:r>
    </w:p>
    <w:p>
      <w:pPr>
        <w:ind w:left="140"/>
        <w:spacing w:after="0" w:line="230" w:lineRule="auto"/>
        <w:rPr>
          <w:sz w:val="20"/>
          <w:szCs w:val="20"/>
          <w:color w:val="auto"/>
        </w:rPr>
      </w:pPr>
      <w:r>
        <w:rPr>
          <w:rFonts w:ascii="Arial" w:cs="Arial" w:eastAsia="Arial" w:hAnsi="Arial"/>
          <w:sz w:val="11"/>
          <w:szCs w:val="11"/>
          <w:color w:val="auto"/>
        </w:rPr>
        <w:t>excluded</w:t>
      </w:r>
    </w:p>
    <w:p>
      <w:pPr>
        <w:ind w:left="140"/>
        <w:spacing w:after="0"/>
        <w:rPr>
          <w:sz w:val="20"/>
          <w:szCs w:val="20"/>
          <w:color w:val="auto"/>
        </w:rPr>
      </w:pPr>
      <w:r>
        <w:rPr>
          <w:rFonts w:ascii="Arial" w:cs="Arial" w:eastAsia="Arial" w:hAnsi="Arial"/>
          <w:sz w:val="11"/>
          <w:szCs w:val="11"/>
          <w:color w:val="auto"/>
        </w:rPr>
        <w:t>invoices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C Reference payment terms used (contractual or statutory—Article L441-6 or Article L443-1 of the Commercial Code)</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22"/>
        </w:trPr>
        <w:tc>
          <w:tcPr>
            <w:tcW w:w="720" w:type="dxa"/>
            <w:vAlign w:val="bottom"/>
            <w:tcBorders>
              <w:top w:val="single" w:sz="8" w:color="auto"/>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Payment</w:t>
            </w:r>
          </w:p>
        </w:tc>
        <w:tc>
          <w:tcPr>
            <w:tcW w:w="4020" w:type="dxa"/>
            <w:vAlign w:val="bottom"/>
            <w:tcBorders>
              <w:top w:val="single" w:sz="8" w:color="auto"/>
              <w:right w:val="single" w:sz="8" w:color="auto"/>
            </w:tcBorders>
          </w:tcPr>
          <w:p>
            <w:pPr>
              <w:ind w:left="60"/>
              <w:spacing w:after="0" w:line="122" w:lineRule="exact"/>
              <w:rPr>
                <w:sz w:val="20"/>
                <w:szCs w:val="20"/>
                <w:color w:val="auto"/>
              </w:rPr>
            </w:pPr>
            <w:r>
              <w:rPr>
                <w:rFonts w:ascii="Arial" w:cs="Arial" w:eastAsia="Arial" w:hAnsi="Arial"/>
                <w:sz w:val="11"/>
                <w:szCs w:val="11"/>
                <w:color w:val="auto"/>
              </w:rPr>
              <w:t>Contractual terms: Between 30 and 60 days</w:t>
            </w:r>
          </w:p>
        </w:tc>
        <w:tc>
          <w:tcPr>
            <w:tcW w:w="4140" w:type="dxa"/>
            <w:vAlign w:val="bottom"/>
            <w:tcBorders>
              <w:top w:val="single" w:sz="8" w:color="auto"/>
            </w:tcBorders>
          </w:tcPr>
          <w:p>
            <w:pPr>
              <w:ind w:left="40"/>
              <w:spacing w:after="0" w:line="122" w:lineRule="exact"/>
              <w:rPr>
                <w:sz w:val="20"/>
                <w:szCs w:val="20"/>
                <w:color w:val="auto"/>
              </w:rPr>
            </w:pPr>
            <w:r>
              <w:rPr>
                <w:rFonts w:ascii="Arial" w:cs="Arial" w:eastAsia="Arial" w:hAnsi="Arial"/>
                <w:sz w:val="11"/>
                <w:szCs w:val="11"/>
                <w:color w:val="auto"/>
              </w:rPr>
              <w:t>Contractual terms: 60 days on average</w:t>
            </w:r>
          </w:p>
        </w:tc>
        <w:tc>
          <w:tcPr>
            <w:tcW w:w="0" w:type="dxa"/>
            <w:vAlign w:val="bottom"/>
          </w:tcPr>
          <w:p>
            <w:pPr>
              <w:spacing w:after="0"/>
              <w:rPr>
                <w:sz w:val="1"/>
                <w:szCs w:val="1"/>
                <w:color w:val="auto"/>
              </w:rPr>
            </w:pPr>
          </w:p>
        </w:tc>
      </w:tr>
      <w:tr>
        <w:trPr>
          <w:trHeight w:val="122"/>
        </w:trPr>
        <w:tc>
          <w:tcPr>
            <w:tcW w:w="72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terms used</w:t>
            </w:r>
          </w:p>
        </w:tc>
        <w:tc>
          <w:tcPr>
            <w:tcW w:w="4020" w:type="dxa"/>
            <w:vAlign w:val="bottom"/>
            <w:tcBorders>
              <w:right w:val="single" w:sz="8" w:color="auto"/>
            </w:tcBorders>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to calculate</w:t>
            </w:r>
          </w:p>
        </w:tc>
        <w:tc>
          <w:tcPr>
            <w:tcW w:w="4020" w:type="dxa"/>
            <w:vAlign w:val="bottom"/>
            <w:tcBorders>
              <w:right w:val="single" w:sz="8" w:color="auto"/>
            </w:tcBorders>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1"/>
                <w:szCs w:val="11"/>
                <w:color w:val="auto"/>
              </w:rPr>
              <w:t>late</w:t>
            </w:r>
          </w:p>
        </w:tc>
        <w:tc>
          <w:tcPr>
            <w:tcW w:w="4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Statutory terms:</w:t>
            </w:r>
          </w:p>
        </w:tc>
        <w:tc>
          <w:tcPr>
            <w:tcW w:w="4140" w:type="dxa"/>
            <w:vAlign w:val="bottom"/>
            <w:vMerge w:val="restart"/>
          </w:tcPr>
          <w:p>
            <w:pPr>
              <w:ind w:left="40"/>
              <w:spacing w:after="0"/>
              <w:rPr>
                <w:sz w:val="20"/>
                <w:szCs w:val="20"/>
                <w:color w:val="auto"/>
              </w:rPr>
            </w:pPr>
            <w:r>
              <w:rPr>
                <w:rFonts w:ascii="Arial" w:cs="Arial" w:eastAsia="Arial" w:hAnsi="Arial"/>
                <w:sz w:val="11"/>
                <w:szCs w:val="11"/>
                <w:color w:val="auto"/>
              </w:rPr>
              <w:t>Statutory terms:</w:t>
            </w:r>
          </w:p>
        </w:tc>
        <w:tc>
          <w:tcPr>
            <w:tcW w:w="0" w:type="dxa"/>
            <w:vAlign w:val="bottom"/>
          </w:tcPr>
          <w:p>
            <w:pPr>
              <w:spacing w:after="0"/>
              <w:rPr>
                <w:sz w:val="1"/>
                <w:szCs w:val="1"/>
                <w:color w:val="auto"/>
              </w:rPr>
            </w:pPr>
          </w:p>
        </w:tc>
      </w:tr>
      <w:tr>
        <w:trPr>
          <w:trHeight w:val="142"/>
        </w:trPr>
        <w:tc>
          <w:tcPr>
            <w:tcW w:w="72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payments</w:t>
            </w:r>
          </w:p>
        </w:tc>
        <w:tc>
          <w:tcPr>
            <w:tcW w:w="4020" w:type="dxa"/>
            <w:vAlign w:val="bottom"/>
            <w:tcBorders>
              <w:right w:val="single" w:sz="8" w:color="auto"/>
            </w:tcBorders>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720" w:type="dxa"/>
            <w:vAlign w:val="bottom"/>
            <w:tcBorders>
              <w:bottom w:val="single" w:sz="8" w:color="auto"/>
              <w:right w:val="single" w:sz="8" w:color="auto"/>
            </w:tcBorders>
          </w:tcPr>
          <w:p>
            <w:pPr>
              <w:spacing w:after="0"/>
              <w:rPr>
                <w:sz w:val="8"/>
                <w:szCs w:val="8"/>
                <w:color w:val="auto"/>
              </w:rPr>
            </w:pPr>
          </w:p>
        </w:tc>
        <w:tc>
          <w:tcPr>
            <w:tcW w:w="402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right"/>
        <w:ind w:right="79"/>
        <w:spacing w:after="0"/>
        <w:rPr>
          <w:sz w:val="20"/>
          <w:szCs w:val="20"/>
          <w:color w:val="auto"/>
        </w:rPr>
      </w:pPr>
      <w:r>
        <w:rPr>
          <w:rFonts w:ascii="Arial" w:cs="Arial" w:eastAsia="Arial" w:hAnsi="Arial"/>
          <w:sz w:val="13"/>
          <w:szCs w:val="13"/>
          <w:color w:val="auto"/>
        </w:rPr>
        <w:t>Page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5648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EDAP TMS SA – Management Report on FY2025 Statutory &amp; Consolidated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2026-05-14T06:33:40Z</dcterms:created>
  <dcterms:modified xsi:type="dcterms:W3CDTF">2026-05-14T06:33:40Z</dcterms:modified>
</cp:coreProperties>
</file>