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4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w:t>
      </w:r>
    </w:p>
    <w:p>
      <w:pPr>
        <w:spacing w:after="0" w:line="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1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1, 2026</w:t>
      </w:r>
    </w:p>
    <w:p>
      <w:pPr>
        <w:spacing w:after="0" w:line="6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8"/>
          <w:szCs w:val="38"/>
          <w:b w:val="1"/>
          <w:bCs w:val="1"/>
          <w:color w:val="auto"/>
        </w:rPr>
        <w:t>EDAP TMS SA</w:t>
      </w:r>
    </w:p>
    <w:p>
      <w:pPr>
        <w:spacing w:after="0" w:line="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ectPr>
          <w:pgSz w:w="11900" w:h="16838" w:orient="portrait"/>
          <w:cols w:equalWidth="0" w:num="1">
            <w:col w:w="11140"/>
          </w:cols>
          <w:pgMar w:left="320" w:top="193" w:right="439" w:bottom="1440" w:gutter="0" w:footer="0" w:header="0"/>
        </w:sectPr>
      </w:pPr>
    </w:p>
    <w:p>
      <w:pPr>
        <w:spacing w:after="0" w:line="298"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6"/>
          <w:szCs w:val="16"/>
          <w:b w:val="1"/>
          <w:bCs w:val="1"/>
          <w:color w:val="auto"/>
        </w:rPr>
        <w:t>France</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000-29374</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98-1644844</w:t>
      </w:r>
    </w:p>
    <w:p>
      <w:pPr>
        <w:spacing w:after="0" w:line="102" w:lineRule="exact"/>
        <w:rPr>
          <w:sz w:val="24"/>
          <w:szCs w:val="24"/>
          <w:color w:val="auto"/>
        </w:rPr>
      </w:pPr>
    </w:p>
    <w:p>
      <w:pPr>
        <w:sectPr>
          <w:pgSz w:w="11900" w:h="16838" w:orient="portrait"/>
          <w:cols w:equalWidth="0" w:num="3">
            <w:col w:w="4560" w:space="720"/>
            <w:col w:w="3020" w:space="720"/>
            <w:col w:w="2120"/>
          </w:cols>
          <w:pgMar w:left="320" w:top="193" w:right="439" w:bottom="1440" w:gutter="0" w:footer="0" w:header="0"/>
          <w:type w:val="continuous"/>
        </w:sectPr>
      </w:pPr>
    </w:p>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(State or other jurisdiction</w:t>
      </w:r>
    </w:p>
    <w:p>
      <w:pPr>
        <w:spacing w:after="0" w:line="37"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(Commission File No.)</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6"/>
          <w:szCs w:val="16"/>
          <w:b w:val="1"/>
          <w:bCs w:val="1"/>
          <w:color w:val="auto"/>
        </w:rPr>
        <w:t>(I.R.S. Employer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Identification No.)</w:t>
      </w:r>
    </w:p>
    <w:p>
      <w:pPr>
        <w:spacing w:after="0" w:line="211" w:lineRule="exact"/>
        <w:rPr>
          <w:sz w:val="24"/>
          <w:szCs w:val="24"/>
          <w:color w:val="auto"/>
        </w:rPr>
      </w:pPr>
    </w:p>
    <w:p>
      <w:pPr>
        <w:sectPr>
          <w:pgSz w:w="11900" w:h="16838" w:orient="portrait"/>
          <w:cols w:equalWidth="0" w:num="3">
            <w:col w:w="4160" w:space="720"/>
            <w:col w:w="3180" w:space="720"/>
            <w:col w:w="2360"/>
          </w:cols>
          <w:pgMar w:left="320" w:top="193" w:right="439" w:bottom="1440" w:gutter="0" w:footer="0" w:header="0"/>
          <w:type w:val="continuous"/>
        </w:sectPr>
      </w:pPr>
    </w:p>
    <w:p>
      <w:pPr>
        <w:spacing w:after="0" w:line="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Parc d’Activites la Poudrette-Lamartine</w:t>
      </w:r>
    </w:p>
    <w:p>
      <w:pPr>
        <w:spacing w:after="0" w:line="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4/6, rue du Dauphiné</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Vaulx-en-Velin, France 69120</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(Zip Code)</w:t>
      </w:r>
    </w:p>
    <w:p>
      <w:pPr>
        <w:spacing w:after="0" w:line="84"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(+33) 47-215-3150</w:t>
      </w:r>
    </w:p>
    <w:p>
      <w:pPr>
        <w:spacing w:after="0" w:line="162"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ectPr>
          <w:pgSz w:w="11900" w:h="16838" w:orient="portrait"/>
          <w:cols w:equalWidth="0" w:num="1">
            <w:col w:w="11140"/>
          </w:cols>
          <w:pgMar w:left="320" w:top="193" w:right="439" w:bottom="1440" w:gutter="0" w:footer="0" w:header="0"/>
          <w:type w:val="continuous"/>
        </w:sectPr>
      </w:pP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210" w:lineRule="exact"/>
        <w:rPr>
          <w:sz w:val="24"/>
          <w:szCs w:val="24"/>
          <w:color w:val="auto"/>
        </w:rPr>
      </w:pPr>
    </w:p>
    <w:p>
      <w:pPr>
        <w:ind w:left="620" w:hanging="582"/>
        <w:spacing w:after="0"/>
        <w:tabs>
          <w:tab w:leader="none" w:pos="6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620" w:hanging="582"/>
        <w:spacing w:after="0"/>
        <w:tabs>
          <w:tab w:leader="none" w:pos="6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620" w:hanging="582"/>
        <w:spacing w:after="0"/>
        <w:tabs>
          <w:tab w:leader="none" w:pos="6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620" w:hanging="582"/>
        <w:spacing w:after="0"/>
        <w:tabs>
          <w:tab w:leader="none" w:pos="6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5" w:lineRule="exact"/>
        <w:rPr>
          <w:rFonts w:ascii="MS PGothic" w:cs="MS PGothic" w:eastAsia="MS PGothic" w:hAnsi="MS PGothic"/>
          <w:sz w:val="16"/>
          <w:szCs w:val="16"/>
          <w:color w:val="auto"/>
        </w:rPr>
      </w:pPr>
    </w:p>
    <w:p>
      <w:pPr>
        <w:ind w:left="438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_______________________________</w:t>
      </w:r>
    </w:p>
    <w:p>
      <w:pPr>
        <w:spacing w:after="0" w:line="18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140"/>
          </w:cols>
          <w:pgMar w:left="320" w:top="193" w:right="439" w:bottom="1440" w:gutter="0" w:footer="0" w:header="0"/>
          <w:type w:val="continuous"/>
        </w:sectPr>
      </w:pPr>
    </w:p>
    <w:p>
      <w:pPr>
        <w:spacing w:after="0" w:line="196"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Trading Symbol(s)</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p>
      <w:pPr>
        <w:spacing w:after="0" w:line="37" w:lineRule="exact"/>
        <w:rPr>
          <w:sz w:val="24"/>
          <w:szCs w:val="24"/>
          <w:color w:val="auto"/>
        </w:rPr>
      </w:pPr>
    </w:p>
    <w:p>
      <w:pPr>
        <w:sectPr>
          <w:pgSz w:w="11900" w:h="16838" w:orient="portrait"/>
          <w:cols w:equalWidth="0" w:num="3">
            <w:col w:w="4280" w:space="720"/>
            <w:col w:w="2120" w:space="720"/>
            <w:col w:w="3300"/>
          </w:cols>
          <w:pgMar w:left="320" w:top="193" w:right="439" w:bottom="1440" w:gutter="0" w:footer="0" w:header="0"/>
          <w:type w:val="continuous"/>
        </w:sectPr>
      </w:pPr>
    </w:p>
    <w:p>
      <w:pPr>
        <w:jc w:val="center"/>
        <w:ind w:right="7440"/>
        <w:spacing w:after="0"/>
        <w:rPr>
          <w:sz w:val="20"/>
          <w:szCs w:val="20"/>
          <w:color w:val="auto"/>
        </w:rPr>
      </w:pPr>
      <w:r>
        <w:rPr>
          <w:rFonts w:ascii="Times New Roman" w:cs="Times New Roman" w:eastAsia="Times New Roman" w:hAnsi="Times New Roman"/>
          <w:sz w:val="16"/>
          <w:szCs w:val="16"/>
          <w:color w:val="auto"/>
        </w:rPr>
        <w:t>American Depositary Shares, each representing one</w:t>
      </w:r>
    </w:p>
    <w:p>
      <w:pPr>
        <w:spacing w:after="0" w:line="7" w:lineRule="exact"/>
        <w:rPr>
          <w:sz w:val="24"/>
          <w:szCs w:val="24"/>
          <w:color w:val="auto"/>
        </w:rPr>
      </w:pPr>
    </w:p>
    <w:p>
      <w:pPr>
        <w:jc w:val="center"/>
        <w:ind w:right="7440"/>
        <w:spacing w:after="0"/>
        <w:rPr>
          <w:sz w:val="20"/>
          <w:szCs w:val="20"/>
          <w:color w:val="auto"/>
        </w:rPr>
      </w:pPr>
      <w:r>
        <w:rPr>
          <w:rFonts w:ascii="Times New Roman" w:cs="Times New Roman" w:eastAsia="Times New Roman" w:hAnsi="Times New Roman"/>
          <w:sz w:val="15"/>
          <w:szCs w:val="15"/>
          <w:color w:val="auto"/>
        </w:rPr>
        <w:t>Ordinary Share (Ordinary Shares, nominal value €0.13</w:t>
      </w:r>
    </w:p>
    <w:p>
      <w:pPr>
        <w:sectPr>
          <w:pgSz w:w="11900" w:h="16838" w:orient="portrait"/>
          <w:cols w:equalWidth="0" w:num="1">
            <w:col w:w="11140"/>
          </w:cols>
          <w:pgMar w:left="320" w:top="193" w:right="439" w:bottom="1440" w:gutter="0" w:footer="0" w:header="0"/>
          <w:type w:val="continuous"/>
        </w:sectPr>
      </w:pPr>
    </w:p>
    <w:p>
      <w:pPr>
        <w:spacing w:after="0" w:line="19"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6"/>
          <w:szCs w:val="16"/>
          <w:color w:val="auto"/>
        </w:rPr>
        <w:t>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FOCL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NASDAQ Global Market</w:t>
      </w:r>
    </w:p>
    <w:p>
      <w:pPr>
        <w:spacing w:after="0" w:line="193" w:lineRule="exact"/>
        <w:rPr>
          <w:sz w:val="24"/>
          <w:szCs w:val="24"/>
          <w:color w:val="auto"/>
        </w:rPr>
      </w:pPr>
    </w:p>
    <w:p>
      <w:pPr>
        <w:sectPr>
          <w:pgSz w:w="11900" w:h="16838" w:orient="portrait"/>
          <w:cols w:equalWidth="0" w:num="3">
            <w:col w:w="4700" w:space="720"/>
            <w:col w:w="2440" w:space="720"/>
            <w:col w:w="2560"/>
          </w:cols>
          <w:pgMar w:left="320" w:top="193" w:right="439" w:bottom="1440" w:gutter="0" w:footer="0" w:header="0"/>
          <w:type w:val="continuous"/>
        </w:sect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7" w:lineRule="exact"/>
        <w:rPr>
          <w:sz w:val="24"/>
          <w:szCs w:val="24"/>
          <w:color w:val="auto"/>
        </w:rPr>
      </w:pPr>
    </w:p>
    <w:p>
      <w:pPr>
        <w:ind w:right="8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714819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38100"/>
                    </a:xfrm>
                    <a:prstGeom prst="rect">
                      <a:avLst/>
                    </a:prstGeom>
                    <a:noFill/>
                  </pic:spPr>
                </pic:pic>
              </a:graphicData>
            </a:graphic>
          </wp:anchor>
        </w:drawing>
      </w:r>
    </w:p>
    <w:p>
      <w:pPr>
        <w:sectPr>
          <w:pgSz w:w="11900" w:h="16838" w:orient="portrait"/>
          <w:cols w:equalWidth="0" w:num="1">
            <w:col w:w="11140"/>
          </w:cols>
          <w:pgMar w:left="320" w:top="193" w:right="439" w:bottom="1440" w:gutter="0" w:footer="0" w:header="0"/>
          <w:type w:val="continuous"/>
        </w:sectPr>
      </w:pPr>
    </w:p>
    <w:bookmarkStart w:id="1" w:name="page2"/>
    <w:bookmarkEnd w:id="1"/>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Item</w:t>
        <w:tab/>
        <w:t>Regulation FD Disclosure.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7.01</w:t>
      </w:r>
    </w:p>
    <w:p>
      <w:pPr>
        <w:spacing w:after="0" w:line="182" w:lineRule="exact"/>
        <w:rPr>
          <w:sz w:val="20"/>
          <w:szCs w:val="20"/>
          <w:color w:val="auto"/>
        </w:rPr>
      </w:pPr>
    </w:p>
    <w:p>
      <w:pPr>
        <w:ind w:firstLine="574"/>
        <w:spacing w:after="0" w:line="265" w:lineRule="auto"/>
        <w:rPr>
          <w:sz w:val="20"/>
          <w:szCs w:val="20"/>
          <w:color w:val="auto"/>
        </w:rPr>
      </w:pPr>
      <w:r>
        <w:rPr>
          <w:rFonts w:ascii="Times New Roman" w:cs="Times New Roman" w:eastAsia="Times New Roman" w:hAnsi="Times New Roman"/>
          <w:sz w:val="16"/>
          <w:szCs w:val="16"/>
          <w:color w:val="auto"/>
        </w:rPr>
        <w:t>As previously announced, spokespersons of EDAP TMS S.A. (the "Company") presented the information in the presentation attached hereto as Exhibit 99.1 at the FocalTherics Investor Day on June 1, 2026, which commenced at 8:00 a.m. ET and was open to all participants via live webcast through the Events and Presentations section of the Company's Investor Relations website. A replay of the webcast and associated slide presentation is available on the Company's website.</w:t>
      </w:r>
    </w:p>
    <w:p>
      <w:pPr>
        <w:spacing w:after="0" w:line="155" w:lineRule="exact"/>
        <w:rPr>
          <w:sz w:val="20"/>
          <w:szCs w:val="20"/>
          <w:color w:val="auto"/>
        </w:rPr>
      </w:pPr>
    </w:p>
    <w:p>
      <w:pPr>
        <w:jc w:val="both"/>
        <w:ind w:right="40" w:firstLine="574"/>
        <w:spacing w:after="0" w:line="290" w:lineRule="auto"/>
        <w:rPr>
          <w:sz w:val="20"/>
          <w:szCs w:val="20"/>
          <w:color w:val="auto"/>
        </w:rPr>
      </w:pPr>
      <w:r>
        <w:rPr>
          <w:rFonts w:ascii="Times New Roman" w:cs="Times New Roman" w:eastAsia="Times New Roman" w:hAnsi="Times New Roman"/>
          <w:sz w:val="15"/>
          <w:szCs w:val="15"/>
          <w:color w:val="auto"/>
        </w:rPr>
        <w:t>The information in this item and item 9.01 of this Form 8-K, including Exhibit 99.1, shall not be deemed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3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Item</w:t>
        <w:tab/>
        <w:t>Financial Statements and Exhibits.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9.01.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2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u w:val="single" w:color="auto"/>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16510</wp:posOffset>
            </wp:positionV>
            <wp:extent cx="651827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8275" cy="7620"/>
                    </a:xfrm>
                    <a:prstGeom prst="rect">
                      <a:avLst/>
                    </a:prstGeom>
                    <a:noFill/>
                  </pic:spPr>
                </pic:pic>
              </a:graphicData>
            </a:graphic>
          </wp:anchor>
        </w:drawing>
      </w:r>
    </w:p>
    <w:p>
      <w:pPr>
        <w:spacing w:after="0" w:line="192" w:lineRule="exact"/>
        <w:rPr>
          <w:sz w:val="20"/>
          <w:szCs w:val="20"/>
          <w:color w:val="auto"/>
        </w:rPr>
      </w:pPr>
    </w:p>
    <w:p>
      <w:pPr>
        <w:ind w:left="260"/>
        <w:spacing w:after="0"/>
        <w:tabs>
          <w:tab w:leader="none" w:pos="960" w:val="left"/>
        </w:tabs>
        <w:rPr>
          <w:sz w:val="20"/>
          <w:szCs w:val="20"/>
          <w:color w:val="auto"/>
        </w:rPr>
      </w:pPr>
      <w:r>
        <w:rPr>
          <w:rFonts w:ascii="Times New Roman" w:cs="Times New Roman" w:eastAsia="Times New Roman" w:hAnsi="Times New Roman"/>
          <w:sz w:val="16"/>
          <w:szCs w:val="16"/>
          <w:u w:val="single" w:color="auto"/>
          <w:color w:val="0000EE"/>
        </w:rPr>
        <w:t>99.1</w:t>
      </w:r>
      <w:r>
        <w:rPr>
          <w:sz w:val="20"/>
          <w:szCs w:val="20"/>
          <w:color w:val="auto"/>
        </w:rPr>
        <w:tab/>
      </w:r>
      <w:r>
        <w:rPr>
          <w:rFonts w:ascii="Times New Roman" w:cs="Times New Roman" w:eastAsia="Times New Roman" w:hAnsi="Times New Roman"/>
          <w:sz w:val="15"/>
          <w:szCs w:val="15"/>
          <w:u w:val="single" w:color="auto"/>
          <w:color w:val="0000EE"/>
        </w:rPr>
        <w:t>FocalTherics Investor Day Presentation dated June 1, 2026</w:t>
      </w:r>
    </w:p>
    <w:p>
      <w:pPr>
        <w:spacing w:after="0" w:line="24" w:lineRule="exact"/>
        <w:rPr>
          <w:sz w:val="20"/>
          <w:szCs w:val="20"/>
          <w:color w:val="auto"/>
        </w:rPr>
      </w:pPr>
    </w:p>
    <w:p>
      <w:pPr>
        <w:ind w:left="280"/>
        <w:spacing w:after="0"/>
        <w:tabs>
          <w:tab w:leader="none" w:pos="96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714819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38100"/>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5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EDAP TMS S.A.</w:t>
      </w:r>
    </w:p>
    <w:p>
      <w:pPr>
        <w:spacing w:after="0" w:line="282" w:lineRule="exact"/>
        <w:rPr>
          <w:sz w:val="20"/>
          <w:szCs w:val="20"/>
          <w:color w:val="auto"/>
        </w:rPr>
      </w:pPr>
    </w:p>
    <w:p>
      <w:pPr>
        <w:spacing w:after="0"/>
        <w:tabs>
          <w:tab w:leader="none" w:pos="5620" w:val="left"/>
          <w:tab w:leader="none" w:pos="8220" w:val="left"/>
        </w:tabs>
        <w:rPr>
          <w:sz w:val="20"/>
          <w:szCs w:val="20"/>
          <w:color w:val="auto"/>
        </w:rPr>
      </w:pPr>
      <w:r>
        <w:rPr>
          <w:rFonts w:ascii="Times New Roman" w:cs="Times New Roman" w:eastAsia="Times New Roman" w:hAnsi="Times New Roman"/>
          <w:sz w:val="16"/>
          <w:szCs w:val="16"/>
          <w:color w:val="auto"/>
        </w:rPr>
        <w:t>Date: June 1,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Sanket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30480</wp:posOffset>
            </wp:positionV>
            <wp:extent cx="32099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9925" cy="7620"/>
                    </a:xfrm>
                    <a:prstGeom prst="rect">
                      <a:avLst/>
                    </a:prstGeom>
                    <a:noFill/>
                  </pic:spPr>
                </pic:pic>
              </a:graphicData>
            </a:graphic>
          </wp:anchor>
        </w:drawing>
      </w:r>
    </w:p>
    <w:p>
      <w:pPr>
        <w:spacing w:after="0" w:line="5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6"/>
          <w:szCs w:val="16"/>
          <w:color w:val="auto"/>
        </w:rPr>
        <w:t>Sanket Shah</w:t>
      </w:r>
    </w:p>
    <w:p>
      <w:pPr>
        <w:spacing w:after="0" w:line="91"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6"/>
          <w:szCs w:val="16"/>
          <w:color w:val="auto"/>
        </w:rPr>
        <w:t>General Counsel and Corporate Secretary</w:t>
      </w:r>
    </w:p>
    <w:p>
      <w:pPr>
        <w:sectPr>
          <w:pgSz w:w="11900" w:h="16838" w:orient="portrait"/>
          <w:cols w:equalWidth="0" w:num="1">
            <w:col w:w="10820"/>
          </w:cols>
          <w:pgMar w:left="320" w:top="527" w:right="759" w:bottom="1440" w:gutter="0" w:footer="0" w:header="0"/>
        </w:sectPr>
      </w:pPr>
    </w:p>
    <w:bookmarkStart w:id="3" w:name="page4"/>
    <w:bookmarkEnd w:id="3"/>
    <w:p>
      <w:pPr>
        <w:ind w:left="914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152400</wp:posOffset>
            </wp:positionV>
            <wp:extent cx="7203440" cy="4302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0" w:num="1">
            <w:col w:w="10140"/>
          </w:cols>
          <w:pgMar w:left="1440" w:top="112"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17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78675" cy="4302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675"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78675" cy="4302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675"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78675" cy="4302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675"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78675" cy="43027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675"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78675" cy="43027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675"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78675" cy="43027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675"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78675" cy="43027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675"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78675" cy="4302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675"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78675" cy="4302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675"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78675" cy="43027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675"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3596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596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570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4257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951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4295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951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4295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951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4295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951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4295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78675" cy="43027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675"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875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4287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1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430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78675" cy="43021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675" cy="430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78675" cy="43027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675"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78675" cy="43027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675"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78675" cy="43027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675"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78675" cy="43027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675"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78675" cy="43027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675"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78675" cy="43027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675"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027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344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78675" cy="43027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675"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4088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3440" cy="44088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2026-06-01T16:34:45Z</dcterms:created>
  <dcterms:modified xsi:type="dcterms:W3CDTF">2026-06-01T16:34:45Z</dcterms:modified>
</cp:coreProperties>
</file>