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jc w:val="center"/>
        <w:spacing w:after="0"/>
        <w:rPr>
          <w:sz w:val="20"/>
          <w:szCs w:val="20"/>
          <w:color w:val="auto"/>
        </w:rPr>
      </w:pPr>
      <w:r>
        <w:rPr>
          <w:rFonts w:ascii="Arial" w:cs="Arial" w:eastAsia="Arial" w:hAnsi="Arial"/>
          <w:sz w:val="56"/>
          <w:szCs w:val="56"/>
          <w:b w:val="1"/>
          <w:bCs w:val="1"/>
          <w:color w:val="auto"/>
        </w:rPr>
        <w:t>EDAP TMS S.A.</w:t>
      </w:r>
    </w:p>
    <w:p>
      <w:pPr>
        <w:spacing w:after="0" w:line="261" w:lineRule="exact"/>
        <w:rPr>
          <w:sz w:val="24"/>
          <w:szCs w:val="24"/>
          <w:color w:val="auto"/>
        </w:rPr>
      </w:pPr>
    </w:p>
    <w:p>
      <w:pPr>
        <w:jc w:val="center"/>
        <w:spacing w:after="0"/>
        <w:rPr>
          <w:sz w:val="20"/>
          <w:szCs w:val="20"/>
          <w:color w:val="auto"/>
        </w:rPr>
      </w:pPr>
      <w:r>
        <w:rPr>
          <w:rFonts w:ascii="Arial" w:cs="Arial" w:eastAsia="Arial" w:hAnsi="Arial"/>
          <w:sz w:val="56"/>
          <w:szCs w:val="56"/>
          <w:b w:val="1"/>
          <w:bCs w:val="1"/>
          <w:color w:val="auto"/>
        </w:rPr>
        <w:t>2025 Annual Report</w:t>
      </w:r>
    </w:p>
    <w:p>
      <w:pPr>
        <w:sectPr>
          <w:pgSz w:w="12240" w:h="15840" w:orient="portrait"/>
          <w:cols w:equalWidth="0" w:num="1">
            <w:col w:w="9360"/>
          </w:cols>
          <w:pgMar w:left="1440" w:top="1440" w:right="1440" w:bottom="1440" w:gutter="0" w:footer="0" w:header="0"/>
        </w:sectPr>
      </w:pPr>
    </w:p>
    <w:bookmarkStart w:id="1" w:name="page2"/>
    <w:bookmarkEnd w:id="1"/>
    <w:p>
      <w:pPr>
        <w:spacing w:after="0" w:line="12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448310</wp:posOffset>
            </wp:positionH>
            <wp:positionV relativeFrom="page">
              <wp:posOffset>365760</wp:posOffset>
            </wp:positionV>
            <wp:extent cx="929005" cy="1149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29005" cy="11493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page">
                  <wp:posOffset>438785</wp:posOffset>
                </wp:positionH>
                <wp:positionV relativeFrom="page">
                  <wp:posOffset>895350</wp:posOffset>
                </wp:positionV>
                <wp:extent cx="6894195" cy="0"/>
                <wp:wrapNone/>
                <wp:docPr id="2" name="Shape 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4195" cy="4763"/>
                        </a:xfrm>
                        <a:prstGeom prst="line">
                          <a:avLst/>
                        </a:prstGeom>
                        <a:solidFill>
                          <a:srgbClr val="FFFFFF"/>
                        </a:solidFill>
                        <a:ln w="38100">
                          <a:solidFill>
                            <a:srgbClr val="000000"/>
                          </a:solidFill>
                          <a:miter lim="800000"/>
                          <a:headEnd/>
                          <a:tailEnd/>
                        </a:ln>
                      </wps:spPr>
                      <wps:bodyPr/>
                    </wps:wsp>
                  </a:graphicData>
                </a:graphic>
              </wp:anchor>
            </w:drawing>
          </mc:Choice>
          <mc:Fallback>
            <w:pict>
              <v:line id="Shape 2" o:spid="_x0000_s102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4.55pt,70.5pt" to="577.4pt,70.5pt" o:allowincell="f" strokecolor="#000000" strokeweight="3pt">
                <w10:wrap anchorx="page" anchory="page"/>
              </v:line>
            </w:pict>
          </mc:Fallback>
        </mc:AlternateContent>
        <mc:AlternateContent>
          <mc:Choice Requires="wps">
            <w:drawing>
              <wp:anchor simplePos="0" relativeHeight="251657728" behindDoc="1" locked="0" layoutInCell="0" allowOverlap="1">
                <wp:simplePos x="0" y="0"/>
                <wp:positionH relativeFrom="page">
                  <wp:posOffset>438785</wp:posOffset>
                </wp:positionH>
                <wp:positionV relativeFrom="page">
                  <wp:posOffset>960120</wp:posOffset>
                </wp:positionV>
                <wp:extent cx="6894195" cy="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4195" cy="4763"/>
                        </a:xfrm>
                        <a:prstGeom prst="line">
                          <a:avLst/>
                        </a:prstGeom>
                        <a:solidFill>
                          <a:srgbClr val="FFFFFF"/>
                        </a:solidFill>
                        <a:ln w="12179">
                          <a:solidFill>
                            <a:srgbClr val="000000"/>
                          </a:solidFill>
                          <a:miter lim="800000"/>
                          <a:headEnd/>
                          <a:tailEnd/>
                        </a:ln>
                      </wps:spPr>
                      <wps:bodyPr/>
                    </wps:wsp>
                  </a:graphicData>
                </a:graphic>
              </wp:anchor>
            </w:drawing>
          </mc:Choice>
          <mc:Fallback>
            <w:pict>
              <v:line id="Shape 3" o:spid="_x0000_s102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4.55pt,75.6pt" to="577.4pt,75.6pt" o:allowincell="f" strokecolor="#000000" strokeweight="0.959pt">
                <w10:wrap anchorx="page" anchory="page"/>
              </v:line>
            </w:pict>
          </mc:Fallback>
        </mc:AlternateContent>
      </w:r>
    </w:p>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2571115</wp:posOffset>
                </wp:positionH>
                <wp:positionV relativeFrom="paragraph">
                  <wp:posOffset>76200</wp:posOffset>
                </wp:positionV>
                <wp:extent cx="1714500" cy="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14500" cy="4763"/>
                        </a:xfrm>
                        <a:prstGeom prst="line">
                          <a:avLst/>
                        </a:prstGeom>
                        <a:solidFill>
                          <a:srgbClr val="FFFFFF"/>
                        </a:solidFill>
                        <a:ln w="12051">
                          <a:solidFill>
                            <a:srgbClr val="000000"/>
                          </a:solidFill>
                          <a:miter lim="800000"/>
                          <a:headEnd/>
                          <a:tailEnd/>
                        </a:ln>
                      </wps:spPr>
                      <wps:bodyPr/>
                    </wps:wsp>
                  </a:graphicData>
                </a:graphic>
              </wp:anchor>
            </w:drawing>
          </mc:Choice>
          <mc:Fallback>
            <w:pict>
              <v:line id="Shape 4" o:spid="_x0000_s10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2.45pt,6pt" to="337.45pt,6pt" o:allowincell="f" strokecolor="#000000" strokeweight="0.9489pt"/>
            </w:pict>
          </mc:Fallback>
        </mc:AlternateConten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10-K</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2571115</wp:posOffset>
                </wp:positionH>
                <wp:positionV relativeFrom="paragraph">
                  <wp:posOffset>81915</wp:posOffset>
                </wp:positionV>
                <wp:extent cx="1714500" cy="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14500" cy="4763"/>
                        </a:xfrm>
                        <a:prstGeom prst="line">
                          <a:avLst/>
                        </a:prstGeom>
                        <a:solidFill>
                          <a:srgbClr val="FFFFFF"/>
                        </a:solidFill>
                        <a:ln w="12065">
                          <a:solidFill>
                            <a:srgbClr val="000000"/>
                          </a:solidFill>
                          <a:miter lim="800000"/>
                          <a:headEnd/>
                          <a:tailEnd/>
                        </a:ln>
                      </wps:spPr>
                      <wps:bodyPr/>
                    </wps:wsp>
                  </a:graphicData>
                </a:graphic>
              </wp:anchor>
            </w:drawing>
          </mc:Choice>
          <mc:Fallback>
            <w:pict>
              <v:line id="Shape 5" o:spid="_x0000_s10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2.45pt,6.45pt" to="337.45pt,6.45pt" o:allowincell="f" strokecolor="#000000" strokeweight="0.95pt"/>
            </w:pict>
          </mc:Fallback>
        </mc:AlternateConten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153" w:lineRule="exact"/>
        <w:rPr>
          <w:sz w:val="20"/>
          <w:szCs w:val="20"/>
          <w:color w:val="auto"/>
        </w:rPr>
      </w:pPr>
    </w:p>
    <w:p>
      <w:pPr>
        <w:ind w:left="720" w:hanging="720"/>
        <w:spacing w:after="0"/>
        <w:tabs>
          <w:tab w:leader="none" w:pos="720" w:val="left"/>
        </w:tabs>
        <w:numPr>
          <w:ilvl w:val="0"/>
          <w:numId w:val="1"/>
        </w:numPr>
        <w:rPr>
          <w:rFonts w:ascii="MS PGothic" w:cs="MS PGothic" w:eastAsia="MS PGothic" w:hAnsi="MS PGothic"/>
          <w:sz w:val="14"/>
          <w:szCs w:val="14"/>
          <w:b w:val="1"/>
          <w:bCs w:val="1"/>
          <w:color w:val="auto"/>
        </w:rPr>
      </w:pPr>
      <w:r>
        <w:rPr>
          <w:rFonts w:ascii="Times New Roman" w:cs="Times New Roman" w:eastAsia="Times New Roman" w:hAnsi="Times New Roman"/>
          <w:sz w:val="14"/>
          <w:szCs w:val="14"/>
          <w:b w:val="1"/>
          <w:bCs w:val="1"/>
          <w:color w:val="auto"/>
        </w:rPr>
        <w:t xml:space="preserve">ANNUAL REPORT </w:t>
      </w:r>
      <w:r>
        <w:rPr>
          <w:rFonts w:ascii="Times New Roman" w:cs="Times New Roman" w:eastAsia="Times New Roman" w:hAnsi="Times New Roman"/>
          <w:sz w:val="14"/>
          <w:szCs w:val="14"/>
          <w:color w:val="auto"/>
        </w:rPr>
        <w:t>PURSUANT</w:t>
      </w:r>
      <w:r>
        <w:rPr>
          <w:rFonts w:ascii="Times New Roman" w:cs="Times New Roman" w:eastAsia="Times New Roman" w:hAnsi="Times New Roman"/>
          <w:sz w:val="14"/>
          <w:szCs w:val="14"/>
          <w:b w:val="1"/>
          <w:bCs w:val="1"/>
          <w:color w:val="auto"/>
        </w:rPr>
        <w:t xml:space="preserve"> TO SECTION 13 OR 15(d) OF THE SECURITIES EXCHANGE ACT OF 1934</w:t>
      </w:r>
    </w:p>
    <w:p>
      <w:pPr>
        <w:spacing w:after="0" w:line="119" w:lineRule="exact"/>
        <w:rPr>
          <w:rFonts w:ascii="MS PGothic" w:cs="MS PGothic" w:eastAsia="MS PGothic" w:hAnsi="MS PGothic"/>
          <w:sz w:val="14"/>
          <w:szCs w:val="14"/>
          <w:b w:val="1"/>
          <w:bCs w:val="1"/>
          <w:color w:val="auto"/>
        </w:rPr>
      </w:pPr>
    </w:p>
    <w:p>
      <w:pPr>
        <w:ind w:left="4080"/>
        <w:spacing w:after="0"/>
        <w:rPr>
          <w:rFonts w:ascii="MS PGothic" w:cs="MS PGothic" w:eastAsia="MS PGothic" w:hAnsi="MS PGothic"/>
          <w:sz w:val="14"/>
          <w:szCs w:val="14"/>
          <w:b w:val="1"/>
          <w:bCs w:val="1"/>
          <w:color w:val="auto"/>
        </w:rPr>
      </w:pPr>
      <w:r>
        <w:rPr>
          <w:rFonts w:ascii="Times New Roman" w:cs="Times New Roman" w:eastAsia="Times New Roman" w:hAnsi="Times New Roman"/>
          <w:sz w:val="14"/>
          <w:szCs w:val="14"/>
          <w:b w:val="1"/>
          <w:bCs w:val="1"/>
          <w:color w:val="auto"/>
        </w:rPr>
        <w:t>For the fiscal year ended December 31, 2025</w:t>
      </w:r>
    </w:p>
    <w:p>
      <w:pPr>
        <w:spacing w:after="0" w:line="115" w:lineRule="exact"/>
        <w:rPr>
          <w:rFonts w:ascii="MS PGothic" w:cs="MS PGothic" w:eastAsia="MS PGothic" w:hAnsi="MS PGothic"/>
          <w:sz w:val="14"/>
          <w:szCs w:val="14"/>
          <w:b w:val="1"/>
          <w:bCs w:val="1"/>
          <w:color w:val="auto"/>
        </w:rPr>
      </w:pPr>
    </w:p>
    <w:p>
      <w:pPr>
        <w:ind w:left="5300"/>
        <w:spacing w:after="0"/>
        <w:rPr>
          <w:rFonts w:ascii="MS PGothic" w:cs="MS PGothic" w:eastAsia="MS PGothic" w:hAnsi="MS PGothic"/>
          <w:sz w:val="14"/>
          <w:szCs w:val="14"/>
          <w:b w:val="1"/>
          <w:bCs w:val="1"/>
          <w:color w:val="auto"/>
        </w:rPr>
      </w:pPr>
      <w:r>
        <w:rPr>
          <w:rFonts w:ascii="Times New Roman" w:cs="Times New Roman" w:eastAsia="Times New Roman" w:hAnsi="Times New Roman"/>
          <w:sz w:val="14"/>
          <w:szCs w:val="14"/>
          <w:b w:val="1"/>
          <w:bCs w:val="1"/>
          <w:color w:val="auto"/>
        </w:rPr>
        <w:t>OR</w:t>
      </w:r>
    </w:p>
    <w:p>
      <w:pPr>
        <w:spacing w:after="0" w:line="137" w:lineRule="exact"/>
        <w:rPr>
          <w:sz w:val="20"/>
          <w:szCs w:val="20"/>
          <w:color w:val="auto"/>
        </w:rPr>
      </w:pPr>
    </w:p>
    <w:p>
      <w:pPr>
        <w:ind w:left="720" w:hanging="720"/>
        <w:spacing w:after="0"/>
        <w:tabs>
          <w:tab w:leader="none" w:pos="720" w:val="left"/>
        </w:tabs>
        <w:numPr>
          <w:ilvl w:val="0"/>
          <w:numId w:val="2"/>
        </w:numPr>
        <w:rPr>
          <w:rFonts w:ascii="MS PGothic" w:cs="MS PGothic" w:eastAsia="MS PGothic" w:hAnsi="MS PGothic"/>
          <w:sz w:val="14"/>
          <w:szCs w:val="14"/>
          <w:b w:val="1"/>
          <w:bCs w:val="1"/>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8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For the transition period from</w:t>
            </w:r>
          </w:p>
        </w:tc>
        <w:tc>
          <w:tcPr>
            <w:tcW w:w="42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to</w:t>
            </w:r>
          </w:p>
        </w:tc>
      </w:tr>
      <w:tr>
        <w:trPr>
          <w:trHeight w:val="276"/>
        </w:trPr>
        <w:tc>
          <w:tcPr>
            <w:tcW w:w="3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Commission File Number 000-29374</w:t>
            </w:r>
          </w:p>
        </w:tc>
        <w:tc>
          <w:tcPr>
            <w:tcW w:w="220" w:type="dxa"/>
            <w:vAlign w:val="bottom"/>
          </w:tcPr>
          <w:p>
            <w:pPr>
              <w:spacing w:after="0"/>
              <w:rPr>
                <w:sz w:val="24"/>
                <w:szCs w:val="24"/>
                <w:color w:val="auto"/>
              </w:rPr>
            </w:pPr>
          </w:p>
        </w:tc>
        <w:tc>
          <w:tcPr>
            <w:tcW w:w="4060" w:type="dxa"/>
            <w:vAlign w:val="bottom"/>
          </w:tcPr>
          <w:p>
            <w:pPr>
              <w:spacing w:after="0"/>
              <w:rPr>
                <w:sz w:val="24"/>
                <w:szCs w:val="24"/>
                <w:color w:val="auto"/>
              </w:rPr>
            </w:pPr>
          </w:p>
        </w:tc>
      </w:tr>
      <w:tr>
        <w:trPr>
          <w:trHeight w:val="78"/>
        </w:trPr>
        <w:tc>
          <w:tcPr>
            <w:tcW w:w="37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96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4060" w:type="dxa"/>
            <w:vAlign w:val="bottom"/>
          </w:tcPr>
          <w:p>
            <w:pPr>
              <w:spacing w:after="0"/>
              <w:rPr>
                <w:sz w:val="6"/>
                <w:szCs w:val="6"/>
                <w:color w:val="auto"/>
              </w:rPr>
            </w:pPr>
          </w:p>
        </w:tc>
      </w:tr>
      <w:tr>
        <w:trPr>
          <w:trHeight w:val="445"/>
        </w:trPr>
        <w:tc>
          <w:tcPr>
            <w:tcW w:w="3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80" w:type="dxa"/>
            <w:vAlign w:val="bottom"/>
            <w:gridSpan w:val="3"/>
          </w:tcPr>
          <w:p>
            <w:pPr>
              <w:jc w:val="center"/>
              <w:spacing w:after="0"/>
              <w:rPr>
                <w:sz w:val="20"/>
                <w:szCs w:val="20"/>
                <w:color w:val="auto"/>
              </w:rPr>
            </w:pPr>
            <w:r>
              <w:rPr>
                <w:rFonts w:ascii="Times New Roman" w:cs="Times New Roman" w:eastAsia="Times New Roman" w:hAnsi="Times New Roman"/>
                <w:sz w:val="26"/>
                <w:szCs w:val="26"/>
                <w:b w:val="1"/>
                <w:bCs w:val="1"/>
                <w:color w:val="auto"/>
                <w:w w:val="99"/>
              </w:rPr>
              <w:t>EDAP TMS S.A.</w:t>
            </w:r>
          </w:p>
        </w:tc>
        <w:tc>
          <w:tcPr>
            <w:tcW w:w="220" w:type="dxa"/>
            <w:vAlign w:val="bottom"/>
          </w:tcPr>
          <w:p>
            <w:pPr>
              <w:spacing w:after="0"/>
              <w:rPr>
                <w:sz w:val="24"/>
                <w:szCs w:val="24"/>
                <w:color w:val="auto"/>
              </w:rPr>
            </w:pPr>
          </w:p>
        </w:tc>
        <w:tc>
          <w:tcPr>
            <w:tcW w:w="4060" w:type="dxa"/>
            <w:vAlign w:val="bottom"/>
          </w:tcPr>
          <w:p>
            <w:pPr>
              <w:spacing w:after="0"/>
              <w:rPr>
                <w:sz w:val="24"/>
                <w:szCs w:val="24"/>
                <w:color w:val="auto"/>
              </w:rPr>
            </w:pPr>
          </w:p>
        </w:tc>
      </w:tr>
      <w:tr>
        <w:trPr>
          <w:trHeight w:val="191"/>
        </w:trPr>
        <w:tc>
          <w:tcPr>
            <w:tcW w:w="3700" w:type="dxa"/>
            <w:vAlign w:val="bottom"/>
          </w:tcPr>
          <w:p>
            <w:pPr>
              <w:spacing w:after="0"/>
              <w:rPr>
                <w:sz w:val="16"/>
                <w:szCs w:val="16"/>
                <w:color w:val="auto"/>
              </w:rPr>
            </w:pPr>
          </w:p>
        </w:tc>
        <w:tc>
          <w:tcPr>
            <w:tcW w:w="7100" w:type="dxa"/>
            <w:vAlign w:val="bottom"/>
            <w:gridSpan w:val="8"/>
          </w:tcPr>
          <w:p>
            <w:pPr>
              <w:jc w:val="center"/>
              <w:ind w:right="3630"/>
              <w:spacing w:after="0"/>
              <w:rPr>
                <w:sz w:val="20"/>
                <w:szCs w:val="20"/>
                <w:color w:val="auto"/>
              </w:rPr>
            </w:pPr>
            <w:r>
              <w:rPr>
                <w:rFonts w:ascii="Times New Roman" w:cs="Times New Roman" w:eastAsia="Times New Roman" w:hAnsi="Times New Roman"/>
                <w:sz w:val="14"/>
                <w:szCs w:val="14"/>
                <w:b w:val="1"/>
                <w:bCs w:val="1"/>
                <w:color w:val="auto"/>
                <w:w w:val="99"/>
              </w:rPr>
              <w:t>(Exact name of registrant as specified in its charter)</w:t>
            </w:r>
          </w:p>
        </w:tc>
      </w:tr>
      <w:tr>
        <w:trPr>
          <w:trHeight w:val="78"/>
        </w:trPr>
        <w:tc>
          <w:tcPr>
            <w:tcW w:w="37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96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4060" w:type="dxa"/>
            <w:vAlign w:val="bottom"/>
          </w:tcPr>
          <w:p>
            <w:pPr>
              <w:spacing w:after="0"/>
              <w:rPr>
                <w:sz w:val="6"/>
                <w:szCs w:val="6"/>
                <w:color w:val="auto"/>
              </w:rPr>
            </w:pPr>
          </w:p>
        </w:tc>
      </w:tr>
      <w:tr>
        <w:trPr>
          <w:trHeight w:val="310"/>
        </w:trPr>
        <w:tc>
          <w:tcPr>
            <w:tcW w:w="4240" w:type="dxa"/>
            <w:vAlign w:val="bottom"/>
            <w:gridSpan w:val="4"/>
          </w:tcPr>
          <w:p>
            <w:pPr>
              <w:jc w:val="center"/>
              <w:ind w:left="2230"/>
              <w:spacing w:after="0"/>
              <w:rPr>
                <w:sz w:val="20"/>
                <w:szCs w:val="20"/>
                <w:color w:val="auto"/>
              </w:rPr>
            </w:pPr>
            <w:r>
              <w:rPr>
                <w:rFonts w:ascii="Times New Roman" w:cs="Times New Roman" w:eastAsia="Times New Roman" w:hAnsi="Times New Roman"/>
                <w:sz w:val="14"/>
                <w:szCs w:val="14"/>
                <w:b w:val="1"/>
                <w:bCs w:val="1"/>
                <w:color w:val="auto"/>
                <w:w w:val="99"/>
              </w:rPr>
              <w:t>France</w:t>
            </w:r>
          </w:p>
        </w:tc>
        <w:tc>
          <w:tcPr>
            <w:tcW w:w="1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80" w:type="dxa"/>
            <w:vAlign w:val="bottom"/>
            <w:gridSpan w:val="2"/>
          </w:tcPr>
          <w:p>
            <w:pPr>
              <w:jc w:val="right"/>
              <w:ind w:right="1730"/>
              <w:spacing w:after="0"/>
              <w:rPr>
                <w:sz w:val="20"/>
                <w:szCs w:val="20"/>
                <w:color w:val="auto"/>
              </w:rPr>
            </w:pPr>
            <w:r>
              <w:rPr>
                <w:rFonts w:ascii="Times New Roman" w:cs="Times New Roman" w:eastAsia="Times New Roman" w:hAnsi="Times New Roman"/>
                <w:sz w:val="14"/>
                <w:szCs w:val="14"/>
                <w:b w:val="1"/>
                <w:bCs w:val="1"/>
                <w:color w:val="auto"/>
              </w:rPr>
              <w:t>98-1644844</w:t>
            </w:r>
          </w:p>
        </w:tc>
      </w:tr>
      <w:tr>
        <w:trPr>
          <w:trHeight w:val="161"/>
        </w:trPr>
        <w:tc>
          <w:tcPr>
            <w:tcW w:w="4240" w:type="dxa"/>
            <w:vAlign w:val="bottom"/>
            <w:gridSpan w:val="4"/>
          </w:tcPr>
          <w:p>
            <w:pPr>
              <w:jc w:val="center"/>
              <w:ind w:left="2230"/>
              <w:spacing w:after="0"/>
              <w:rPr>
                <w:sz w:val="20"/>
                <w:szCs w:val="20"/>
                <w:color w:val="auto"/>
              </w:rPr>
            </w:pPr>
            <w:r>
              <w:rPr>
                <w:rFonts w:ascii="Times New Roman" w:cs="Times New Roman" w:eastAsia="Times New Roman" w:hAnsi="Times New Roman"/>
                <w:sz w:val="14"/>
                <w:szCs w:val="14"/>
                <w:b w:val="1"/>
                <w:bCs w:val="1"/>
                <w:color w:val="auto"/>
                <w:w w:val="99"/>
              </w:rPr>
              <w:t>(State or other jurisdiction of</w:t>
            </w:r>
          </w:p>
        </w:tc>
        <w:tc>
          <w:tcPr>
            <w:tcW w:w="1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60" w:type="dxa"/>
            <w:vAlign w:val="bottom"/>
          </w:tcPr>
          <w:p>
            <w:pPr>
              <w:jc w:val="center"/>
              <w:ind w:right="130"/>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240" w:type="dxa"/>
            <w:vAlign w:val="bottom"/>
            <w:gridSpan w:val="4"/>
          </w:tcPr>
          <w:p>
            <w:pPr>
              <w:jc w:val="center"/>
              <w:ind w:left="2230"/>
              <w:spacing w:after="0"/>
              <w:rPr>
                <w:sz w:val="20"/>
                <w:szCs w:val="20"/>
                <w:color w:val="auto"/>
              </w:rPr>
            </w:pPr>
            <w:r>
              <w:rPr>
                <w:rFonts w:ascii="Times New Roman" w:cs="Times New Roman" w:eastAsia="Times New Roman" w:hAnsi="Times New Roman"/>
                <w:sz w:val="14"/>
                <w:szCs w:val="14"/>
                <w:b w:val="1"/>
                <w:bCs w:val="1"/>
                <w:color w:val="auto"/>
                <w:w w:val="99"/>
              </w:rPr>
              <w:t>incorporation or organization)</w:t>
            </w:r>
          </w:p>
        </w:tc>
        <w:tc>
          <w:tcPr>
            <w:tcW w:w="1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60" w:type="dxa"/>
            <w:vAlign w:val="bottom"/>
          </w:tcPr>
          <w:p>
            <w:pPr>
              <w:jc w:val="center"/>
              <w:ind w:right="130"/>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95"/>
        </w:trPr>
        <w:tc>
          <w:tcPr>
            <w:tcW w:w="652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Parc d’Activites la Poudrette-Lamartine</w:t>
            </w:r>
          </w:p>
        </w:tc>
        <w:tc>
          <w:tcPr>
            <w:tcW w:w="220" w:type="dxa"/>
            <w:vAlign w:val="bottom"/>
          </w:tcPr>
          <w:p>
            <w:pPr>
              <w:spacing w:after="0"/>
              <w:rPr>
                <w:sz w:val="24"/>
                <w:szCs w:val="24"/>
                <w:color w:val="auto"/>
              </w:rPr>
            </w:pPr>
          </w:p>
        </w:tc>
        <w:tc>
          <w:tcPr>
            <w:tcW w:w="4060" w:type="dxa"/>
            <w:vAlign w:val="bottom"/>
          </w:tcPr>
          <w:p>
            <w:pPr>
              <w:spacing w:after="0"/>
              <w:rPr>
                <w:sz w:val="24"/>
                <w:szCs w:val="24"/>
                <w:color w:val="auto"/>
              </w:rPr>
            </w:pPr>
          </w:p>
        </w:tc>
      </w:tr>
      <w:tr>
        <w:trPr>
          <w:trHeight w:val="161"/>
        </w:trPr>
        <w:tc>
          <w:tcPr>
            <w:tcW w:w="4240" w:type="dxa"/>
            <w:vAlign w:val="bottom"/>
            <w:gridSpan w:val="4"/>
          </w:tcPr>
          <w:p>
            <w:pPr>
              <w:jc w:val="center"/>
              <w:ind w:left="2230"/>
              <w:spacing w:after="0"/>
              <w:rPr>
                <w:sz w:val="20"/>
                <w:szCs w:val="20"/>
                <w:color w:val="auto"/>
              </w:rPr>
            </w:pPr>
            <w:r>
              <w:rPr>
                <w:rFonts w:ascii="Times New Roman" w:cs="Times New Roman" w:eastAsia="Times New Roman" w:hAnsi="Times New Roman"/>
                <w:sz w:val="14"/>
                <w:szCs w:val="14"/>
                <w:b w:val="1"/>
                <w:bCs w:val="1"/>
                <w:color w:val="auto"/>
                <w:w w:val="99"/>
              </w:rPr>
              <w:t>4/6, rue du Dauphiné</w:t>
            </w:r>
          </w:p>
        </w:tc>
        <w:tc>
          <w:tcPr>
            <w:tcW w:w="1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60" w:type="dxa"/>
            <w:vAlign w:val="bottom"/>
          </w:tcPr>
          <w:p>
            <w:pPr>
              <w:spacing w:after="0"/>
              <w:rPr>
                <w:sz w:val="13"/>
                <w:szCs w:val="13"/>
                <w:color w:val="auto"/>
              </w:rPr>
            </w:pPr>
          </w:p>
        </w:tc>
      </w:tr>
      <w:tr>
        <w:trPr>
          <w:trHeight w:val="161"/>
        </w:trPr>
        <w:tc>
          <w:tcPr>
            <w:tcW w:w="4240" w:type="dxa"/>
            <w:vAlign w:val="bottom"/>
            <w:gridSpan w:val="4"/>
          </w:tcPr>
          <w:p>
            <w:pPr>
              <w:jc w:val="center"/>
              <w:ind w:left="2230"/>
              <w:spacing w:after="0"/>
              <w:rPr>
                <w:sz w:val="20"/>
                <w:szCs w:val="20"/>
                <w:color w:val="auto"/>
              </w:rPr>
            </w:pPr>
            <w:r>
              <w:rPr>
                <w:rFonts w:ascii="Times New Roman" w:cs="Times New Roman" w:eastAsia="Times New Roman" w:hAnsi="Times New Roman"/>
                <w:sz w:val="14"/>
                <w:szCs w:val="14"/>
                <w:b w:val="1"/>
                <w:bCs w:val="1"/>
                <w:color w:val="auto"/>
                <w:w w:val="99"/>
              </w:rPr>
              <w:t>69120 Vaulx-en-Velin, France</w:t>
            </w:r>
          </w:p>
        </w:tc>
        <w:tc>
          <w:tcPr>
            <w:tcW w:w="1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80" w:type="dxa"/>
            <w:vAlign w:val="bottom"/>
            <w:gridSpan w:val="2"/>
          </w:tcPr>
          <w:p>
            <w:pPr>
              <w:jc w:val="right"/>
              <w:ind w:right="1890"/>
              <w:spacing w:after="0"/>
              <w:rPr>
                <w:sz w:val="20"/>
                <w:szCs w:val="20"/>
                <w:color w:val="auto"/>
              </w:rPr>
            </w:pPr>
            <w:r>
              <w:rPr>
                <w:rFonts w:ascii="Times New Roman" w:cs="Times New Roman" w:eastAsia="Times New Roman" w:hAnsi="Times New Roman"/>
                <w:sz w:val="14"/>
                <w:szCs w:val="14"/>
                <w:b w:val="1"/>
                <w:bCs w:val="1"/>
                <w:color w:val="auto"/>
              </w:rPr>
              <w:t>69120</w:t>
            </w:r>
          </w:p>
        </w:tc>
      </w:tr>
      <w:tr>
        <w:trPr>
          <w:trHeight w:val="190"/>
        </w:trPr>
        <w:tc>
          <w:tcPr>
            <w:tcW w:w="652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(Address of principal executive offices)</w:t>
            </w:r>
          </w:p>
        </w:tc>
        <w:tc>
          <w:tcPr>
            <w:tcW w:w="220" w:type="dxa"/>
            <w:vAlign w:val="bottom"/>
          </w:tcPr>
          <w:p>
            <w:pPr>
              <w:spacing w:after="0"/>
              <w:rPr>
                <w:sz w:val="16"/>
                <w:szCs w:val="16"/>
                <w:color w:val="auto"/>
              </w:rPr>
            </w:pPr>
          </w:p>
        </w:tc>
        <w:tc>
          <w:tcPr>
            <w:tcW w:w="4060" w:type="dxa"/>
            <w:vAlign w:val="bottom"/>
          </w:tcPr>
          <w:p>
            <w:pPr>
              <w:jc w:val="center"/>
              <w:ind w:right="130"/>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276"/>
        </w:trPr>
        <w:tc>
          <w:tcPr>
            <w:tcW w:w="10800" w:type="dxa"/>
            <w:vAlign w:val="bottom"/>
            <w:gridSpan w:val="9"/>
          </w:tcPr>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+33 4 72 15 31 50</w:t>
            </w:r>
          </w:p>
        </w:tc>
      </w:tr>
      <w:tr>
        <w:trPr>
          <w:trHeight w:val="78"/>
        </w:trPr>
        <w:tc>
          <w:tcPr>
            <w:tcW w:w="37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96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4060" w:type="dxa"/>
            <w:vAlign w:val="bottom"/>
          </w:tcPr>
          <w:p>
            <w:pPr>
              <w:spacing w:after="0"/>
              <w:rPr>
                <w:sz w:val="6"/>
                <w:szCs w:val="6"/>
                <w:color w:val="auto"/>
              </w:rPr>
            </w:pPr>
          </w:p>
        </w:tc>
      </w:tr>
      <w:tr>
        <w:trPr>
          <w:trHeight w:val="337"/>
        </w:trPr>
        <w:tc>
          <w:tcPr>
            <w:tcW w:w="424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1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60" w:type="dxa"/>
            <w:vAlign w:val="bottom"/>
          </w:tcPr>
          <w:p>
            <w:pPr>
              <w:spacing w:after="0"/>
              <w:rPr>
                <w:sz w:val="24"/>
                <w:szCs w:val="24"/>
                <w:color w:val="auto"/>
              </w:rPr>
            </w:pPr>
          </w:p>
        </w:tc>
      </w:tr>
      <w:tr>
        <w:trPr>
          <w:trHeight w:val="284"/>
        </w:trPr>
        <w:tc>
          <w:tcPr>
            <w:tcW w:w="4240" w:type="dxa"/>
            <w:vAlign w:val="bottom"/>
            <w:gridSpan w:val="4"/>
          </w:tcPr>
          <w:p>
            <w:pPr>
              <w:jc w:val="center"/>
              <w:ind w:right="47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280" w:type="dxa"/>
            <w:vAlign w:val="bottom"/>
            <w:gridSpan w:val="3"/>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w w:val="99"/>
              </w:rPr>
              <w:t>Trading Symbol(s)</w:t>
            </w:r>
          </w:p>
        </w:tc>
        <w:tc>
          <w:tcPr>
            <w:tcW w:w="220" w:type="dxa"/>
            <w:vAlign w:val="bottom"/>
          </w:tcPr>
          <w:p>
            <w:pPr>
              <w:spacing w:after="0"/>
              <w:rPr>
                <w:sz w:val="24"/>
                <w:szCs w:val="24"/>
                <w:color w:val="auto"/>
              </w:rPr>
            </w:pPr>
          </w:p>
        </w:tc>
        <w:tc>
          <w:tcPr>
            <w:tcW w:w="4060" w:type="dxa"/>
            <w:vAlign w:val="bottom"/>
          </w:tcPr>
          <w:p>
            <w:pPr>
              <w:jc w:val="center"/>
              <w:ind w:right="270"/>
              <w:spacing w:after="0"/>
              <w:rPr>
                <w:sz w:val="20"/>
                <w:szCs w:val="20"/>
                <w:color w:val="auto"/>
              </w:rPr>
            </w:pPr>
            <w:r>
              <w:rPr>
                <w:rFonts w:ascii="Times New Roman" w:cs="Times New Roman" w:eastAsia="Times New Roman" w:hAnsi="Times New Roman"/>
                <w:sz w:val="14"/>
                <w:szCs w:val="14"/>
                <w:b w:val="1"/>
                <w:bCs w:val="1"/>
                <w:color w:val="auto"/>
                <w:w w:val="99"/>
              </w:rPr>
              <w:t>Name of each exchange on which registered</w:t>
            </w:r>
          </w:p>
        </w:tc>
      </w:tr>
      <w:tr>
        <w:trPr>
          <w:trHeight w:val="135"/>
        </w:trPr>
        <w:tc>
          <w:tcPr>
            <w:tcW w:w="3700" w:type="dxa"/>
            <w:vAlign w:val="bottom"/>
            <w:tcBorders>
              <w:top w:val="single" w:sz="8" w:color="auto"/>
            </w:tcBorders>
          </w:tcPr>
          <w:p>
            <w:pPr>
              <w:jc w:val="center"/>
              <w:spacing w:after="0" w:line="135" w:lineRule="exact"/>
              <w:rPr>
                <w:sz w:val="20"/>
                <w:szCs w:val="20"/>
                <w:color w:val="auto"/>
              </w:rPr>
            </w:pPr>
            <w:r>
              <w:rPr>
                <w:rFonts w:ascii="Times New Roman" w:cs="Times New Roman" w:eastAsia="Times New Roman" w:hAnsi="Times New Roman"/>
                <w:sz w:val="14"/>
                <w:szCs w:val="14"/>
                <w:color w:val="auto"/>
                <w:w w:val="99"/>
              </w:rPr>
              <w:t>American Depositary Shares, each representing one Ordinary</w:t>
            </w:r>
          </w:p>
        </w:tc>
        <w:tc>
          <w:tcPr>
            <w:tcW w:w="220" w:type="dxa"/>
            <w:vAlign w:val="bottom"/>
          </w:tcPr>
          <w:p>
            <w:pPr>
              <w:spacing w:after="0"/>
              <w:rPr>
                <w:sz w:val="11"/>
                <w:szCs w:val="11"/>
                <w:color w:val="auto"/>
              </w:rPr>
            </w:pPr>
          </w:p>
        </w:tc>
        <w:tc>
          <w:tcPr>
            <w:tcW w:w="320" w:type="dxa"/>
            <w:vAlign w:val="bottom"/>
            <w:tcBorders>
              <w:top w:val="single" w:sz="8" w:color="auto"/>
            </w:tcBorders>
            <w:gridSpan w:val="2"/>
          </w:tcPr>
          <w:p>
            <w:pPr>
              <w:spacing w:after="0"/>
              <w:rPr>
                <w:sz w:val="11"/>
                <w:szCs w:val="11"/>
                <w:color w:val="auto"/>
              </w:rPr>
            </w:pPr>
          </w:p>
        </w:tc>
        <w:tc>
          <w:tcPr>
            <w:tcW w:w="1960" w:type="dxa"/>
            <w:vAlign w:val="bottom"/>
            <w:tcBorders>
              <w:top w:val="single" w:sz="8" w:color="auto"/>
            </w:tcBorders>
          </w:tcPr>
          <w:p>
            <w:pPr>
              <w:jc w:val="center"/>
              <w:ind w:right="235"/>
              <w:spacing w:after="0" w:line="135" w:lineRule="exact"/>
              <w:rPr>
                <w:sz w:val="20"/>
                <w:szCs w:val="20"/>
                <w:color w:val="auto"/>
              </w:rPr>
            </w:pPr>
            <w:r>
              <w:rPr>
                <w:rFonts w:ascii="Times New Roman" w:cs="Times New Roman" w:eastAsia="Times New Roman" w:hAnsi="Times New Roman"/>
                <w:sz w:val="14"/>
                <w:szCs w:val="14"/>
                <w:color w:val="auto"/>
                <w:w w:val="98"/>
              </w:rPr>
              <w:t>EDAP</w:t>
            </w:r>
          </w:p>
        </w:tc>
        <w:tc>
          <w:tcPr>
            <w:tcW w:w="2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4060" w:type="dxa"/>
            <w:vAlign w:val="bottom"/>
            <w:tcBorders>
              <w:top w:val="single" w:sz="8" w:color="auto"/>
            </w:tcBorders>
          </w:tcPr>
          <w:p>
            <w:pPr>
              <w:jc w:val="center"/>
              <w:ind w:right="270"/>
              <w:spacing w:after="0" w:line="135" w:lineRule="exact"/>
              <w:rPr>
                <w:sz w:val="20"/>
                <w:szCs w:val="20"/>
                <w:color w:val="auto"/>
              </w:rPr>
            </w:pPr>
            <w:r>
              <w:rPr>
                <w:rFonts w:ascii="Times New Roman" w:cs="Times New Roman" w:eastAsia="Times New Roman" w:hAnsi="Times New Roman"/>
                <w:sz w:val="14"/>
                <w:szCs w:val="14"/>
                <w:color w:val="auto"/>
              </w:rPr>
              <w:t>Nasdaq Global Market</w:t>
            </w:r>
          </w:p>
        </w:tc>
      </w:tr>
      <w:tr>
        <w:trPr>
          <w:trHeight w:val="187"/>
        </w:trPr>
        <w:tc>
          <w:tcPr>
            <w:tcW w:w="4240" w:type="dxa"/>
            <w:vAlign w:val="bottom"/>
            <w:gridSpan w:val="4"/>
          </w:tcPr>
          <w:p>
            <w:pPr>
              <w:jc w:val="center"/>
              <w:ind w:right="450"/>
              <w:spacing w:after="0"/>
              <w:rPr>
                <w:sz w:val="20"/>
                <w:szCs w:val="20"/>
                <w:color w:val="auto"/>
              </w:rPr>
            </w:pPr>
            <w:r>
              <w:rPr>
                <w:rFonts w:ascii="Times New Roman" w:cs="Times New Roman" w:eastAsia="Times New Roman" w:hAnsi="Times New Roman"/>
                <w:sz w:val="14"/>
                <w:szCs w:val="14"/>
                <w:color w:val="auto"/>
                <w:w w:val="99"/>
              </w:rPr>
              <w:t>Share (Ordinary Shares, nominal value €0.13 per share)</w:t>
            </w:r>
          </w:p>
        </w:tc>
        <w:tc>
          <w:tcPr>
            <w:tcW w:w="1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60" w:type="dxa"/>
            <w:vAlign w:val="bottom"/>
          </w:tcPr>
          <w:p>
            <w:pPr>
              <w:spacing w:after="0"/>
              <w:rPr>
                <w:sz w:val="16"/>
                <w:szCs w:val="16"/>
                <w:color w:val="auto"/>
              </w:rPr>
            </w:pP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Securities registered pursuant to Section 12(g) of the Act: </w:t>
      </w:r>
      <w:r>
        <w:rPr>
          <w:rFonts w:ascii="Times New Roman" w:cs="Times New Roman" w:eastAsia="Times New Roman" w:hAnsi="Times New Roman"/>
          <w:sz w:val="14"/>
          <w:szCs w:val="14"/>
          <w:b w:val="1"/>
          <w:bCs w:val="1"/>
          <w:color w:val="auto"/>
        </w:rPr>
        <w:t>None</w:t>
      </w:r>
    </w:p>
    <w:p>
      <w:pPr>
        <w:spacing w:after="0" w:line="75" w:lineRule="exact"/>
        <w:rPr>
          <w:sz w:val="20"/>
          <w:szCs w:val="20"/>
          <w:color w:val="auto"/>
        </w:rPr>
      </w:pPr>
    </w:p>
    <w:p>
      <w:pPr>
        <w:ind w:right="3400"/>
        <w:spacing w:after="0" w:line="308"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Indicate by check mark if the Registrant is not required to file reports pursuant to Section 13 or 15(d)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9" w:lineRule="exact"/>
        <w:rPr>
          <w:sz w:val="20"/>
          <w:szCs w:val="20"/>
          <w:color w:val="auto"/>
        </w:rPr>
      </w:pPr>
    </w:p>
    <w:p>
      <w:pPr>
        <w:spacing w:after="0" w:line="21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9" w:lineRule="exact"/>
        <w:rPr>
          <w:sz w:val="20"/>
          <w:szCs w:val="20"/>
          <w:color w:val="auto"/>
        </w:rPr>
      </w:pPr>
    </w:p>
    <w:p>
      <w:pPr>
        <w:spacing w:after="0" w:line="21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9"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315"/>
        </w:trPr>
        <w:tc>
          <w:tcPr>
            <w:tcW w:w="266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1700" w:type="dxa"/>
            <w:vAlign w:val="bottom"/>
          </w:tcPr>
          <w:p>
            <w:pPr>
              <w:ind w:left="1140"/>
              <w:spacing w:after="0" w:line="141" w:lineRule="exact"/>
              <w:rPr>
                <w:sz w:val="20"/>
                <w:szCs w:val="20"/>
                <w:color w:val="auto"/>
              </w:rPr>
            </w:pPr>
            <w:r>
              <w:rPr>
                <w:rFonts w:ascii="MS PGothic" w:cs="MS PGothic" w:eastAsia="MS PGothic" w:hAnsi="MS PGothic"/>
                <w:sz w:val="14"/>
                <w:szCs w:val="14"/>
                <w:color w:val="auto"/>
              </w:rPr>
              <w:t>☐</w:t>
            </w:r>
          </w:p>
        </w:tc>
        <w:tc>
          <w:tcPr>
            <w:tcW w:w="270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Accelerated filer</w:t>
            </w:r>
          </w:p>
        </w:tc>
        <w:tc>
          <w:tcPr>
            <w:tcW w:w="860" w:type="dxa"/>
            <w:vAlign w:val="bottom"/>
          </w:tcPr>
          <w:p>
            <w:pPr>
              <w:ind w:left="7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372"/>
        </w:trPr>
        <w:tc>
          <w:tcPr>
            <w:tcW w:w="266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1700" w:type="dxa"/>
            <w:vAlign w:val="bottom"/>
          </w:tcPr>
          <w:p>
            <w:pPr>
              <w:ind w:left="1140"/>
              <w:spacing w:after="0" w:line="141" w:lineRule="exact"/>
              <w:rPr>
                <w:sz w:val="20"/>
                <w:szCs w:val="20"/>
                <w:color w:val="auto"/>
              </w:rPr>
            </w:pPr>
            <w:r>
              <w:rPr>
                <w:rFonts w:ascii="MS PGothic" w:cs="MS PGothic" w:eastAsia="MS PGothic" w:hAnsi="MS PGothic"/>
                <w:sz w:val="14"/>
                <w:szCs w:val="14"/>
                <w:color w:val="auto"/>
              </w:rPr>
              <w:t>☒</w:t>
            </w:r>
          </w:p>
        </w:tc>
        <w:tc>
          <w:tcPr>
            <w:tcW w:w="270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860" w:type="dxa"/>
            <w:vAlign w:val="bottom"/>
          </w:tcPr>
          <w:p>
            <w:pPr>
              <w:ind w:left="7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374"/>
        </w:trPr>
        <w:tc>
          <w:tcPr>
            <w:tcW w:w="2660" w:type="dxa"/>
            <w:vAlign w:val="bottom"/>
          </w:tcPr>
          <w:p>
            <w:pPr>
              <w:spacing w:after="0"/>
              <w:rPr>
                <w:sz w:val="20"/>
                <w:szCs w:val="20"/>
                <w:color w:val="auto"/>
              </w:rPr>
            </w:pPr>
            <w:r>
              <w:rPr>
                <w:rFonts w:ascii="Times New Roman" w:cs="Times New Roman" w:eastAsia="Times New Roman" w:hAnsi="Times New Roman"/>
                <w:sz w:val="14"/>
                <w:szCs w:val="14"/>
                <w:color w:val="auto"/>
              </w:rPr>
              <w:t>Emerging growth company</w:t>
            </w:r>
          </w:p>
        </w:tc>
        <w:tc>
          <w:tcPr>
            <w:tcW w:w="1700" w:type="dxa"/>
            <w:vAlign w:val="bottom"/>
          </w:tcPr>
          <w:p>
            <w:pPr>
              <w:ind w:left="1140"/>
              <w:spacing w:after="0" w:line="141" w:lineRule="exact"/>
              <w:rPr>
                <w:sz w:val="20"/>
                <w:szCs w:val="20"/>
                <w:color w:val="auto"/>
              </w:rPr>
            </w:pPr>
            <w:r>
              <w:rPr>
                <w:rFonts w:ascii="MS PGothic" w:cs="MS PGothic" w:eastAsia="MS PGothic" w:hAnsi="MS PGothic"/>
                <w:sz w:val="14"/>
                <w:szCs w:val="14"/>
                <w:color w:val="auto"/>
              </w:rPr>
              <w:t>☐</w:t>
            </w:r>
          </w:p>
        </w:tc>
        <w:tc>
          <w:tcPr>
            <w:tcW w:w="270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pacing w:after="0" w:line="26" w:lineRule="exact"/>
        <w:rPr>
          <w:sz w:val="20"/>
          <w:szCs w:val="20"/>
          <w:color w:val="auto"/>
        </w:rPr>
      </w:pPr>
    </w:p>
    <w:p>
      <w:pPr>
        <w:spacing w:after="0" w:line="218"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9" w:lineRule="exact"/>
        <w:rPr>
          <w:sz w:val="20"/>
          <w:szCs w:val="20"/>
          <w:color w:val="auto"/>
        </w:rPr>
      </w:pPr>
    </w:p>
    <w:p>
      <w:pPr>
        <w:spacing w:after="0" w:line="21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45" w:lineRule="exact"/>
        <w:rPr>
          <w:sz w:val="20"/>
          <w:szCs w:val="20"/>
          <w:color w:val="auto"/>
        </w:rPr>
      </w:pPr>
    </w:p>
    <w:p>
      <w:pPr>
        <w:spacing w:after="0" w:line="218"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45" w:lineRule="exact"/>
        <w:rPr>
          <w:sz w:val="20"/>
          <w:szCs w:val="20"/>
          <w:color w:val="auto"/>
        </w:rPr>
      </w:pPr>
    </w:p>
    <w:p>
      <w:pPr>
        <w:spacing w:after="0" w:line="218"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3" w:lineRule="exact"/>
        <w:rPr>
          <w:sz w:val="20"/>
          <w:szCs w:val="20"/>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01"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4"/>
          <w:szCs w:val="14"/>
          <w:color w:val="auto"/>
        </w:rPr>
        <w:t>The aggregate market value of the voting and non-voting common equity held by non-affiliates based on the closing price per American Depositary Share, or ADS, of the registrant’s ADSs on The Nasdaq Global Market on June 30, 2025 (the last business day of the registrant’s most recently completed second fiscal quarter) was $61,845,277.</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March 25, 2026, the registrant had 37,481,986 ordinary shares, nominal value €0.13 per share, outstanding.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-17780</wp:posOffset>
                </wp:positionH>
                <wp:positionV relativeFrom="paragraph">
                  <wp:posOffset>60960</wp:posOffset>
                </wp:positionV>
                <wp:extent cx="6893560" cy="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3560" cy="4763"/>
                        </a:xfrm>
                        <a:prstGeom prst="line">
                          <a:avLst/>
                        </a:prstGeom>
                        <a:solidFill>
                          <a:srgbClr val="FFFFFF"/>
                        </a:solidFill>
                        <a:ln w="12191">
                          <a:solidFill>
                            <a:srgbClr val="000000"/>
                          </a:solidFill>
                          <a:miter lim="800000"/>
                          <a:headEnd/>
                          <a:tailEnd/>
                        </a:ln>
                      </wps:spPr>
                      <wps:bodyPr/>
                    </wps:wsp>
                  </a:graphicData>
                </a:graphic>
              </wp:anchor>
            </w:drawing>
          </mc:Choice>
          <mc:Fallback>
            <w:pict>
              <v:line id="Shape 6" o:spid="_x0000_s10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999pt,4.8pt" to="541.4pt,4.8pt" o:allowincell="f" strokecolor="#000000" strokeweight="0.9599pt"/>
            </w:pict>
          </mc:Fallback>
        </mc:AlternateContent>
        <mc:AlternateContent>
          <mc:Choice Requires="wps">
            <w:drawing>
              <wp:anchor simplePos="0" relativeHeight="251657728" behindDoc="1" locked="0" layoutInCell="0" allowOverlap="1">
                <wp:simplePos x="0" y="0"/>
                <wp:positionH relativeFrom="column">
                  <wp:posOffset>-17780</wp:posOffset>
                </wp:positionH>
                <wp:positionV relativeFrom="paragraph">
                  <wp:posOffset>125730</wp:posOffset>
                </wp:positionV>
                <wp:extent cx="6893560" cy="0"/>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3560" cy="4763"/>
                        </a:xfrm>
                        <a:prstGeom prst="line">
                          <a:avLst/>
                        </a:prstGeom>
                        <a:solidFill>
                          <a:srgbClr val="FFFFFF"/>
                        </a:solidFill>
                        <a:ln w="38100">
                          <a:solidFill>
                            <a:srgbClr val="000000"/>
                          </a:solidFill>
                          <a:miter lim="800000"/>
                          <a:headEnd/>
                          <a:tailEnd/>
                        </a:ln>
                      </wps:spPr>
                      <wps:bodyPr/>
                    </wps:wsp>
                  </a:graphicData>
                </a:graphic>
              </wp:anchor>
            </w:drawing>
          </mc:Choice>
          <mc:Fallback>
            <w:pict>
              <v:line id="Shape 7" o:spid="_x0000_s10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999pt,9.9pt" to="541.4pt,9.9pt" o:allowincell="f" strokecolor="#000000" strokeweight="3pt"/>
            </w:pict>
          </mc:Fallback>
        </mc:AlternateContent>
      </w:r>
    </w:p>
    <w:p>
      <w:pPr>
        <w:sectPr>
          <w:pgSz w:w="12240" w:h="15840" w:orient="portrait"/>
          <w:cols w:equalWidth="0" w:num="1">
            <w:col w:w="10800"/>
          </w:cols>
          <w:pgMar w:left="720" w:top="1440" w:right="720" w:bottom="61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74"/>
        </w:trPr>
        <w:tc>
          <w:tcPr>
            <w:tcW w:w="8840" w:type="dxa"/>
            <w:vAlign w:val="bottom"/>
          </w:tcPr>
          <w:p>
            <w:pPr>
              <w:ind w:left="3780"/>
              <w:spacing w:after="0"/>
              <w:rPr>
                <w:sz w:val="20"/>
                <w:szCs w:val="20"/>
                <w:color w:val="auto"/>
              </w:rPr>
            </w:pPr>
            <w:r>
              <w:rPr>
                <w:rFonts w:ascii="Times New Roman" w:cs="Times New Roman" w:eastAsia="Times New Roman" w:hAnsi="Times New Roman"/>
                <w:sz w:val="20"/>
                <w:szCs w:val="20"/>
                <w:b w:val="1"/>
                <w:bCs w:val="1"/>
                <w:color w:val="auto"/>
              </w:rPr>
              <w:t>TABLE OF CONTENTS</w:t>
            </w:r>
          </w:p>
        </w:tc>
        <w:tc>
          <w:tcPr>
            <w:tcW w:w="680" w:type="dxa"/>
            <w:vAlign w:val="bottom"/>
          </w:tcPr>
          <w:p>
            <w:pPr>
              <w:spacing w:after="0"/>
              <w:rPr>
                <w:sz w:val="23"/>
                <w:szCs w:val="23"/>
                <w:color w:val="auto"/>
              </w:rPr>
            </w:pPr>
          </w:p>
        </w:tc>
      </w:tr>
      <w:tr>
        <w:trPr>
          <w:trHeight w:val="454"/>
        </w:trPr>
        <w:tc>
          <w:tcPr>
            <w:tcW w:w="8840" w:type="dxa"/>
            <w:vAlign w:val="bottom"/>
          </w:tcPr>
          <w:p>
            <w:pPr>
              <w:spacing w:after="0"/>
              <w:rPr>
                <w:sz w:val="24"/>
                <w:szCs w:val="24"/>
                <w:color w:val="auto"/>
              </w:rPr>
            </w:pPr>
          </w:p>
        </w:tc>
        <w:tc>
          <w:tcPr>
            <w:tcW w:w="680" w:type="dxa"/>
            <w:vAlign w:val="bottom"/>
          </w:tcPr>
          <w:p>
            <w:pPr>
              <w:jc w:val="center"/>
              <w:ind w:left="180"/>
              <w:spacing w:after="0"/>
              <w:rPr>
                <w:sz w:val="20"/>
                <w:szCs w:val="20"/>
                <w:color w:val="auto"/>
              </w:rPr>
            </w:pPr>
            <w:r>
              <w:rPr>
                <w:rFonts w:ascii="Times New Roman" w:cs="Times New Roman" w:eastAsia="Times New Roman" w:hAnsi="Times New Roman"/>
                <w:sz w:val="20"/>
                <w:szCs w:val="20"/>
                <w:color w:val="auto"/>
              </w:rPr>
              <w:t>Page</w:t>
            </w:r>
          </w:p>
        </w:tc>
      </w:tr>
      <w:tr>
        <w:trPr>
          <w:trHeight w:val="426"/>
        </w:trPr>
        <w:tc>
          <w:tcPr>
            <w:tcW w:w="88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PART I</w:t>
            </w:r>
          </w:p>
        </w:tc>
        <w:tc>
          <w:tcPr>
            <w:tcW w:w="680" w:type="dxa"/>
            <w:vAlign w:val="bottom"/>
          </w:tcPr>
          <w:p>
            <w:pPr>
              <w:spacing w:after="0"/>
              <w:rPr>
                <w:sz w:val="24"/>
                <w:szCs w:val="24"/>
                <w:color w:val="auto"/>
              </w:rPr>
            </w:pPr>
          </w:p>
        </w:tc>
      </w:tr>
      <w:tr>
        <w:trPr>
          <w:trHeight w:val="230"/>
        </w:trPr>
        <w:tc>
          <w:tcPr>
            <w:tcW w:w="88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Item 1. Business.</w:t>
            </w:r>
          </w:p>
        </w:tc>
        <w:tc>
          <w:tcPr>
            <w:tcW w:w="680" w:type="dxa"/>
            <w:vAlign w:val="bottom"/>
          </w:tcPr>
          <w:p>
            <w:pPr>
              <w:jc w:val="center"/>
              <w:ind w:left="160"/>
              <w:spacing w:after="0"/>
              <w:rPr>
                <w:sz w:val="20"/>
                <w:szCs w:val="20"/>
                <w:color w:val="auto"/>
              </w:rPr>
            </w:pPr>
            <w:r>
              <w:rPr>
                <w:rFonts w:ascii="Times New Roman" w:cs="Times New Roman" w:eastAsia="Times New Roman" w:hAnsi="Times New Roman"/>
                <w:sz w:val="20"/>
                <w:szCs w:val="20"/>
                <w:color w:val="auto"/>
                <w:w w:val="99"/>
              </w:rPr>
              <w:t>3</w:t>
            </w:r>
          </w:p>
        </w:tc>
      </w:tr>
      <w:tr>
        <w:trPr>
          <w:trHeight w:val="230"/>
        </w:trPr>
        <w:tc>
          <w:tcPr>
            <w:tcW w:w="88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Item 1A. Risk Factors.</w:t>
            </w:r>
          </w:p>
        </w:tc>
        <w:tc>
          <w:tcPr>
            <w:tcW w:w="680" w:type="dxa"/>
            <w:vAlign w:val="bottom"/>
          </w:tcPr>
          <w:p>
            <w:pPr>
              <w:jc w:val="center"/>
              <w:ind w:left="180"/>
              <w:spacing w:after="0"/>
              <w:rPr>
                <w:sz w:val="20"/>
                <w:szCs w:val="20"/>
                <w:color w:val="auto"/>
              </w:rPr>
            </w:pPr>
            <w:r>
              <w:rPr>
                <w:rFonts w:ascii="Times New Roman" w:cs="Times New Roman" w:eastAsia="Times New Roman" w:hAnsi="Times New Roman"/>
                <w:sz w:val="20"/>
                <w:szCs w:val="20"/>
                <w:color w:val="auto"/>
                <w:w w:val="99"/>
              </w:rPr>
              <w:t>18</w:t>
            </w:r>
          </w:p>
        </w:tc>
      </w:tr>
      <w:tr>
        <w:trPr>
          <w:trHeight w:val="226"/>
        </w:trPr>
        <w:tc>
          <w:tcPr>
            <w:tcW w:w="8840" w:type="dxa"/>
            <w:vAlign w:val="bottom"/>
          </w:tcPr>
          <w:p>
            <w:pPr>
              <w:ind w:left="360"/>
              <w:spacing w:after="0" w:line="227" w:lineRule="exact"/>
              <w:rPr>
                <w:sz w:val="20"/>
                <w:szCs w:val="20"/>
                <w:color w:val="auto"/>
              </w:rPr>
            </w:pPr>
            <w:r>
              <w:rPr>
                <w:rFonts w:ascii="Times New Roman" w:cs="Times New Roman" w:eastAsia="Times New Roman" w:hAnsi="Times New Roman"/>
                <w:sz w:val="20"/>
                <w:szCs w:val="20"/>
                <w:color w:val="auto"/>
              </w:rPr>
              <w:t>Item 1B. Unresolved Staff Comments.</w:t>
            </w:r>
          </w:p>
        </w:tc>
        <w:tc>
          <w:tcPr>
            <w:tcW w:w="680" w:type="dxa"/>
            <w:vAlign w:val="bottom"/>
          </w:tcPr>
          <w:p>
            <w:pPr>
              <w:jc w:val="center"/>
              <w:ind w:left="180"/>
              <w:spacing w:after="0" w:line="227" w:lineRule="exact"/>
              <w:rPr>
                <w:sz w:val="20"/>
                <w:szCs w:val="20"/>
                <w:color w:val="auto"/>
              </w:rPr>
            </w:pPr>
            <w:r>
              <w:rPr>
                <w:rFonts w:ascii="Times New Roman" w:cs="Times New Roman" w:eastAsia="Times New Roman" w:hAnsi="Times New Roman"/>
                <w:sz w:val="20"/>
                <w:szCs w:val="20"/>
                <w:color w:val="auto"/>
                <w:w w:val="99"/>
              </w:rPr>
              <w:t>41</w:t>
            </w:r>
          </w:p>
        </w:tc>
      </w:tr>
      <w:tr>
        <w:trPr>
          <w:trHeight w:val="232"/>
        </w:trPr>
        <w:tc>
          <w:tcPr>
            <w:tcW w:w="88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Item 1C. Cybersecurity.</w:t>
            </w:r>
          </w:p>
        </w:tc>
        <w:tc>
          <w:tcPr>
            <w:tcW w:w="680" w:type="dxa"/>
            <w:vAlign w:val="bottom"/>
          </w:tcPr>
          <w:p>
            <w:pPr>
              <w:jc w:val="center"/>
              <w:ind w:left="180"/>
              <w:spacing w:after="0"/>
              <w:rPr>
                <w:sz w:val="20"/>
                <w:szCs w:val="20"/>
                <w:color w:val="auto"/>
              </w:rPr>
            </w:pPr>
            <w:r>
              <w:rPr>
                <w:rFonts w:ascii="Times New Roman" w:cs="Times New Roman" w:eastAsia="Times New Roman" w:hAnsi="Times New Roman"/>
                <w:sz w:val="20"/>
                <w:szCs w:val="20"/>
                <w:color w:val="auto"/>
                <w:w w:val="99"/>
              </w:rPr>
              <w:t>42</w:t>
            </w:r>
          </w:p>
        </w:tc>
      </w:tr>
      <w:tr>
        <w:trPr>
          <w:trHeight w:val="230"/>
        </w:trPr>
        <w:tc>
          <w:tcPr>
            <w:tcW w:w="88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Item 2. Properties.</w:t>
            </w:r>
          </w:p>
        </w:tc>
        <w:tc>
          <w:tcPr>
            <w:tcW w:w="680" w:type="dxa"/>
            <w:vAlign w:val="bottom"/>
          </w:tcPr>
          <w:p>
            <w:pPr>
              <w:jc w:val="center"/>
              <w:ind w:left="180"/>
              <w:spacing w:after="0"/>
              <w:rPr>
                <w:sz w:val="20"/>
                <w:szCs w:val="20"/>
                <w:color w:val="auto"/>
              </w:rPr>
            </w:pPr>
            <w:r>
              <w:rPr>
                <w:rFonts w:ascii="Times New Roman" w:cs="Times New Roman" w:eastAsia="Times New Roman" w:hAnsi="Times New Roman"/>
                <w:sz w:val="20"/>
                <w:szCs w:val="20"/>
                <w:color w:val="auto"/>
                <w:w w:val="99"/>
              </w:rPr>
              <w:t>43</w:t>
            </w:r>
          </w:p>
        </w:tc>
      </w:tr>
      <w:tr>
        <w:trPr>
          <w:trHeight w:val="230"/>
        </w:trPr>
        <w:tc>
          <w:tcPr>
            <w:tcW w:w="88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Item 3. Legal Proceedings.</w:t>
            </w:r>
          </w:p>
        </w:tc>
        <w:tc>
          <w:tcPr>
            <w:tcW w:w="680" w:type="dxa"/>
            <w:vAlign w:val="bottom"/>
          </w:tcPr>
          <w:p>
            <w:pPr>
              <w:jc w:val="center"/>
              <w:ind w:left="180"/>
              <w:spacing w:after="0"/>
              <w:rPr>
                <w:sz w:val="20"/>
                <w:szCs w:val="20"/>
                <w:color w:val="auto"/>
              </w:rPr>
            </w:pPr>
            <w:r>
              <w:rPr>
                <w:rFonts w:ascii="Times New Roman" w:cs="Times New Roman" w:eastAsia="Times New Roman" w:hAnsi="Times New Roman"/>
                <w:sz w:val="20"/>
                <w:szCs w:val="20"/>
                <w:color w:val="auto"/>
                <w:w w:val="99"/>
              </w:rPr>
              <w:t>43</w:t>
            </w:r>
          </w:p>
        </w:tc>
      </w:tr>
      <w:tr>
        <w:trPr>
          <w:trHeight w:val="226"/>
        </w:trPr>
        <w:tc>
          <w:tcPr>
            <w:tcW w:w="8840" w:type="dxa"/>
            <w:vAlign w:val="bottom"/>
          </w:tcPr>
          <w:p>
            <w:pPr>
              <w:ind w:left="360"/>
              <w:spacing w:after="0" w:line="227" w:lineRule="exact"/>
              <w:rPr>
                <w:sz w:val="20"/>
                <w:szCs w:val="20"/>
                <w:color w:val="auto"/>
              </w:rPr>
            </w:pPr>
            <w:r>
              <w:rPr>
                <w:rFonts w:ascii="Times New Roman" w:cs="Times New Roman" w:eastAsia="Times New Roman" w:hAnsi="Times New Roman"/>
                <w:sz w:val="20"/>
                <w:szCs w:val="20"/>
                <w:color w:val="auto"/>
              </w:rPr>
              <w:t>Item 4. Mine Safety Disclosures.</w:t>
            </w:r>
          </w:p>
        </w:tc>
        <w:tc>
          <w:tcPr>
            <w:tcW w:w="680" w:type="dxa"/>
            <w:vAlign w:val="bottom"/>
          </w:tcPr>
          <w:p>
            <w:pPr>
              <w:jc w:val="center"/>
              <w:ind w:left="180"/>
              <w:spacing w:after="0" w:line="227" w:lineRule="exact"/>
              <w:rPr>
                <w:sz w:val="20"/>
                <w:szCs w:val="20"/>
                <w:color w:val="auto"/>
              </w:rPr>
            </w:pPr>
            <w:r>
              <w:rPr>
                <w:rFonts w:ascii="Times New Roman" w:cs="Times New Roman" w:eastAsia="Times New Roman" w:hAnsi="Times New Roman"/>
                <w:sz w:val="20"/>
                <w:szCs w:val="20"/>
                <w:color w:val="auto"/>
                <w:w w:val="99"/>
              </w:rPr>
              <w:t>43</w:t>
            </w:r>
          </w:p>
        </w:tc>
      </w:tr>
      <w:tr>
        <w:trPr>
          <w:trHeight w:val="230"/>
        </w:trPr>
        <w:tc>
          <w:tcPr>
            <w:tcW w:w="88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PART II</w:t>
            </w:r>
          </w:p>
        </w:tc>
        <w:tc>
          <w:tcPr>
            <w:tcW w:w="680" w:type="dxa"/>
            <w:vAlign w:val="bottom"/>
          </w:tcPr>
          <w:p>
            <w:pPr>
              <w:spacing w:after="0"/>
              <w:rPr>
                <w:sz w:val="20"/>
                <w:szCs w:val="20"/>
                <w:color w:val="auto"/>
              </w:rPr>
            </w:pPr>
          </w:p>
        </w:tc>
      </w:tr>
      <w:tr>
        <w:trPr>
          <w:trHeight w:val="230"/>
        </w:trPr>
        <w:tc>
          <w:tcPr>
            <w:tcW w:w="88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Item 5. Market for Registrant’s Common Equity, Related Stockholder Matters and Issuer Purchases of</w:t>
            </w:r>
          </w:p>
        </w:tc>
        <w:tc>
          <w:tcPr>
            <w:tcW w:w="680" w:type="dxa"/>
            <w:vAlign w:val="bottom"/>
          </w:tcPr>
          <w:p>
            <w:pPr>
              <w:spacing w:after="0"/>
              <w:rPr>
                <w:sz w:val="20"/>
                <w:szCs w:val="20"/>
                <w:color w:val="auto"/>
              </w:rPr>
            </w:pPr>
          </w:p>
        </w:tc>
      </w:tr>
      <w:tr>
        <w:trPr>
          <w:trHeight w:val="232"/>
        </w:trPr>
        <w:tc>
          <w:tcPr>
            <w:tcW w:w="8840" w:type="dxa"/>
            <w:vAlign w:val="bottom"/>
          </w:tcPr>
          <w:p>
            <w:pPr>
              <w:ind w:left="1000"/>
              <w:spacing w:after="0"/>
              <w:rPr>
                <w:sz w:val="20"/>
                <w:szCs w:val="20"/>
                <w:color w:val="auto"/>
              </w:rPr>
            </w:pPr>
            <w:r>
              <w:rPr>
                <w:rFonts w:ascii="Times New Roman" w:cs="Times New Roman" w:eastAsia="Times New Roman" w:hAnsi="Times New Roman"/>
                <w:sz w:val="20"/>
                <w:szCs w:val="20"/>
                <w:color w:val="auto"/>
              </w:rPr>
              <w:t>Equity Securities.</w:t>
            </w:r>
          </w:p>
        </w:tc>
        <w:tc>
          <w:tcPr>
            <w:tcW w:w="680" w:type="dxa"/>
            <w:vAlign w:val="bottom"/>
          </w:tcPr>
          <w:p>
            <w:pPr>
              <w:jc w:val="center"/>
              <w:ind w:left="180"/>
              <w:spacing w:after="0"/>
              <w:rPr>
                <w:sz w:val="20"/>
                <w:szCs w:val="20"/>
                <w:color w:val="auto"/>
              </w:rPr>
            </w:pPr>
            <w:r>
              <w:rPr>
                <w:rFonts w:ascii="Times New Roman" w:cs="Times New Roman" w:eastAsia="Times New Roman" w:hAnsi="Times New Roman"/>
                <w:sz w:val="20"/>
                <w:szCs w:val="20"/>
                <w:color w:val="auto"/>
                <w:w w:val="99"/>
              </w:rPr>
              <w:t>44</w:t>
            </w:r>
          </w:p>
        </w:tc>
      </w:tr>
      <w:tr>
        <w:trPr>
          <w:trHeight w:val="230"/>
        </w:trPr>
        <w:tc>
          <w:tcPr>
            <w:tcW w:w="88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Item 6. [Reserved].</w:t>
            </w:r>
          </w:p>
        </w:tc>
        <w:tc>
          <w:tcPr>
            <w:tcW w:w="680" w:type="dxa"/>
            <w:vAlign w:val="bottom"/>
          </w:tcPr>
          <w:p>
            <w:pPr>
              <w:jc w:val="center"/>
              <w:ind w:left="180"/>
              <w:spacing w:after="0"/>
              <w:rPr>
                <w:sz w:val="20"/>
                <w:szCs w:val="20"/>
                <w:color w:val="auto"/>
              </w:rPr>
            </w:pPr>
            <w:r>
              <w:rPr>
                <w:rFonts w:ascii="Times New Roman" w:cs="Times New Roman" w:eastAsia="Times New Roman" w:hAnsi="Times New Roman"/>
                <w:sz w:val="20"/>
                <w:szCs w:val="20"/>
                <w:color w:val="auto"/>
                <w:w w:val="99"/>
              </w:rPr>
              <w:t>44</w:t>
            </w:r>
          </w:p>
        </w:tc>
      </w:tr>
      <w:tr>
        <w:trPr>
          <w:trHeight w:val="230"/>
        </w:trPr>
        <w:tc>
          <w:tcPr>
            <w:tcW w:w="88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Item 7. Management’s Discussion and Analysis of Financial Condition and Results of Operations.</w:t>
            </w:r>
          </w:p>
        </w:tc>
        <w:tc>
          <w:tcPr>
            <w:tcW w:w="680" w:type="dxa"/>
            <w:vAlign w:val="bottom"/>
          </w:tcPr>
          <w:p>
            <w:pPr>
              <w:jc w:val="center"/>
              <w:ind w:left="180"/>
              <w:spacing w:after="0"/>
              <w:rPr>
                <w:sz w:val="20"/>
                <w:szCs w:val="20"/>
                <w:color w:val="auto"/>
              </w:rPr>
            </w:pPr>
            <w:r>
              <w:rPr>
                <w:rFonts w:ascii="Times New Roman" w:cs="Times New Roman" w:eastAsia="Times New Roman" w:hAnsi="Times New Roman"/>
                <w:sz w:val="20"/>
                <w:szCs w:val="20"/>
                <w:color w:val="auto"/>
                <w:w w:val="99"/>
              </w:rPr>
              <w:t>44</w:t>
            </w:r>
          </w:p>
        </w:tc>
      </w:tr>
      <w:tr>
        <w:trPr>
          <w:trHeight w:val="230"/>
        </w:trPr>
        <w:tc>
          <w:tcPr>
            <w:tcW w:w="88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Item 7A. Quantitative and Qualitative Disclosures About Market Risk.</w:t>
            </w:r>
          </w:p>
        </w:tc>
        <w:tc>
          <w:tcPr>
            <w:tcW w:w="680" w:type="dxa"/>
            <w:vAlign w:val="bottom"/>
          </w:tcPr>
          <w:p>
            <w:pPr>
              <w:jc w:val="center"/>
              <w:ind w:left="180"/>
              <w:spacing w:after="0"/>
              <w:rPr>
                <w:sz w:val="20"/>
                <w:szCs w:val="20"/>
                <w:color w:val="auto"/>
              </w:rPr>
            </w:pPr>
            <w:r>
              <w:rPr>
                <w:rFonts w:ascii="Times New Roman" w:cs="Times New Roman" w:eastAsia="Times New Roman" w:hAnsi="Times New Roman"/>
                <w:sz w:val="20"/>
                <w:szCs w:val="20"/>
                <w:color w:val="auto"/>
                <w:w w:val="99"/>
              </w:rPr>
              <w:t>52</w:t>
            </w:r>
          </w:p>
        </w:tc>
      </w:tr>
      <w:tr>
        <w:trPr>
          <w:trHeight w:val="226"/>
        </w:trPr>
        <w:tc>
          <w:tcPr>
            <w:tcW w:w="8840" w:type="dxa"/>
            <w:vAlign w:val="bottom"/>
          </w:tcPr>
          <w:p>
            <w:pPr>
              <w:ind w:left="360"/>
              <w:spacing w:after="0" w:line="227" w:lineRule="exact"/>
              <w:rPr>
                <w:sz w:val="20"/>
                <w:szCs w:val="20"/>
                <w:color w:val="auto"/>
              </w:rPr>
            </w:pPr>
            <w:r>
              <w:rPr>
                <w:rFonts w:ascii="Times New Roman" w:cs="Times New Roman" w:eastAsia="Times New Roman" w:hAnsi="Times New Roman"/>
                <w:sz w:val="20"/>
                <w:szCs w:val="20"/>
                <w:color w:val="auto"/>
              </w:rPr>
              <w:t>Item 8. Financial Statements and Supplementary Data.</w:t>
            </w:r>
          </w:p>
        </w:tc>
        <w:tc>
          <w:tcPr>
            <w:tcW w:w="680" w:type="dxa"/>
            <w:vAlign w:val="bottom"/>
          </w:tcPr>
          <w:p>
            <w:pPr>
              <w:jc w:val="center"/>
              <w:ind w:left="180"/>
              <w:spacing w:after="0" w:line="227" w:lineRule="exact"/>
              <w:rPr>
                <w:sz w:val="20"/>
                <w:szCs w:val="20"/>
                <w:color w:val="auto"/>
              </w:rPr>
            </w:pPr>
            <w:r>
              <w:rPr>
                <w:rFonts w:ascii="Times New Roman" w:cs="Times New Roman" w:eastAsia="Times New Roman" w:hAnsi="Times New Roman"/>
                <w:sz w:val="20"/>
                <w:szCs w:val="20"/>
                <w:color w:val="auto"/>
              </w:rPr>
              <w:t>F-1</w:t>
            </w:r>
          </w:p>
        </w:tc>
      </w:tr>
      <w:tr>
        <w:trPr>
          <w:trHeight w:val="232"/>
        </w:trPr>
        <w:tc>
          <w:tcPr>
            <w:tcW w:w="88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Item 9. Changes in and Disagreements with Accountants on Accounting and Financial Disclosure.</w:t>
            </w:r>
          </w:p>
        </w:tc>
        <w:tc>
          <w:tcPr>
            <w:tcW w:w="680" w:type="dxa"/>
            <w:vAlign w:val="bottom"/>
          </w:tcPr>
          <w:p>
            <w:pPr>
              <w:jc w:val="center"/>
              <w:ind w:left="180"/>
              <w:spacing w:after="0"/>
              <w:rPr>
                <w:sz w:val="20"/>
                <w:szCs w:val="20"/>
                <w:color w:val="auto"/>
              </w:rPr>
            </w:pPr>
            <w:r>
              <w:rPr>
                <w:rFonts w:ascii="Times New Roman" w:cs="Times New Roman" w:eastAsia="Times New Roman" w:hAnsi="Times New Roman"/>
                <w:sz w:val="20"/>
                <w:szCs w:val="20"/>
                <w:color w:val="auto"/>
                <w:w w:val="99"/>
              </w:rPr>
              <w:t>53</w:t>
            </w:r>
          </w:p>
        </w:tc>
      </w:tr>
      <w:tr>
        <w:trPr>
          <w:trHeight w:val="230"/>
        </w:trPr>
        <w:tc>
          <w:tcPr>
            <w:tcW w:w="88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Item 9A. Controls and Procedures.</w:t>
            </w:r>
          </w:p>
        </w:tc>
        <w:tc>
          <w:tcPr>
            <w:tcW w:w="680" w:type="dxa"/>
            <w:vAlign w:val="bottom"/>
          </w:tcPr>
          <w:p>
            <w:pPr>
              <w:jc w:val="center"/>
              <w:ind w:left="180"/>
              <w:spacing w:after="0"/>
              <w:rPr>
                <w:sz w:val="20"/>
                <w:szCs w:val="20"/>
                <w:color w:val="auto"/>
              </w:rPr>
            </w:pPr>
            <w:r>
              <w:rPr>
                <w:rFonts w:ascii="Times New Roman" w:cs="Times New Roman" w:eastAsia="Times New Roman" w:hAnsi="Times New Roman"/>
                <w:sz w:val="20"/>
                <w:szCs w:val="20"/>
                <w:color w:val="auto"/>
                <w:w w:val="99"/>
              </w:rPr>
              <w:t>53</w:t>
            </w:r>
          </w:p>
        </w:tc>
      </w:tr>
      <w:tr>
        <w:trPr>
          <w:trHeight w:val="230"/>
        </w:trPr>
        <w:tc>
          <w:tcPr>
            <w:tcW w:w="88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Item 9B. Other Information.</w:t>
            </w:r>
          </w:p>
        </w:tc>
        <w:tc>
          <w:tcPr>
            <w:tcW w:w="680" w:type="dxa"/>
            <w:vAlign w:val="bottom"/>
          </w:tcPr>
          <w:p>
            <w:pPr>
              <w:jc w:val="center"/>
              <w:ind w:left="180"/>
              <w:spacing w:after="0"/>
              <w:rPr>
                <w:sz w:val="20"/>
                <w:szCs w:val="20"/>
                <w:color w:val="auto"/>
              </w:rPr>
            </w:pPr>
            <w:r>
              <w:rPr>
                <w:rFonts w:ascii="Times New Roman" w:cs="Times New Roman" w:eastAsia="Times New Roman" w:hAnsi="Times New Roman"/>
                <w:sz w:val="20"/>
                <w:szCs w:val="20"/>
                <w:color w:val="auto"/>
                <w:w w:val="99"/>
              </w:rPr>
              <w:t>54</w:t>
            </w:r>
          </w:p>
        </w:tc>
      </w:tr>
      <w:tr>
        <w:trPr>
          <w:trHeight w:val="226"/>
        </w:trPr>
        <w:tc>
          <w:tcPr>
            <w:tcW w:w="8840" w:type="dxa"/>
            <w:vAlign w:val="bottom"/>
          </w:tcPr>
          <w:p>
            <w:pPr>
              <w:ind w:left="360"/>
              <w:spacing w:after="0" w:line="227" w:lineRule="exact"/>
              <w:rPr>
                <w:sz w:val="20"/>
                <w:szCs w:val="20"/>
                <w:color w:val="auto"/>
              </w:rPr>
            </w:pPr>
            <w:r>
              <w:rPr>
                <w:rFonts w:ascii="Times New Roman" w:cs="Times New Roman" w:eastAsia="Times New Roman" w:hAnsi="Times New Roman"/>
                <w:sz w:val="20"/>
                <w:szCs w:val="20"/>
                <w:color w:val="auto"/>
              </w:rPr>
              <w:t>Item 9C. Disclosure Regarding Foreign Jurisdictions that Prevent Inspections.</w:t>
            </w:r>
          </w:p>
        </w:tc>
        <w:tc>
          <w:tcPr>
            <w:tcW w:w="680" w:type="dxa"/>
            <w:vAlign w:val="bottom"/>
          </w:tcPr>
          <w:p>
            <w:pPr>
              <w:jc w:val="center"/>
              <w:ind w:left="180"/>
              <w:spacing w:after="0" w:line="227" w:lineRule="exact"/>
              <w:rPr>
                <w:sz w:val="20"/>
                <w:szCs w:val="20"/>
                <w:color w:val="auto"/>
              </w:rPr>
            </w:pPr>
            <w:r>
              <w:rPr>
                <w:rFonts w:ascii="Times New Roman" w:cs="Times New Roman" w:eastAsia="Times New Roman" w:hAnsi="Times New Roman"/>
                <w:sz w:val="20"/>
                <w:szCs w:val="20"/>
                <w:color w:val="auto"/>
                <w:w w:val="99"/>
              </w:rPr>
              <w:t>56</w:t>
            </w:r>
          </w:p>
        </w:tc>
      </w:tr>
      <w:tr>
        <w:trPr>
          <w:trHeight w:val="234"/>
        </w:trPr>
        <w:tc>
          <w:tcPr>
            <w:tcW w:w="88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PART III</w:t>
            </w:r>
          </w:p>
        </w:tc>
        <w:tc>
          <w:tcPr>
            <w:tcW w:w="680" w:type="dxa"/>
            <w:vAlign w:val="bottom"/>
          </w:tcPr>
          <w:p>
            <w:pPr>
              <w:spacing w:after="0"/>
              <w:rPr>
                <w:sz w:val="20"/>
                <w:szCs w:val="20"/>
                <w:color w:val="auto"/>
              </w:rPr>
            </w:pPr>
          </w:p>
        </w:tc>
      </w:tr>
      <w:tr>
        <w:trPr>
          <w:trHeight w:val="226"/>
        </w:trPr>
        <w:tc>
          <w:tcPr>
            <w:tcW w:w="8840" w:type="dxa"/>
            <w:vAlign w:val="bottom"/>
          </w:tcPr>
          <w:p>
            <w:pPr>
              <w:ind w:left="360"/>
              <w:spacing w:after="0" w:line="227" w:lineRule="exact"/>
              <w:rPr>
                <w:sz w:val="20"/>
                <w:szCs w:val="20"/>
                <w:color w:val="auto"/>
              </w:rPr>
            </w:pPr>
            <w:r>
              <w:rPr>
                <w:rFonts w:ascii="Times New Roman" w:cs="Times New Roman" w:eastAsia="Times New Roman" w:hAnsi="Times New Roman"/>
                <w:sz w:val="20"/>
                <w:szCs w:val="20"/>
                <w:color w:val="auto"/>
              </w:rPr>
              <w:t>Item 10. Directors, Executive Officers and Corporate Governance.</w:t>
            </w:r>
          </w:p>
        </w:tc>
        <w:tc>
          <w:tcPr>
            <w:tcW w:w="680" w:type="dxa"/>
            <w:vAlign w:val="bottom"/>
          </w:tcPr>
          <w:p>
            <w:pPr>
              <w:jc w:val="center"/>
              <w:ind w:left="180"/>
              <w:spacing w:after="0" w:line="227" w:lineRule="exact"/>
              <w:rPr>
                <w:sz w:val="20"/>
                <w:szCs w:val="20"/>
                <w:color w:val="auto"/>
              </w:rPr>
            </w:pPr>
            <w:r>
              <w:rPr>
                <w:rFonts w:ascii="Times New Roman" w:cs="Times New Roman" w:eastAsia="Times New Roman" w:hAnsi="Times New Roman"/>
                <w:sz w:val="20"/>
                <w:szCs w:val="20"/>
                <w:color w:val="auto"/>
                <w:w w:val="99"/>
              </w:rPr>
              <w:t>57</w:t>
            </w:r>
          </w:p>
        </w:tc>
      </w:tr>
      <w:tr>
        <w:trPr>
          <w:trHeight w:val="232"/>
        </w:trPr>
        <w:tc>
          <w:tcPr>
            <w:tcW w:w="88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Item 11. Executive Compensation.</w:t>
            </w:r>
          </w:p>
        </w:tc>
        <w:tc>
          <w:tcPr>
            <w:tcW w:w="680" w:type="dxa"/>
            <w:vAlign w:val="bottom"/>
          </w:tcPr>
          <w:p>
            <w:pPr>
              <w:jc w:val="center"/>
              <w:ind w:left="180"/>
              <w:spacing w:after="0"/>
              <w:rPr>
                <w:sz w:val="20"/>
                <w:szCs w:val="20"/>
                <w:color w:val="auto"/>
              </w:rPr>
            </w:pPr>
            <w:r>
              <w:rPr>
                <w:rFonts w:ascii="Times New Roman" w:cs="Times New Roman" w:eastAsia="Times New Roman" w:hAnsi="Times New Roman"/>
                <w:sz w:val="20"/>
                <w:szCs w:val="20"/>
                <w:color w:val="auto"/>
                <w:w w:val="99"/>
              </w:rPr>
              <w:t>63</w:t>
            </w:r>
          </w:p>
        </w:tc>
      </w:tr>
      <w:tr>
        <w:trPr>
          <w:trHeight w:val="228"/>
        </w:trPr>
        <w:tc>
          <w:tcPr>
            <w:tcW w:w="8840" w:type="dxa"/>
            <w:vAlign w:val="bottom"/>
          </w:tcPr>
          <w:p>
            <w:pPr>
              <w:ind w:left="360"/>
              <w:spacing w:after="0" w:line="229" w:lineRule="exact"/>
              <w:rPr>
                <w:sz w:val="20"/>
                <w:szCs w:val="20"/>
                <w:color w:val="auto"/>
              </w:rPr>
            </w:pPr>
            <w:r>
              <w:rPr>
                <w:rFonts w:ascii="Times New Roman" w:cs="Times New Roman" w:eastAsia="Times New Roman" w:hAnsi="Times New Roman"/>
                <w:sz w:val="20"/>
                <w:szCs w:val="20"/>
                <w:color w:val="auto"/>
              </w:rPr>
              <w:t>Item 12. Security Ownership of Certain Beneficial Owners and Management and Related Stockholder</w:t>
            </w:r>
          </w:p>
        </w:tc>
        <w:tc>
          <w:tcPr>
            <w:tcW w:w="680" w:type="dxa"/>
            <w:vAlign w:val="bottom"/>
          </w:tcPr>
          <w:p>
            <w:pPr>
              <w:spacing w:after="0"/>
              <w:rPr>
                <w:sz w:val="19"/>
                <w:szCs w:val="19"/>
                <w:color w:val="auto"/>
              </w:rPr>
            </w:pPr>
          </w:p>
        </w:tc>
      </w:tr>
      <w:tr>
        <w:trPr>
          <w:trHeight w:val="232"/>
        </w:trPr>
        <w:tc>
          <w:tcPr>
            <w:tcW w:w="8840" w:type="dxa"/>
            <w:vAlign w:val="bottom"/>
          </w:tcPr>
          <w:p>
            <w:pPr>
              <w:ind w:left="1000"/>
              <w:spacing w:after="0"/>
              <w:rPr>
                <w:sz w:val="20"/>
                <w:szCs w:val="20"/>
                <w:color w:val="auto"/>
              </w:rPr>
            </w:pPr>
            <w:r>
              <w:rPr>
                <w:rFonts w:ascii="Times New Roman" w:cs="Times New Roman" w:eastAsia="Times New Roman" w:hAnsi="Times New Roman"/>
                <w:sz w:val="20"/>
                <w:szCs w:val="20"/>
                <w:color w:val="auto"/>
              </w:rPr>
              <w:t>Matters.</w:t>
            </w:r>
          </w:p>
        </w:tc>
        <w:tc>
          <w:tcPr>
            <w:tcW w:w="680" w:type="dxa"/>
            <w:vAlign w:val="bottom"/>
          </w:tcPr>
          <w:p>
            <w:pPr>
              <w:jc w:val="center"/>
              <w:ind w:left="180"/>
              <w:spacing w:after="0"/>
              <w:rPr>
                <w:sz w:val="20"/>
                <w:szCs w:val="20"/>
                <w:color w:val="auto"/>
              </w:rPr>
            </w:pPr>
            <w:r>
              <w:rPr>
                <w:rFonts w:ascii="Times New Roman" w:cs="Times New Roman" w:eastAsia="Times New Roman" w:hAnsi="Times New Roman"/>
                <w:sz w:val="20"/>
                <w:szCs w:val="20"/>
                <w:color w:val="auto"/>
                <w:w w:val="99"/>
              </w:rPr>
              <w:t>69</w:t>
            </w:r>
          </w:p>
        </w:tc>
      </w:tr>
      <w:tr>
        <w:trPr>
          <w:trHeight w:val="230"/>
        </w:trPr>
        <w:tc>
          <w:tcPr>
            <w:tcW w:w="88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Item 13. Certain Relationships and Related Transactions, and Director Independence.</w:t>
            </w:r>
          </w:p>
        </w:tc>
        <w:tc>
          <w:tcPr>
            <w:tcW w:w="680" w:type="dxa"/>
            <w:vAlign w:val="bottom"/>
          </w:tcPr>
          <w:p>
            <w:pPr>
              <w:jc w:val="center"/>
              <w:ind w:left="180"/>
              <w:spacing w:after="0"/>
              <w:rPr>
                <w:sz w:val="20"/>
                <w:szCs w:val="20"/>
                <w:color w:val="auto"/>
              </w:rPr>
            </w:pPr>
            <w:r>
              <w:rPr>
                <w:rFonts w:ascii="Times New Roman" w:cs="Times New Roman" w:eastAsia="Times New Roman" w:hAnsi="Times New Roman"/>
                <w:sz w:val="20"/>
                <w:szCs w:val="20"/>
                <w:color w:val="auto"/>
                <w:w w:val="99"/>
              </w:rPr>
              <w:t>71</w:t>
            </w:r>
          </w:p>
        </w:tc>
      </w:tr>
      <w:tr>
        <w:trPr>
          <w:trHeight w:val="224"/>
        </w:trPr>
        <w:tc>
          <w:tcPr>
            <w:tcW w:w="8840" w:type="dxa"/>
            <w:vAlign w:val="bottom"/>
          </w:tcPr>
          <w:p>
            <w:pPr>
              <w:ind w:left="360"/>
              <w:spacing w:after="0" w:line="225" w:lineRule="exact"/>
              <w:rPr>
                <w:sz w:val="20"/>
                <w:szCs w:val="20"/>
                <w:color w:val="auto"/>
              </w:rPr>
            </w:pPr>
            <w:r>
              <w:rPr>
                <w:rFonts w:ascii="Times New Roman" w:cs="Times New Roman" w:eastAsia="Times New Roman" w:hAnsi="Times New Roman"/>
                <w:sz w:val="20"/>
                <w:szCs w:val="20"/>
                <w:color w:val="auto"/>
              </w:rPr>
              <w:t>Item 14. Principal Accountant Fees and Services.</w:t>
            </w:r>
          </w:p>
        </w:tc>
        <w:tc>
          <w:tcPr>
            <w:tcW w:w="680" w:type="dxa"/>
            <w:vAlign w:val="bottom"/>
          </w:tcPr>
          <w:p>
            <w:pPr>
              <w:jc w:val="center"/>
              <w:ind w:left="180"/>
              <w:spacing w:after="0" w:line="225" w:lineRule="exact"/>
              <w:rPr>
                <w:sz w:val="20"/>
                <w:szCs w:val="20"/>
                <w:color w:val="auto"/>
              </w:rPr>
            </w:pPr>
            <w:r>
              <w:rPr>
                <w:rFonts w:ascii="Times New Roman" w:cs="Times New Roman" w:eastAsia="Times New Roman" w:hAnsi="Times New Roman"/>
                <w:sz w:val="20"/>
                <w:szCs w:val="20"/>
                <w:color w:val="auto"/>
                <w:w w:val="99"/>
              </w:rPr>
              <w:t>72</w:t>
            </w:r>
          </w:p>
        </w:tc>
      </w:tr>
      <w:tr>
        <w:trPr>
          <w:trHeight w:val="234"/>
        </w:trPr>
        <w:tc>
          <w:tcPr>
            <w:tcW w:w="88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PART IV</w:t>
            </w:r>
          </w:p>
        </w:tc>
        <w:tc>
          <w:tcPr>
            <w:tcW w:w="680" w:type="dxa"/>
            <w:vAlign w:val="bottom"/>
          </w:tcPr>
          <w:p>
            <w:pPr>
              <w:spacing w:after="0"/>
              <w:rPr>
                <w:sz w:val="20"/>
                <w:szCs w:val="20"/>
                <w:color w:val="auto"/>
              </w:rPr>
            </w:pPr>
          </w:p>
        </w:tc>
      </w:tr>
      <w:tr>
        <w:trPr>
          <w:trHeight w:val="230"/>
        </w:trPr>
        <w:tc>
          <w:tcPr>
            <w:tcW w:w="88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Item 15. Exhibits and Financial Statement Schedules.</w:t>
            </w:r>
          </w:p>
        </w:tc>
        <w:tc>
          <w:tcPr>
            <w:tcW w:w="680" w:type="dxa"/>
            <w:vAlign w:val="bottom"/>
          </w:tcPr>
          <w:p>
            <w:pPr>
              <w:jc w:val="center"/>
              <w:ind w:left="180"/>
              <w:spacing w:after="0"/>
              <w:rPr>
                <w:sz w:val="20"/>
                <w:szCs w:val="20"/>
                <w:color w:val="auto"/>
              </w:rPr>
            </w:pPr>
            <w:r>
              <w:rPr>
                <w:rFonts w:ascii="Times New Roman" w:cs="Times New Roman" w:eastAsia="Times New Roman" w:hAnsi="Times New Roman"/>
                <w:sz w:val="20"/>
                <w:szCs w:val="20"/>
                <w:color w:val="auto"/>
                <w:w w:val="99"/>
              </w:rPr>
              <w:t>73</w:t>
            </w:r>
          </w:p>
        </w:tc>
      </w:tr>
      <w:tr>
        <w:trPr>
          <w:trHeight w:val="265"/>
        </w:trPr>
        <w:tc>
          <w:tcPr>
            <w:tcW w:w="88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Item 16. Form 10-K Summary</w:t>
            </w:r>
          </w:p>
        </w:tc>
        <w:tc>
          <w:tcPr>
            <w:tcW w:w="680" w:type="dxa"/>
            <w:vAlign w:val="bottom"/>
          </w:tcPr>
          <w:p>
            <w:pPr>
              <w:jc w:val="center"/>
              <w:ind w:left="180"/>
              <w:spacing w:after="0"/>
              <w:rPr>
                <w:sz w:val="20"/>
                <w:szCs w:val="20"/>
                <w:color w:val="auto"/>
              </w:rPr>
            </w:pPr>
            <w:r>
              <w:rPr>
                <w:rFonts w:ascii="Times New Roman" w:cs="Times New Roman" w:eastAsia="Times New Roman" w:hAnsi="Times New Roman"/>
                <w:sz w:val="20"/>
                <w:szCs w:val="20"/>
                <w:color w:val="auto"/>
                <w:w w:val="99"/>
              </w:rPr>
              <w:t>74</w:t>
            </w:r>
          </w:p>
        </w:tc>
      </w:tr>
    </w:tbl>
    <w:p>
      <w:pPr>
        <w:jc w:val="center"/>
        <w:ind w:left="180"/>
        <w:spacing w:after="0"/>
        <w:rPr>
          <w:sz w:val="20"/>
          <w:szCs w:val="20"/>
          <w:color w:val="auto"/>
        </w:rPr>
        <w:sectPr>
          <w:pgSz w:w="12240" w:h="15840" w:orient="portrait"/>
          <w:cols w:equalWidth="0" w:num="1">
            <w:col w:w="9540"/>
          </w:cols>
          <w:pgMar w:left="1260" w:top="1243" w:right="1440" w:bottom="1440" w:gutter="0" w:footer="0" w:header="0"/>
        </w:sectPr>
      </w:pPr>
      <w:r>
        <w:rPr>
          <w:sz w:val="20"/>
          <w:szCs w:val="20"/>
          <w:color w:val="auto"/>
        </w:rPr>
        <w:drawing>
          <wp:anchor simplePos="0" relativeHeight="251657728" behindDoc="1" locked="0" layoutInCell="0" allowOverlap="1">
            <wp:simplePos x="0" y="0"/>
            <wp:positionH relativeFrom="page">
              <wp:posOffset>795655</wp:posOffset>
            </wp:positionH>
            <wp:positionV relativeFrom="page">
              <wp:posOffset>292735</wp:posOffset>
            </wp:positionV>
            <wp:extent cx="929005" cy="1149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a:extLst>
                        <a:ext uri="{28A0092B-C50C-407E-A947-70E740481C1C}"/>
                      </a:extLst>
                    </a:blip>
                    <a:srcRect/>
                    <a:stretch>
                      <a:fillRect/>
                    </a:stretch>
                  </pic:blipFill>
                  <pic:spPr bwMode="auto">
                    <a:xfrm>
                      <a:off x="0" y="0"/>
                      <a:ext cx="929005" cy="114935"/>
                    </a:xfrm>
                    <a:prstGeom prst="rect">
                      <a:avLst/>
                    </a:prstGeom>
                    <a:noFill/>
                  </pic:spPr>
                </pic:pic>
              </a:graphicData>
            </a:graphic>
          </wp:anchor>
        </w:drawing>
      </w:r>
    </w:p>
    <w:bookmarkStart w:id="3" w:name="page4"/>
    <w:bookmarkEnd w:id="3"/>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795655</wp:posOffset>
            </wp:positionH>
            <wp:positionV relativeFrom="page">
              <wp:posOffset>292735</wp:posOffset>
            </wp:positionV>
            <wp:extent cx="929005" cy="1149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
                      <a:extLst>
                        <a:ext uri="{28A0092B-C50C-407E-A947-70E740481C1C}"/>
                      </a:extLst>
                    </a:blip>
                    <a:srcRect/>
                    <a:stretch>
                      <a:fillRect/>
                    </a:stretch>
                  </pic:blipFill>
                  <pic:spPr bwMode="auto">
                    <a:xfrm>
                      <a:off x="0" y="0"/>
                      <a:ext cx="929005" cy="114935"/>
                    </a:xfrm>
                    <a:prstGeom prst="rect">
                      <a:avLst/>
                    </a:prstGeom>
                    <a:noFill/>
                  </pic:spPr>
                </pic:pic>
              </a:graphicData>
            </a:graphic>
          </wp:anchor>
        </w:drawing>
        <w:t>CAUTIONARY STATEMENT ON FORWARD-LOOKING STATEMENTS</w:t>
      </w:r>
    </w:p>
    <w:p>
      <w:pPr>
        <w:spacing w:after="0" w:line="203"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0"/>
          <w:szCs w:val="20"/>
          <w:color w:val="auto"/>
        </w:rPr>
        <w:t>The statements contained in this Annual Report on Form 10-K (this “Annual Report”) discuss our future expectations, contain projections of our results of operations or financial condition, and include other forward-looking information within the meaning of Section 27A of the Securities Act of 1933, as amended (the “Securities Act”) and Section 21E of the Exchange Act. Our actual results may differ materially from those expressed in forward-looking statements made or incorporated by reference into this Annual Report.</w:t>
      </w:r>
    </w:p>
    <w:p>
      <w:pPr>
        <w:spacing w:after="0" w:line="156"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20"/>
          <w:szCs w:val="20"/>
          <w:color w:val="auto"/>
        </w:rPr>
        <w:t>All statements other than present and historical facts and conditions, including forward- looking statements expressing our beliefs, plans, objectives, business strategy, or future events, performance or results of operations and financial position, are forward-looking statements, which involve estimates, assumptions, risks and uncertainties. Therefore, our actual results and performance may differ materially from those expressed in the forward-looking statements. Forward-looking statements often, although not always, include words or phrases such as the following: “believe,” “plan,” “intend,” “should,” “estimate,” “expect” and “anticipate” or their negative or similar expressions, which reflect our views about future events and financial performance. Forward-looking statements involve inherent risks and uncertainties, including matters not yet known to us or not currently considered material by us.</w:t>
      </w:r>
    </w:p>
    <w:p>
      <w:pPr>
        <w:spacing w:after="0" w:line="162"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20"/>
          <w:szCs w:val="20"/>
          <w:color w:val="auto"/>
        </w:rPr>
        <w:t>Actual events or results may differ materially from those expressed or implied in such forward- looking statements as a result of various factors. Factors that could affect future results or cause actual events or results to differ materially from those expressed or implied in forward-looking statements include, but are not limited to:</w:t>
      </w:r>
    </w:p>
    <w:p>
      <w:pPr>
        <w:spacing w:after="0" w:line="160" w:lineRule="exact"/>
        <w:rPr>
          <w:sz w:val="20"/>
          <w:szCs w:val="20"/>
          <w:color w:val="auto"/>
        </w:rPr>
      </w:pPr>
    </w:p>
    <w:p>
      <w:pPr>
        <w:ind w:left="720" w:right="40" w:hanging="353"/>
        <w:spacing w:after="0" w:line="259" w:lineRule="auto"/>
        <w:tabs>
          <w:tab w:leader="none" w:pos="72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risks associated with the current worldwide inflationary environment, uncertain worldwide economic, political and financial environment, geopolitical instability, climate change impact, pandemic and each of their related impacts on our business operations;</w:t>
      </w:r>
    </w:p>
    <w:p>
      <w:pPr>
        <w:spacing w:after="0" w:line="159" w:lineRule="exact"/>
        <w:rPr>
          <w:rFonts w:ascii="Arial" w:cs="Arial" w:eastAsia="Arial" w:hAnsi="Arial"/>
          <w:sz w:val="20"/>
          <w:szCs w:val="20"/>
          <w:color w:val="auto"/>
        </w:rPr>
      </w:pPr>
    </w:p>
    <w:p>
      <w:pPr>
        <w:ind w:left="720" w:hanging="353"/>
        <w:spacing w:after="0"/>
        <w:tabs>
          <w:tab w:leader="none" w:pos="72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the success of our High Intensity Focused Ultrasound (“HIFU”) technology;</w:t>
      </w:r>
    </w:p>
    <w:p>
      <w:pPr>
        <w:spacing w:after="0" w:line="213" w:lineRule="exact"/>
        <w:rPr>
          <w:rFonts w:ascii="Arial" w:cs="Arial" w:eastAsia="Arial" w:hAnsi="Arial"/>
          <w:sz w:val="20"/>
          <w:szCs w:val="20"/>
          <w:color w:val="auto"/>
        </w:rPr>
      </w:pPr>
    </w:p>
    <w:p>
      <w:pPr>
        <w:ind w:left="720" w:hanging="353"/>
        <w:spacing w:after="0"/>
        <w:tabs>
          <w:tab w:leader="none" w:pos="72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the uncertainty of market acceptance for our HIFU devices;</w:t>
      </w:r>
    </w:p>
    <w:p>
      <w:pPr>
        <w:spacing w:after="0" w:line="213" w:lineRule="exact"/>
        <w:rPr>
          <w:rFonts w:ascii="Arial" w:cs="Arial" w:eastAsia="Arial" w:hAnsi="Arial"/>
          <w:sz w:val="20"/>
          <w:szCs w:val="20"/>
          <w:color w:val="auto"/>
        </w:rPr>
      </w:pPr>
    </w:p>
    <w:p>
      <w:pPr>
        <w:ind w:left="720" w:hanging="353"/>
        <w:spacing w:after="0"/>
        <w:tabs>
          <w:tab w:leader="none" w:pos="72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the clinical and regulatory status of our devices in various geographical territories;</w:t>
      </w:r>
    </w:p>
    <w:p>
      <w:pPr>
        <w:spacing w:after="0" w:line="213" w:lineRule="exact"/>
        <w:rPr>
          <w:rFonts w:ascii="Arial" w:cs="Arial" w:eastAsia="Arial" w:hAnsi="Arial"/>
          <w:sz w:val="20"/>
          <w:szCs w:val="20"/>
          <w:color w:val="auto"/>
        </w:rPr>
      </w:pPr>
    </w:p>
    <w:p>
      <w:pPr>
        <w:ind w:left="720" w:right="220" w:hanging="354"/>
        <w:spacing w:after="0" w:line="278" w:lineRule="auto"/>
        <w:tabs>
          <w:tab w:leader="none" w:pos="72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the uncertainty in the regulatory agencies review and approval process for any of our devices and changes in their recommendations and guidance;</w:t>
      </w:r>
    </w:p>
    <w:p>
      <w:pPr>
        <w:spacing w:after="0" w:line="140" w:lineRule="exact"/>
        <w:rPr>
          <w:rFonts w:ascii="Arial" w:cs="Arial" w:eastAsia="Arial" w:hAnsi="Arial"/>
          <w:sz w:val="20"/>
          <w:szCs w:val="20"/>
          <w:color w:val="auto"/>
        </w:rPr>
      </w:pPr>
    </w:p>
    <w:p>
      <w:pPr>
        <w:ind w:left="720" w:right="340" w:hanging="354"/>
        <w:spacing w:after="0" w:line="278" w:lineRule="auto"/>
        <w:tabs>
          <w:tab w:leader="none" w:pos="72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the impact of government regulation, particularly relating to public healthcare systems and the commercial distribution of medical devices;</w:t>
      </w:r>
    </w:p>
    <w:p>
      <w:pPr>
        <w:spacing w:after="0" w:line="140" w:lineRule="exact"/>
        <w:rPr>
          <w:rFonts w:ascii="Arial" w:cs="Arial" w:eastAsia="Arial" w:hAnsi="Arial"/>
          <w:sz w:val="20"/>
          <w:szCs w:val="20"/>
          <w:color w:val="auto"/>
        </w:rPr>
      </w:pPr>
    </w:p>
    <w:p>
      <w:pPr>
        <w:ind w:left="720" w:hanging="354"/>
        <w:spacing w:after="0"/>
        <w:tabs>
          <w:tab w:leader="none" w:pos="72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effects of intense competition in the markets in which we operate;</w:t>
      </w:r>
    </w:p>
    <w:p>
      <w:pPr>
        <w:spacing w:after="0" w:line="213" w:lineRule="exact"/>
        <w:rPr>
          <w:rFonts w:ascii="Arial" w:cs="Arial" w:eastAsia="Arial" w:hAnsi="Arial"/>
          <w:sz w:val="20"/>
          <w:szCs w:val="20"/>
          <w:color w:val="auto"/>
        </w:rPr>
      </w:pPr>
    </w:p>
    <w:p>
      <w:pPr>
        <w:ind w:left="720" w:right="820" w:hanging="354"/>
        <w:spacing w:after="0" w:line="278" w:lineRule="auto"/>
        <w:tabs>
          <w:tab w:leader="none" w:pos="72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the uncertainty of reimbursement status of procedures performed with our products and their level of reimbursement;</w:t>
      </w:r>
    </w:p>
    <w:p>
      <w:pPr>
        <w:spacing w:after="0" w:line="143" w:lineRule="exact"/>
        <w:rPr>
          <w:rFonts w:ascii="Arial" w:cs="Arial" w:eastAsia="Arial" w:hAnsi="Arial"/>
          <w:sz w:val="20"/>
          <w:szCs w:val="20"/>
          <w:color w:val="auto"/>
        </w:rPr>
      </w:pPr>
    </w:p>
    <w:p>
      <w:pPr>
        <w:ind w:left="720" w:hanging="354"/>
        <w:spacing w:after="0"/>
        <w:tabs>
          <w:tab w:leader="none" w:pos="72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the market potential for our HIFU devices;</w:t>
      </w:r>
    </w:p>
    <w:p>
      <w:pPr>
        <w:spacing w:after="0" w:line="213" w:lineRule="exact"/>
        <w:rPr>
          <w:rFonts w:ascii="Arial" w:cs="Arial" w:eastAsia="Arial" w:hAnsi="Arial"/>
          <w:sz w:val="20"/>
          <w:szCs w:val="20"/>
          <w:color w:val="auto"/>
        </w:rPr>
      </w:pPr>
    </w:p>
    <w:p>
      <w:pPr>
        <w:ind w:left="720" w:hanging="354"/>
        <w:spacing w:after="0"/>
        <w:tabs>
          <w:tab w:leader="none" w:pos="72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dependence on our strategic suppliers and distribution partners;</w:t>
      </w:r>
    </w:p>
    <w:p>
      <w:pPr>
        <w:spacing w:after="0" w:line="213" w:lineRule="exact"/>
        <w:rPr>
          <w:rFonts w:ascii="Arial" w:cs="Arial" w:eastAsia="Arial" w:hAnsi="Arial"/>
          <w:sz w:val="20"/>
          <w:szCs w:val="20"/>
          <w:color w:val="auto"/>
        </w:rPr>
      </w:pPr>
    </w:p>
    <w:p>
      <w:pPr>
        <w:ind w:left="720" w:right="280" w:hanging="354"/>
        <w:spacing w:after="0" w:line="278" w:lineRule="auto"/>
        <w:tabs>
          <w:tab w:leader="none" w:pos="72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difficulties to attract and recruit high-level experts in software, design, and development of high technology devices such as our HIFU products;</w:t>
      </w:r>
    </w:p>
    <w:p>
      <w:pPr>
        <w:spacing w:after="0" w:line="140" w:lineRule="exact"/>
        <w:rPr>
          <w:rFonts w:ascii="Arial" w:cs="Arial" w:eastAsia="Arial" w:hAnsi="Arial"/>
          <w:sz w:val="20"/>
          <w:szCs w:val="20"/>
          <w:color w:val="auto"/>
        </w:rPr>
      </w:pPr>
    </w:p>
    <w:p>
      <w:pPr>
        <w:ind w:left="720" w:hanging="354"/>
        <w:spacing w:after="0"/>
        <w:tabs>
          <w:tab w:leader="none" w:pos="72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any event or other occurrence that would interrupt operations at our primary production facility;</w:t>
      </w:r>
    </w:p>
    <w:p>
      <w:pPr>
        <w:spacing w:after="0" w:line="213" w:lineRule="exact"/>
        <w:rPr>
          <w:rFonts w:ascii="Arial" w:cs="Arial" w:eastAsia="Arial" w:hAnsi="Arial"/>
          <w:sz w:val="20"/>
          <w:szCs w:val="20"/>
          <w:color w:val="auto"/>
        </w:rPr>
      </w:pPr>
    </w:p>
    <w:p>
      <w:pPr>
        <w:ind w:left="720" w:hanging="354"/>
        <w:spacing w:after="0"/>
        <w:tabs>
          <w:tab w:leader="none" w:pos="72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reliance on patents, licenses and key proprietary technologies;</w:t>
      </w:r>
    </w:p>
    <w:p>
      <w:pPr>
        <w:spacing w:after="0" w:line="213" w:lineRule="exact"/>
        <w:rPr>
          <w:rFonts w:ascii="Arial" w:cs="Arial" w:eastAsia="Arial" w:hAnsi="Arial"/>
          <w:sz w:val="20"/>
          <w:szCs w:val="20"/>
          <w:color w:val="auto"/>
        </w:rPr>
      </w:pPr>
    </w:p>
    <w:p>
      <w:pPr>
        <w:ind w:left="720" w:hanging="354"/>
        <w:spacing w:after="0"/>
        <w:tabs>
          <w:tab w:leader="none" w:pos="72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cybersecurity risks and incidents;</w:t>
      </w:r>
    </w:p>
    <w:p>
      <w:pPr>
        <w:spacing w:after="0" w:line="213" w:lineRule="exact"/>
        <w:rPr>
          <w:rFonts w:ascii="Arial" w:cs="Arial" w:eastAsia="Arial" w:hAnsi="Arial"/>
          <w:sz w:val="20"/>
          <w:szCs w:val="20"/>
          <w:color w:val="auto"/>
        </w:rPr>
      </w:pPr>
    </w:p>
    <w:p>
      <w:pPr>
        <w:ind w:left="720" w:hanging="354"/>
        <w:spacing w:after="0"/>
        <w:tabs>
          <w:tab w:leader="none" w:pos="72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product liability risk;</w:t>
      </w:r>
    </w:p>
    <w:p>
      <w:pPr>
        <w:sectPr>
          <w:pgSz w:w="12240" w:h="15840" w:orient="portrait"/>
          <w:cols w:equalWidth="0" w:num="1">
            <w:col w:w="9620"/>
          </w:cols>
          <w:pgMar w:left="1260" w:top="1243" w:right="1360" w:bottom="723" w:gutter="0" w:footer="0" w:header="0"/>
        </w:sectPr>
      </w:pPr>
    </w:p>
    <w:p>
      <w:pPr>
        <w:spacing w:after="0" w:line="200" w:lineRule="exact"/>
        <w:rPr>
          <w:sz w:val="20"/>
          <w:szCs w:val="20"/>
          <w:color w:val="auto"/>
        </w:rPr>
      </w:pPr>
    </w:p>
    <w:p>
      <w:pPr>
        <w:spacing w:after="0" w:line="31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1</w:t>
      </w:r>
    </w:p>
    <w:p>
      <w:pPr>
        <w:sectPr>
          <w:pgSz w:w="12240" w:h="15840" w:orient="portrait"/>
          <w:cols w:equalWidth="0" w:num="1">
            <w:col w:w="9620"/>
          </w:cols>
          <w:pgMar w:left="1260" w:top="1243" w:right="1360" w:bottom="723" w:gutter="0" w:footer="0" w:header="0"/>
          <w:type w:val="continuous"/>
        </w:sectPr>
      </w:pPr>
    </w:p>
    <w:bookmarkStart w:id="4" w:name="page5"/>
    <w:bookmarkEnd w:id="4"/>
    <w:p>
      <w:pPr>
        <w:ind w:left="720" w:right="220" w:hanging="353"/>
        <w:spacing w:after="0" w:line="278" w:lineRule="auto"/>
        <w:tabs>
          <w:tab w:leader="none" w:pos="72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795655</wp:posOffset>
            </wp:positionH>
            <wp:positionV relativeFrom="page">
              <wp:posOffset>292735</wp:posOffset>
            </wp:positionV>
            <wp:extent cx="929005" cy="1149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a:extLst>
                        <a:ext uri="{28A0092B-C50C-407E-A947-70E740481C1C}"/>
                      </a:extLst>
                    </a:blip>
                    <a:srcRect/>
                    <a:stretch>
                      <a:fillRect/>
                    </a:stretch>
                  </pic:blipFill>
                  <pic:spPr bwMode="auto">
                    <a:xfrm>
                      <a:off x="0" y="0"/>
                      <a:ext cx="929005" cy="114935"/>
                    </a:xfrm>
                    <a:prstGeom prst="rect">
                      <a:avLst/>
                    </a:prstGeom>
                    <a:noFill/>
                  </pic:spPr>
                </pic:pic>
              </a:graphicData>
            </a:graphic>
          </wp:anchor>
        </w:drawing>
        <w:t>risk of exchange rate fluctuations, particularly between the euro and the U.S. dollar and between the euro and the Japanese yen;</w:t>
      </w:r>
    </w:p>
    <w:p>
      <w:pPr>
        <w:spacing w:after="0" w:line="140" w:lineRule="exact"/>
        <w:rPr>
          <w:rFonts w:ascii="Arial" w:cs="Arial" w:eastAsia="Arial" w:hAnsi="Arial"/>
          <w:sz w:val="20"/>
          <w:szCs w:val="20"/>
          <w:color w:val="auto"/>
        </w:rPr>
      </w:pPr>
    </w:p>
    <w:p>
      <w:pPr>
        <w:ind w:left="720" w:hanging="353"/>
        <w:spacing w:after="0"/>
        <w:tabs>
          <w:tab w:leader="none" w:pos="72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fluctuations in results of operations due to the cyclical nature of demand for medical devices;</w:t>
      </w:r>
    </w:p>
    <w:p>
      <w:pPr>
        <w:spacing w:after="0" w:line="213" w:lineRule="exact"/>
        <w:rPr>
          <w:rFonts w:ascii="Arial" w:cs="Arial" w:eastAsia="Arial" w:hAnsi="Arial"/>
          <w:sz w:val="20"/>
          <w:szCs w:val="20"/>
          <w:color w:val="auto"/>
        </w:rPr>
      </w:pPr>
    </w:p>
    <w:p>
      <w:pPr>
        <w:ind w:left="720" w:hanging="353"/>
        <w:spacing w:after="0"/>
        <w:tabs>
          <w:tab w:leader="none" w:pos="72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risks relating to ownership of our securities; and</w:t>
      </w:r>
    </w:p>
    <w:p>
      <w:pPr>
        <w:spacing w:after="0" w:line="213" w:lineRule="exact"/>
        <w:rPr>
          <w:rFonts w:ascii="Arial" w:cs="Arial" w:eastAsia="Arial" w:hAnsi="Arial"/>
          <w:sz w:val="20"/>
          <w:szCs w:val="20"/>
          <w:color w:val="auto"/>
        </w:rPr>
      </w:pPr>
    </w:p>
    <w:p>
      <w:pPr>
        <w:ind w:left="720" w:hanging="353"/>
        <w:spacing w:after="0"/>
        <w:tabs>
          <w:tab w:leader="none" w:pos="72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risks relating to securities litigations involving class actions.</w:t>
      </w:r>
    </w:p>
    <w:p>
      <w:pPr>
        <w:spacing w:after="0" w:line="19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You should also consider the information contained in “Risk Factors” in this Annual Report. Any forward-looking statement speaks only as of the date on which that statement is made. We undertake no obligation to update any forward-looking statement, whether as a result of new information, future events, or otherwise, except as required by law. We qualify all of our forward-looking statements by these cautionary statements.</w:t>
      </w:r>
    </w:p>
    <w:p>
      <w:pPr>
        <w:sectPr>
          <w:pgSz w:w="12240" w:h="15840" w:orient="portrait"/>
          <w:cols w:equalWidth="0" w:num="1">
            <w:col w:w="9700"/>
          </w:cols>
          <w:pgMar w:left="1260" w:top="1261" w:right="1280" w:bottom="72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2240" w:h="15840" w:orient="portrait"/>
          <w:cols w:equalWidth="0" w:num="1">
            <w:col w:w="9700"/>
          </w:cols>
          <w:pgMar w:left="1260" w:top="1261" w:right="1280" w:bottom="723" w:gutter="0" w:footer="0" w:header="0"/>
          <w:type w:val="continuous"/>
        </w:sectPr>
      </w:pPr>
    </w:p>
    <w:bookmarkStart w:id="5" w:name="page6"/>
    <w:bookmarkEnd w:id="5"/>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795655</wp:posOffset>
            </wp:positionH>
            <wp:positionV relativeFrom="page">
              <wp:posOffset>292735</wp:posOffset>
            </wp:positionV>
            <wp:extent cx="929005" cy="1149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a:extLst>
                        <a:ext uri="{28A0092B-C50C-407E-A947-70E740481C1C}"/>
                      </a:extLst>
                    </a:blip>
                    <a:srcRect/>
                    <a:stretch>
                      <a:fillRect/>
                    </a:stretch>
                  </pic:blipFill>
                  <pic:spPr bwMode="auto">
                    <a:xfrm>
                      <a:off x="0" y="0"/>
                      <a:ext cx="929005" cy="114935"/>
                    </a:xfrm>
                    <a:prstGeom prst="rect">
                      <a:avLst/>
                    </a:prstGeom>
                    <a:noFill/>
                  </pic:spPr>
                </pic:pic>
              </a:graphicData>
            </a:graphic>
          </wp:anchor>
        </w:drawing>
        <w:t>PART I</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 Business.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Company Overview and Strategy</w:t>
      </w:r>
    </w:p>
    <w:p>
      <w:pPr>
        <w:spacing w:after="0" w:line="203" w:lineRule="exact"/>
        <w:rPr>
          <w:sz w:val="20"/>
          <w:szCs w:val="20"/>
          <w:color w:val="auto"/>
        </w:rPr>
      </w:pPr>
    </w:p>
    <w:p>
      <w:pPr>
        <w:jc w:val="both"/>
        <w:ind w:right="380"/>
        <w:spacing w:after="0" w:line="259" w:lineRule="auto"/>
        <w:rPr>
          <w:sz w:val="20"/>
          <w:szCs w:val="20"/>
          <w:color w:val="auto"/>
        </w:rPr>
      </w:pPr>
      <w:r>
        <w:rPr>
          <w:rFonts w:ascii="Times New Roman" w:cs="Times New Roman" w:eastAsia="Times New Roman" w:hAnsi="Times New Roman"/>
          <w:sz w:val="20"/>
          <w:szCs w:val="20"/>
          <w:color w:val="auto"/>
        </w:rPr>
        <w:t>EDAP TMS S.A. (“EDAP,” the “Company,” “we,” “us,” or “our”) is a medical technology company focused on the development, manufacturing, marketing, and sale of non-invasive therapeutic ultrasound and energy-based medical devices.</w:t>
      </w:r>
    </w:p>
    <w:p>
      <w:pPr>
        <w:spacing w:after="0" w:line="146" w:lineRule="exact"/>
        <w:rPr>
          <w:sz w:val="20"/>
          <w:szCs w:val="20"/>
          <w:color w:val="auto"/>
        </w:rPr>
      </w:pPr>
    </w:p>
    <w:p>
      <w:pPr>
        <w:ind w:right="180"/>
        <w:spacing w:after="0" w:line="236" w:lineRule="auto"/>
        <w:rPr>
          <w:sz w:val="20"/>
          <w:szCs w:val="20"/>
          <w:color w:val="auto"/>
        </w:rPr>
      </w:pPr>
      <w:r>
        <w:rPr>
          <w:rFonts w:ascii="Times New Roman" w:cs="Times New Roman" w:eastAsia="Times New Roman" w:hAnsi="Times New Roman"/>
          <w:sz w:val="20"/>
          <w:szCs w:val="20"/>
          <w:color w:val="auto"/>
        </w:rPr>
        <w:t>Our legal name is EDAP TMS S.A., and our commercial name is Focal One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We were founded in 1979 as a </w:t>
      </w:r>
      <w:r>
        <w:rPr>
          <w:rFonts w:ascii="Times New Roman" w:cs="Times New Roman" w:eastAsia="Times New Roman" w:hAnsi="Times New Roman"/>
          <w:sz w:val="20"/>
          <w:szCs w:val="20"/>
          <w:i w:val="1"/>
          <w:iCs w:val="1"/>
          <w:color w:val="auto"/>
        </w:rPr>
        <w:t>société</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anonyme </w:t>
      </w:r>
      <w:r>
        <w:rPr>
          <w:rFonts w:ascii="Times New Roman" w:cs="Times New Roman" w:eastAsia="Times New Roman" w:hAnsi="Times New Roman"/>
          <w:sz w:val="20"/>
          <w:szCs w:val="20"/>
          <w:color w:val="auto"/>
        </w:rPr>
        <w:t>organized under the laws of France for a duration of 60 years from the date of incorporation, unless extended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by shareholder approval in accordance with French corporate law. We are headquartered in Vaulx-en-Velin, France and operate in the United States, Europe, Asia and the rest of the world. We are listed on The Nasdaq Global Market (“Nasdaq”) under the symbol “EDAP.”</w:t>
      </w:r>
    </w:p>
    <w:p>
      <w:pPr>
        <w:spacing w:after="0" w:line="162" w:lineRule="exact"/>
        <w:rPr>
          <w:sz w:val="20"/>
          <w:szCs w:val="20"/>
          <w:color w:val="auto"/>
        </w:rPr>
      </w:pPr>
    </w:p>
    <w:p>
      <w:pPr>
        <w:ind w:right="360"/>
        <w:spacing w:after="0" w:line="306" w:lineRule="auto"/>
        <w:rPr>
          <w:sz w:val="20"/>
          <w:szCs w:val="20"/>
          <w:color w:val="auto"/>
        </w:rPr>
      </w:pPr>
      <w:r>
        <w:rPr>
          <w:rFonts w:ascii="Times New Roman" w:cs="Times New Roman" w:eastAsia="Times New Roman" w:hAnsi="Times New Roman"/>
          <w:sz w:val="19"/>
          <w:szCs w:val="19"/>
          <w:color w:val="auto"/>
        </w:rPr>
        <w:t>Our technologies are primarily used in urology, with a current focus on the treatment of prostate cancer. We are conducting clinical development activities to support potential expanded indications in urology and women’s health.</w:t>
      </w:r>
    </w:p>
    <w:p>
      <w:pPr>
        <w:spacing w:after="0" w:line="103" w:lineRule="exact"/>
        <w:rPr>
          <w:sz w:val="20"/>
          <w:szCs w:val="20"/>
          <w:color w:val="auto"/>
        </w:rPr>
      </w:pPr>
    </w:p>
    <w:p>
      <w:pPr>
        <w:ind w:right="140"/>
        <w:spacing w:after="0" w:line="235" w:lineRule="auto"/>
        <w:rPr>
          <w:sz w:val="20"/>
          <w:szCs w:val="20"/>
          <w:color w:val="auto"/>
        </w:rPr>
      </w:pPr>
      <w:r>
        <w:rPr>
          <w:rFonts w:ascii="Times New Roman" w:cs="Times New Roman" w:eastAsia="Times New Roman" w:hAnsi="Times New Roman"/>
          <w:sz w:val="20"/>
          <w:szCs w:val="20"/>
          <w:color w:val="auto"/>
        </w:rPr>
        <w:t>We have realigned our business to focus exclusively on applications leveraging our proprietary High Intensity Focused Ultrasound (“HIFU”) technology, driven commercially by our flagship product, Focal One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Robotic HIFU. This realignment is intended to position Focal One HIFU as a differentiated platform that we believe may support higher-margin growth opportunities over time.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Focal One Regulatory Milestones:</w:t>
      </w:r>
    </w:p>
    <w:p>
      <w:pPr>
        <w:spacing w:after="0" w:line="211" w:lineRule="exact"/>
        <w:rPr>
          <w:sz w:val="20"/>
          <w:szCs w:val="20"/>
          <w:color w:val="auto"/>
        </w:rPr>
      </w:pPr>
    </w:p>
    <w:p>
      <w:pPr>
        <w:ind w:left="720" w:right="260" w:hanging="353"/>
        <w:spacing w:after="0" w:line="245" w:lineRule="auto"/>
        <w:tabs>
          <w:tab w:leader="none" w:pos="720" w:val="left"/>
        </w:tabs>
        <w:numPr>
          <w:ilvl w:val="0"/>
          <w:numId w:val="5"/>
        </w:numPr>
        <w:rPr>
          <w:rFonts w:ascii="Arial" w:cs="Arial" w:eastAsia="Arial" w:hAnsi="Arial"/>
          <w:sz w:val="20"/>
          <w:szCs w:val="20"/>
          <w:color w:val="auto"/>
        </w:rPr>
      </w:pPr>
      <w:r>
        <w:rPr>
          <w:rFonts w:ascii="Times New Roman" w:cs="Times New Roman" w:eastAsia="Times New Roman" w:hAnsi="Times New Roman"/>
          <w:sz w:val="20"/>
          <w:szCs w:val="20"/>
          <w:color w:val="auto"/>
        </w:rPr>
        <w:t>On June 18, 2013, we obtained a CE Marking for Focal One for the treatment of prostate cancer, which permitted commercialization of Focal One in the European Union and in other territories where CE Marking is required;</w:t>
      </w:r>
    </w:p>
    <w:p>
      <w:pPr>
        <w:jc w:val="both"/>
        <w:ind w:left="720" w:right="20" w:hanging="353"/>
        <w:spacing w:after="0" w:line="244" w:lineRule="auto"/>
        <w:tabs>
          <w:tab w:leader="none" w:pos="720" w:val="left"/>
        </w:tabs>
        <w:numPr>
          <w:ilvl w:val="0"/>
          <w:numId w:val="5"/>
        </w:numPr>
        <w:rPr>
          <w:rFonts w:ascii="Arial" w:cs="Arial" w:eastAsia="Arial" w:hAnsi="Arial"/>
          <w:sz w:val="20"/>
          <w:szCs w:val="20"/>
          <w:color w:val="auto"/>
        </w:rPr>
      </w:pPr>
      <w:r>
        <w:rPr>
          <w:rFonts w:ascii="Times New Roman" w:cs="Times New Roman" w:eastAsia="Times New Roman" w:hAnsi="Times New Roman"/>
          <w:sz w:val="20"/>
          <w:szCs w:val="20"/>
          <w:color w:val="auto"/>
        </w:rPr>
        <w:t>On June 7, 2018, we received U.S. Food and Drug Administration (“FDA”) 510(k) clearance for our Focal One system for the ablation of prostate tissue, which permitted commercialization of Focal One in the United States for its cleared indications;</w:t>
      </w:r>
    </w:p>
    <w:p>
      <w:pPr>
        <w:spacing w:after="0" w:line="1" w:lineRule="exact"/>
        <w:rPr>
          <w:rFonts w:ascii="Arial" w:cs="Arial" w:eastAsia="Arial" w:hAnsi="Arial"/>
          <w:sz w:val="20"/>
          <w:szCs w:val="20"/>
          <w:color w:val="auto"/>
        </w:rPr>
      </w:pPr>
    </w:p>
    <w:p>
      <w:pPr>
        <w:ind w:left="720" w:right="200" w:hanging="352"/>
        <w:spacing w:after="0" w:line="247" w:lineRule="auto"/>
        <w:tabs>
          <w:tab w:leader="none" w:pos="720" w:val="left"/>
        </w:tabs>
        <w:numPr>
          <w:ilvl w:val="0"/>
          <w:numId w:val="5"/>
        </w:numPr>
        <w:rPr>
          <w:rFonts w:ascii="Arial" w:cs="Arial" w:eastAsia="Arial" w:hAnsi="Arial"/>
          <w:sz w:val="20"/>
          <w:szCs w:val="20"/>
          <w:color w:val="auto"/>
        </w:rPr>
      </w:pPr>
      <w:r>
        <w:rPr>
          <w:rFonts w:ascii="Times New Roman" w:cs="Times New Roman" w:eastAsia="Times New Roman" w:hAnsi="Times New Roman"/>
          <w:sz w:val="20"/>
          <w:szCs w:val="20"/>
          <w:color w:val="auto"/>
        </w:rPr>
        <w:t>On March 13, 2024, we were granted Breakthrough Device designation by the FDA for the treatment of deep infiltrating endometriosis (“DIE”);</w:t>
      </w:r>
    </w:p>
    <w:p>
      <w:pPr>
        <w:spacing w:after="0" w:line="1" w:lineRule="exact"/>
        <w:rPr>
          <w:rFonts w:ascii="Arial" w:cs="Arial" w:eastAsia="Arial" w:hAnsi="Arial"/>
          <w:sz w:val="20"/>
          <w:szCs w:val="20"/>
          <w:color w:val="auto"/>
        </w:rPr>
      </w:pPr>
    </w:p>
    <w:p>
      <w:pPr>
        <w:ind w:left="720" w:right="240" w:hanging="352"/>
        <w:spacing w:after="0" w:line="246" w:lineRule="auto"/>
        <w:tabs>
          <w:tab w:leader="none" w:pos="720" w:val="left"/>
        </w:tabs>
        <w:numPr>
          <w:ilvl w:val="0"/>
          <w:numId w:val="5"/>
        </w:numPr>
        <w:rPr>
          <w:rFonts w:ascii="Arial" w:cs="Arial" w:eastAsia="Arial" w:hAnsi="Arial"/>
          <w:sz w:val="20"/>
          <w:szCs w:val="20"/>
          <w:color w:val="auto"/>
        </w:rPr>
      </w:pPr>
      <w:r>
        <w:rPr>
          <w:rFonts w:ascii="Times New Roman" w:cs="Times New Roman" w:eastAsia="Times New Roman" w:hAnsi="Times New Roman"/>
          <w:sz w:val="20"/>
          <w:szCs w:val="20"/>
          <w:color w:val="auto"/>
        </w:rPr>
        <w:t>On March 26, 2025, we received a CE Mark for the treatment of posterior deep endometriosis infiltrating the rectum and surrounding structures; and</w:t>
      </w:r>
    </w:p>
    <w:p>
      <w:pPr>
        <w:ind w:left="720" w:hanging="352"/>
        <w:spacing w:after="0" w:line="253" w:lineRule="auto"/>
        <w:tabs>
          <w:tab w:leader="none" w:pos="720" w:val="left"/>
        </w:tabs>
        <w:numPr>
          <w:ilvl w:val="0"/>
          <w:numId w:val="5"/>
        </w:numPr>
        <w:rPr>
          <w:rFonts w:ascii="Arial" w:cs="Arial" w:eastAsia="Arial" w:hAnsi="Arial"/>
          <w:sz w:val="20"/>
          <w:szCs w:val="20"/>
          <w:color w:val="auto"/>
        </w:rPr>
      </w:pPr>
      <w:r>
        <w:rPr>
          <w:rFonts w:ascii="Times New Roman" w:cs="Times New Roman" w:eastAsia="Times New Roman" w:hAnsi="Times New Roman"/>
          <w:sz w:val="20"/>
          <w:szCs w:val="20"/>
          <w:color w:val="auto"/>
        </w:rPr>
        <w:t>On November 20, 2025, we obtained a new FDA 510(k) clearance for the latest evolution of Focal One Robotic HIFU, including next-generation ultrasound imaging designed to support the future development of artificial intelligence (“AI”) driven algorithms to assist surgeons with tissue ablation visualization and treatment evaluation.</w:t>
      </w:r>
    </w:p>
    <w:p>
      <w:pPr>
        <w:spacing w:after="0" w:line="150" w:lineRule="exact"/>
        <w:rPr>
          <w:sz w:val="20"/>
          <w:szCs w:val="20"/>
          <w:color w:val="auto"/>
        </w:rPr>
      </w:pPr>
    </w:p>
    <w:p>
      <w:pPr>
        <w:ind w:right="260"/>
        <w:spacing w:after="0" w:line="253" w:lineRule="auto"/>
        <w:rPr>
          <w:sz w:val="20"/>
          <w:szCs w:val="20"/>
          <w:color w:val="auto"/>
        </w:rPr>
      </w:pPr>
      <w:r>
        <w:rPr>
          <w:rFonts w:ascii="Times New Roman" w:cs="Times New Roman" w:eastAsia="Times New Roman" w:hAnsi="Times New Roman"/>
          <w:sz w:val="20"/>
          <w:szCs w:val="20"/>
          <w:color w:val="auto"/>
        </w:rPr>
        <w:t>Our business model includes obtaining revenue from the sale of capital equipment, as well as recurring revenue from consumables and maintenance services associated with our installed base. Going forward, we plan to pursue potential expansion of clinical indications using the Focal One platform beyond the management of prostate cancer, to include benign prostatic hyperplasia (“BPH”) and endometriosis.</w:t>
      </w:r>
    </w:p>
    <w:p>
      <w:pPr>
        <w:spacing w:after="0" w:line="151" w:lineRule="exact"/>
        <w:rPr>
          <w:sz w:val="20"/>
          <w:szCs w:val="20"/>
          <w:color w:val="auto"/>
        </w:rPr>
      </w:pPr>
    </w:p>
    <w:p>
      <w:pPr>
        <w:ind w:right="180"/>
        <w:spacing w:after="0" w:line="249" w:lineRule="auto"/>
        <w:rPr>
          <w:sz w:val="20"/>
          <w:szCs w:val="20"/>
          <w:color w:val="auto"/>
        </w:rPr>
      </w:pPr>
      <w:r>
        <w:rPr>
          <w:rFonts w:ascii="Times New Roman" w:cs="Times New Roman" w:eastAsia="Times New Roman" w:hAnsi="Times New Roman"/>
          <w:sz w:val="20"/>
          <w:szCs w:val="20"/>
          <w:color w:val="auto"/>
        </w:rPr>
        <w:t>We are sponsoring clinical studies at multiple sites to evaluate the potential use of Focal One in the treatment of symptoms related to BPH, expanding the use of our proprietary HIFU platform in the same medical specialty. Already completed clinical studies and initial clinical use of Focal One in the treatment of DIE suggest that HIFU also has the potential to become an alternative to surgical intervention for select patients, enabling us an important opportunity to address a significant unmet need in women’s health.</w:t>
      </w:r>
    </w:p>
    <w:p>
      <w:pPr>
        <w:spacing w:after="0" w:line="156" w:lineRule="exact"/>
        <w:rPr>
          <w:sz w:val="20"/>
          <w:szCs w:val="20"/>
          <w:color w:val="auto"/>
        </w:rPr>
      </w:pPr>
    </w:p>
    <w:p>
      <w:pPr>
        <w:ind w:right="20"/>
        <w:spacing w:after="0" w:line="306" w:lineRule="auto"/>
        <w:rPr>
          <w:sz w:val="20"/>
          <w:szCs w:val="20"/>
          <w:color w:val="auto"/>
        </w:rPr>
      </w:pPr>
      <w:r>
        <w:rPr>
          <w:rFonts w:ascii="Times New Roman" w:cs="Times New Roman" w:eastAsia="Times New Roman" w:hAnsi="Times New Roman"/>
          <w:sz w:val="19"/>
          <w:szCs w:val="19"/>
          <w:color w:val="auto"/>
        </w:rPr>
        <w:t>These expanded clinical indications for Focal One provide us with additional opportunities for strong, long-term growth, with the potential to bring the benefits of therapeutic HIFU to these large and underserved patient populations. We</w:t>
      </w:r>
    </w:p>
    <w:p>
      <w:pPr>
        <w:sectPr>
          <w:pgSz w:w="12240" w:h="15840" w:orient="portrait"/>
          <w:cols w:equalWidth="0" w:num="1">
            <w:col w:w="9680"/>
          </w:cols>
          <w:pgMar w:left="1260" w:top="1243" w:right="1300" w:bottom="72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w:t>
      </w:r>
    </w:p>
    <w:p>
      <w:pPr>
        <w:sectPr>
          <w:pgSz w:w="12240" w:h="15840" w:orient="portrait"/>
          <w:cols w:equalWidth="0" w:num="1">
            <w:col w:w="9680"/>
          </w:cols>
          <w:pgMar w:left="1260" w:top="1243" w:right="1300" w:bottom="723" w:gutter="0" w:footer="0" w:header="0"/>
          <w:type w:val="continuous"/>
        </w:sectPr>
      </w:pPr>
    </w:p>
    <w:bookmarkStart w:id="6" w:name="page7"/>
    <w:bookmarkEnd w:id="6"/>
    <w:p>
      <w:pPr>
        <w:ind w:right="580"/>
        <w:spacing w:after="0" w:line="279"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795655</wp:posOffset>
            </wp:positionH>
            <wp:positionV relativeFrom="page">
              <wp:posOffset>292735</wp:posOffset>
            </wp:positionV>
            <wp:extent cx="929005" cy="1149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3">
                      <a:extLst>
                        <a:ext uri="{28A0092B-C50C-407E-A947-70E740481C1C}"/>
                      </a:extLst>
                    </a:blip>
                    <a:srcRect/>
                    <a:stretch>
                      <a:fillRect/>
                    </a:stretch>
                  </pic:blipFill>
                  <pic:spPr bwMode="auto">
                    <a:xfrm>
                      <a:off x="0" y="0"/>
                      <a:ext cx="929005" cy="114935"/>
                    </a:xfrm>
                    <a:prstGeom prst="rect">
                      <a:avLst/>
                    </a:prstGeom>
                    <a:noFill/>
                  </pic:spPr>
                </pic:pic>
              </a:graphicData>
            </a:graphic>
          </wp:anchor>
        </w:drawing>
        <w:t>believe these expanded indications could result in Focal One’s total addressable market expansion, resulting in a stronger business case for healthcare providers and increased revenue for the company.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Products</w:t>
      </w:r>
    </w:p>
    <w:p>
      <w:pPr>
        <w:spacing w:after="0" w:line="203" w:lineRule="exact"/>
        <w:rPr>
          <w:sz w:val="20"/>
          <w:szCs w:val="20"/>
          <w:color w:val="auto"/>
        </w:rPr>
      </w:pPr>
    </w:p>
    <w:p>
      <w:pPr>
        <w:ind w:right="200"/>
        <w:spacing w:after="0" w:line="279" w:lineRule="auto"/>
        <w:rPr>
          <w:sz w:val="20"/>
          <w:szCs w:val="20"/>
          <w:color w:val="auto"/>
        </w:rPr>
      </w:pPr>
      <w:r>
        <w:rPr>
          <w:rFonts w:ascii="Times New Roman" w:cs="Times New Roman" w:eastAsia="Times New Roman" w:hAnsi="Times New Roman"/>
          <w:sz w:val="20"/>
          <w:szCs w:val="20"/>
          <w:color w:val="auto"/>
        </w:rPr>
        <w:t>Our core product portfolio is centered on proprietary ultrasound-based technologies (i.e., HIFU), designed to provide precise, non-invasive alternatives to traditional surgical procedures.</w:t>
      </w:r>
    </w:p>
    <w:p>
      <w:pPr>
        <w:spacing w:after="0" w:line="125" w:lineRule="exact"/>
        <w:rPr>
          <w:sz w:val="20"/>
          <w:szCs w:val="20"/>
          <w:color w:val="auto"/>
        </w:rPr>
      </w:pPr>
    </w:p>
    <w:p>
      <w:pPr>
        <w:ind w:right="260"/>
        <w:spacing w:after="0"/>
        <w:rPr>
          <w:sz w:val="20"/>
          <w:szCs w:val="20"/>
          <w:color w:val="auto"/>
        </w:rPr>
      </w:pPr>
      <w:r>
        <w:rPr>
          <w:rFonts w:ascii="Times New Roman" w:cs="Times New Roman" w:eastAsia="Times New Roman" w:hAnsi="Times New Roman"/>
          <w:sz w:val="20"/>
          <w:szCs w:val="20"/>
          <w:color w:val="auto"/>
        </w:rPr>
        <w:t>We also market and support non-core, legacy urology product lines, including extracorporeal shock wave lithotripsy (“ESWL”) systems and related accessories and services in select markets as well as distribution of</w:t>
      </w:r>
    </w:p>
    <w:p>
      <w:pPr>
        <w:spacing w:after="0" w:line="1" w:lineRule="exact"/>
        <w:rPr>
          <w:sz w:val="20"/>
          <w:szCs w:val="20"/>
          <w:color w:val="auto"/>
        </w:rPr>
      </w:pPr>
    </w:p>
    <w:p>
      <w:pPr>
        <w:ind w:right="480"/>
        <w:spacing w:after="0" w:line="279" w:lineRule="auto"/>
        <w:rPr>
          <w:sz w:val="20"/>
          <w:szCs w:val="20"/>
          <w:color w:val="auto"/>
        </w:rPr>
      </w:pPr>
      <w:r>
        <w:rPr>
          <w:rFonts w:ascii="Times New Roman" w:cs="Times New Roman" w:eastAsia="Times New Roman" w:hAnsi="Times New Roman"/>
          <w:sz w:val="20"/>
          <w:szCs w:val="20"/>
          <w:color w:val="auto"/>
        </w:rPr>
        <w:t>third-party products such as laser, micro-ultrasounds, and urodynamics systems. These offerings contribute to our installed base, service revenue, and long-standing relationships with urology customers.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Focal One i Robotic HIFU</w:t>
      </w:r>
    </w:p>
    <w:p>
      <w:pPr>
        <w:spacing w:after="0" w:line="203"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20"/>
          <w:szCs w:val="20"/>
          <w:color w:val="auto"/>
        </w:rPr>
        <w:t>Our flagship product, the Focal One i Robotic HIFU System (the “Focal One i System”), allows urologists to ablate targeted prostate tissue while limiting exposure to nearby critical structures. Clinical studies have reported high rates of oncologic control along with urinary and sexual function preservation in patients following the procedure.</w:t>
      </w:r>
    </w:p>
    <w:p>
      <w:pPr>
        <w:spacing w:after="0" w:line="147"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20"/>
          <w:szCs w:val="20"/>
          <w:color w:val="auto"/>
        </w:rPr>
        <w:t>The system integrates real- time imaging, treatment planning, and precision robotics to deliver pinpoint HIFU ablative energy to the targeted area defined by the physician. The Focal One i System is designed for urologists to perform focal ablation of prostate tissue.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1425575</wp:posOffset>
            </wp:positionH>
            <wp:positionV relativeFrom="paragraph">
              <wp:posOffset>105410</wp:posOffset>
            </wp:positionV>
            <wp:extent cx="3321050" cy="27063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4">
                      <a:extLst>
                        <a:ext uri="{28A0092B-C50C-407E-A947-70E740481C1C}"/>
                      </a:extLst>
                    </a:blip>
                    <a:srcRect/>
                    <a:stretch>
                      <a:fillRect/>
                    </a:stretch>
                  </pic:blipFill>
                  <pic:spPr bwMode="auto">
                    <a:xfrm>
                      <a:off x="0" y="0"/>
                      <a:ext cx="3321050" cy="2706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0"/>
          <w:szCs w:val="20"/>
          <w:i w:val="1"/>
          <w:iCs w:val="1"/>
          <w:color w:val="auto"/>
        </w:rPr>
        <w:t>Figure 1 - Focal One i System</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Key features of the Focal One i System include:</w:t>
      </w:r>
    </w:p>
    <w:p>
      <w:pPr>
        <w:spacing w:after="0" w:line="213" w:lineRule="exact"/>
        <w:rPr>
          <w:sz w:val="20"/>
          <w:szCs w:val="20"/>
          <w:color w:val="auto"/>
        </w:rPr>
      </w:pPr>
    </w:p>
    <w:p>
      <w:pPr>
        <w:ind w:left="720" w:hanging="354"/>
        <w:spacing w:after="0"/>
        <w:tabs>
          <w:tab w:leader="none" w:pos="719" w:val="left"/>
        </w:tabs>
        <w:numPr>
          <w:ilvl w:val="0"/>
          <w:numId w:val="6"/>
        </w:numPr>
        <w:rPr>
          <w:rFonts w:ascii="Arial" w:cs="Arial" w:eastAsia="Arial" w:hAnsi="Arial"/>
          <w:sz w:val="19"/>
          <w:szCs w:val="19"/>
          <w:color w:val="auto"/>
        </w:rPr>
      </w:pPr>
      <w:r>
        <w:rPr>
          <w:rFonts w:ascii="Times New Roman" w:cs="Times New Roman" w:eastAsia="Times New Roman" w:hAnsi="Times New Roman"/>
          <w:sz w:val="19"/>
          <w:szCs w:val="19"/>
          <w:color w:val="auto"/>
        </w:rPr>
        <w:t>The HIFUsion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9"/>
          <w:szCs w:val="19"/>
          <w:color w:val="auto"/>
        </w:rPr>
        <w:t xml:space="preserve"> software allows urologists to import Magnetic Resonance Imaging (“MRI”), Prostate-Specific Membrane Antigen Positron Emission Tomography (“PSMA-PET”), and 3D biopsy maps to establish precise contours around the target tissue and perform focused ablation. The system is designed to support the future development of AI-driven algorithms to assist with tissue ablation visualization and treatment evaluation.</w:t>
      </w:r>
    </w:p>
    <w:p>
      <w:pPr>
        <w:spacing w:after="0" w:line="2" w:lineRule="exact"/>
        <w:rPr>
          <w:rFonts w:ascii="Arial" w:cs="Arial" w:eastAsia="Arial" w:hAnsi="Arial"/>
          <w:sz w:val="19"/>
          <w:szCs w:val="19"/>
          <w:color w:val="auto"/>
        </w:rPr>
      </w:pPr>
    </w:p>
    <w:p>
      <w:pPr>
        <w:ind w:left="720" w:right="320" w:hanging="353"/>
        <w:spacing w:after="0" w:line="247" w:lineRule="auto"/>
        <w:tabs>
          <w:tab w:leader="none" w:pos="72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The robotic positioning system (“Robotic Positioning System”) provides multi-axis sub-millimeter robotic movements and automatic safety features.</w:t>
      </w:r>
    </w:p>
    <w:p>
      <w:pPr>
        <w:spacing w:after="0" w:line="1" w:lineRule="exact"/>
        <w:rPr>
          <w:rFonts w:ascii="Arial" w:cs="Arial" w:eastAsia="Arial" w:hAnsi="Arial"/>
          <w:sz w:val="20"/>
          <w:szCs w:val="20"/>
          <w:color w:val="auto"/>
        </w:rPr>
      </w:pPr>
    </w:p>
    <w:p>
      <w:pPr>
        <w:ind w:left="720" w:right="280" w:hanging="353"/>
        <w:spacing w:after="0" w:line="258" w:lineRule="auto"/>
        <w:tabs>
          <w:tab w:leader="none" w:pos="72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The dynamic focusing probe (“Dynamic Focusing Probe”) combines high-resolution real-time ultrasound imaging with precise HIFU energy delivery, resulting in extended treatment range and optimized treatment times.</w:t>
      </w:r>
    </w:p>
    <w:p>
      <w:pPr>
        <w:sectPr>
          <w:pgSz w:w="12240" w:h="15840" w:orient="portrait"/>
          <w:cols w:equalWidth="0" w:num="1">
            <w:col w:w="9580"/>
          </w:cols>
          <w:pgMar w:left="1260" w:top="1247" w:right="1400" w:bottom="723" w:gutter="0" w:footer="0" w:header="0"/>
        </w:sectPr>
      </w:pPr>
    </w:p>
    <w:p>
      <w:pPr>
        <w:spacing w:after="0" w:line="200" w:lineRule="exact"/>
        <w:rPr>
          <w:sz w:val="20"/>
          <w:szCs w:val="20"/>
          <w:color w:val="auto"/>
        </w:rPr>
      </w:pPr>
    </w:p>
    <w:p>
      <w:pPr>
        <w:spacing w:after="0" w:line="3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4</w:t>
      </w:r>
    </w:p>
    <w:p>
      <w:pPr>
        <w:sectPr>
          <w:pgSz w:w="12240" w:h="15840" w:orient="portrait"/>
          <w:cols w:equalWidth="0" w:num="1">
            <w:col w:w="9580"/>
          </w:cols>
          <w:pgMar w:left="1260" w:top="1247" w:right="1400" w:bottom="723" w:gutter="0" w:footer="0" w:header="0"/>
          <w:type w:val="continuous"/>
        </w:sectPr>
      </w:pPr>
    </w:p>
    <w:bookmarkStart w:id="7" w:name="page8"/>
    <w:bookmarkEnd w:id="7"/>
    <w:p>
      <w:pPr>
        <w:ind w:left="720" w:hanging="353"/>
        <w:spacing w:after="0" w:line="278" w:lineRule="auto"/>
        <w:tabs>
          <w:tab w:leader="none" w:pos="720"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795655</wp:posOffset>
            </wp:positionH>
            <wp:positionV relativeFrom="page">
              <wp:posOffset>292735</wp:posOffset>
            </wp:positionV>
            <wp:extent cx="929005" cy="1149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5">
                      <a:extLst>
                        <a:ext uri="{28A0092B-C50C-407E-A947-70E740481C1C}"/>
                      </a:extLst>
                    </a:blip>
                    <a:srcRect/>
                    <a:stretch>
                      <a:fillRect/>
                    </a:stretch>
                  </pic:blipFill>
                  <pic:spPr bwMode="auto">
                    <a:xfrm>
                      <a:off x="0" y="0"/>
                      <a:ext cx="929005" cy="114935"/>
                    </a:xfrm>
                    <a:prstGeom prst="rect">
                      <a:avLst/>
                    </a:prstGeom>
                    <a:noFill/>
                  </pic:spPr>
                </pic:pic>
              </a:graphicData>
            </a:graphic>
          </wp:anchor>
        </w:drawing>
        <w:t>The integrated workstation features a flexible cart-based system, compatible with standard operating room beds, and an ergonomic design ensuring surgeon comfort and efficient workflow.</w:t>
      </w:r>
    </w:p>
    <w:p>
      <w:pPr>
        <w:spacing w:after="0" w:line="126" w:lineRule="exact"/>
        <w:rPr>
          <w:sz w:val="20"/>
          <w:szCs w:val="20"/>
          <w:color w:val="auto"/>
        </w:rPr>
      </w:pPr>
    </w:p>
    <w:p>
      <w:pPr>
        <w:ind w:right="100"/>
        <w:spacing w:after="0" w:line="279" w:lineRule="auto"/>
        <w:rPr>
          <w:sz w:val="20"/>
          <w:szCs w:val="20"/>
          <w:color w:val="auto"/>
        </w:rPr>
      </w:pPr>
      <w:r>
        <w:rPr>
          <w:rFonts w:ascii="Times New Roman" w:cs="Times New Roman" w:eastAsia="Times New Roman" w:hAnsi="Times New Roman"/>
          <w:sz w:val="20"/>
          <w:szCs w:val="20"/>
          <w:color w:val="auto"/>
        </w:rPr>
        <w:t>The Focal One i System has received regulatory clearances and approvals in multiple jurisdictions, including the United States and Europe. In November 2025, the FDA granted the Company 510(k) clearance for the Focal One i System.</w:t>
      </w:r>
    </w:p>
    <w:p>
      <w:pPr>
        <w:spacing w:after="0" w:line="125" w:lineRule="exact"/>
        <w:rPr>
          <w:sz w:val="20"/>
          <w:szCs w:val="20"/>
          <w:color w:val="auto"/>
        </w:rPr>
      </w:pPr>
    </w:p>
    <w:p>
      <w:pPr>
        <w:ind w:right="240"/>
        <w:spacing w:after="0" w:line="279" w:lineRule="auto"/>
        <w:rPr>
          <w:sz w:val="20"/>
          <w:szCs w:val="20"/>
          <w:color w:val="auto"/>
        </w:rPr>
      </w:pPr>
      <w:r>
        <w:rPr>
          <w:rFonts w:ascii="Times New Roman" w:cs="Times New Roman" w:eastAsia="Times New Roman" w:hAnsi="Times New Roman"/>
          <w:sz w:val="20"/>
          <w:szCs w:val="20"/>
          <w:color w:val="auto"/>
        </w:rPr>
        <w:t>Our recent regulatory clearances and new product introduction reflect our ongoing product development efforts within our platform.</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Clinical Evidence</w:t>
      </w:r>
    </w:p>
    <w:p>
      <w:pPr>
        <w:spacing w:after="0" w:line="203" w:lineRule="exact"/>
        <w:rPr>
          <w:sz w:val="20"/>
          <w:szCs w:val="20"/>
          <w:color w:val="auto"/>
        </w:rPr>
      </w:pPr>
    </w:p>
    <w:p>
      <w:pPr>
        <w:ind w:right="280"/>
        <w:spacing w:after="0" w:line="279" w:lineRule="auto"/>
        <w:rPr>
          <w:sz w:val="20"/>
          <w:szCs w:val="20"/>
          <w:color w:val="auto"/>
        </w:rPr>
      </w:pPr>
      <w:r>
        <w:rPr>
          <w:rFonts w:ascii="Times New Roman" w:cs="Times New Roman" w:eastAsia="Times New Roman" w:hAnsi="Times New Roman"/>
          <w:sz w:val="20"/>
          <w:szCs w:val="20"/>
          <w:color w:val="auto"/>
        </w:rPr>
        <w:t>Independent clinical studies have evaluated the use of Focal One Robotic HIFU for the treatment of localized prostate cancer.</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The Landmark HIFI Study</w:t>
      </w:r>
    </w:p>
    <w:p>
      <w:pPr>
        <w:spacing w:after="0" w:line="196"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20"/>
          <w:szCs w:val="20"/>
          <w:color w:val="auto"/>
        </w:rPr>
        <w:t>In December 2024, Ploussard G. et al. published in the peer-reviewed journal, European Urology, the full results of the HIFI study. The HIFI study is the largest prospective, comparative, multi-center, clinical study ever conducted comparing prostate cancer treatments.</w:t>
      </w:r>
    </w:p>
    <w:p>
      <w:pPr>
        <w:spacing w:after="0" w:line="146" w:lineRule="exact"/>
        <w:rPr>
          <w:sz w:val="20"/>
          <w:szCs w:val="20"/>
          <w:color w:val="auto"/>
        </w:rPr>
      </w:pPr>
    </w:p>
    <w:p>
      <w:pPr>
        <w:ind w:right="440"/>
        <w:spacing w:after="0" w:line="239" w:lineRule="auto"/>
        <w:rPr>
          <w:sz w:val="20"/>
          <w:szCs w:val="20"/>
          <w:color w:val="auto"/>
        </w:rPr>
      </w:pPr>
      <w:r>
        <w:rPr>
          <w:rFonts w:ascii="Times New Roman" w:cs="Times New Roman" w:eastAsia="Times New Roman" w:hAnsi="Times New Roman"/>
          <w:sz w:val="20"/>
          <w:szCs w:val="20"/>
          <w:color w:val="auto"/>
        </w:rPr>
        <w:t>The HIFI study reported results indicating that Focal One Robotic HIFU is non-inferior to surgery, meeting primary endpoint of non-inferiority for Salvage Treatment-free Survival after HIFU compared to radical</w:t>
      </w:r>
    </w:p>
    <w:p>
      <w:pPr>
        <w:spacing w:after="0" w:line="1" w:lineRule="exact"/>
        <w:rPr>
          <w:sz w:val="20"/>
          <w:szCs w:val="20"/>
          <w:color w:val="auto"/>
        </w:rPr>
      </w:pPr>
    </w:p>
    <w:p>
      <w:pPr>
        <w:ind w:right="260"/>
        <w:spacing w:after="0" w:line="279" w:lineRule="auto"/>
        <w:rPr>
          <w:sz w:val="20"/>
          <w:szCs w:val="20"/>
          <w:color w:val="auto"/>
        </w:rPr>
      </w:pPr>
      <w:r>
        <w:rPr>
          <w:rFonts w:ascii="Times New Roman" w:cs="Times New Roman" w:eastAsia="Times New Roman" w:hAnsi="Times New Roman"/>
          <w:sz w:val="20"/>
          <w:szCs w:val="20"/>
          <w:color w:val="auto"/>
        </w:rPr>
        <w:t>prostatectomy at 30 months. The study demonstrated that patients receiving HIFU had better outcomes with respect to urinary continence and erectile function compared to patients receiving radical prostatectomy.</w:t>
      </w:r>
    </w:p>
    <w:p>
      <w:pPr>
        <w:spacing w:after="0" w:line="125" w:lineRule="exact"/>
        <w:rPr>
          <w:sz w:val="20"/>
          <w:szCs w:val="20"/>
          <w:color w:val="auto"/>
        </w:rPr>
      </w:pPr>
    </w:p>
    <w:p>
      <w:pPr>
        <w:ind w:right="300"/>
        <w:spacing w:after="0" w:line="259" w:lineRule="auto"/>
        <w:rPr>
          <w:sz w:val="20"/>
          <w:szCs w:val="20"/>
          <w:color w:val="auto"/>
        </w:rPr>
      </w:pPr>
      <w:r>
        <w:rPr>
          <w:rFonts w:ascii="Times New Roman" w:cs="Times New Roman" w:eastAsia="Times New Roman" w:hAnsi="Times New Roman"/>
          <w:sz w:val="20"/>
          <w:szCs w:val="20"/>
          <w:color w:val="auto"/>
        </w:rPr>
        <w:t>This seven-year study (April 2015 - March 2022) enrolled a total of 3,328 patients from 46 treatment centers: 1,967 consecutive patients were treated with EDAP’s robotic HIFU technologies, where Focal One was used for 90% of the patients, and 1,361 patients underwent radical prostatectomy surgery. All patients were followed for 30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590550</wp:posOffset>
            </wp:positionH>
            <wp:positionV relativeFrom="paragraph">
              <wp:posOffset>104775</wp:posOffset>
            </wp:positionV>
            <wp:extent cx="4981575" cy="37160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6">
                      <a:extLst>
                        <a:ext uri="{28A0092B-C50C-407E-A947-70E740481C1C}"/>
                      </a:extLst>
                    </a:blip>
                    <a:srcRect/>
                    <a:stretch>
                      <a:fillRect/>
                    </a:stretch>
                  </pic:blipFill>
                  <pic:spPr bwMode="auto">
                    <a:xfrm>
                      <a:off x="0" y="0"/>
                      <a:ext cx="4981575" cy="3716020"/>
                    </a:xfrm>
                    <a:prstGeom prst="rect">
                      <a:avLst/>
                    </a:prstGeom>
                    <a:noFill/>
                  </pic:spPr>
                </pic:pic>
              </a:graphicData>
            </a:graphic>
          </wp:anchor>
        </w:drawing>
      </w:r>
    </w:p>
    <w:p>
      <w:pPr>
        <w:sectPr>
          <w:pgSz w:w="12240" w:h="15840" w:orient="portrait"/>
          <w:cols w:equalWidth="0" w:num="1">
            <w:col w:w="9720"/>
          </w:cols>
          <w:pgMar w:left="1260" w:top="1261" w:right="1260" w:bottom="72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w:t>
      </w:r>
    </w:p>
    <w:p>
      <w:pPr>
        <w:sectPr>
          <w:pgSz w:w="12240" w:h="15840" w:orient="portrait"/>
          <w:cols w:equalWidth="0" w:num="1">
            <w:col w:w="9720"/>
          </w:cols>
          <w:pgMar w:left="1260" w:top="1261" w:right="1260" w:bottom="723"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20"/>
          <w:szCs w:val="20"/>
          <w:i w:val="1"/>
          <w:iCs w:val="1"/>
          <w:color w:val="auto"/>
        </w:rPr>
        <w:drawing>
          <wp:anchor simplePos="0" relativeHeight="251657728" behindDoc="1" locked="0" layoutInCell="0" allowOverlap="1">
            <wp:simplePos x="0" y="0"/>
            <wp:positionH relativeFrom="page">
              <wp:posOffset>795655</wp:posOffset>
            </wp:positionH>
            <wp:positionV relativeFrom="page">
              <wp:posOffset>292735</wp:posOffset>
            </wp:positionV>
            <wp:extent cx="929005" cy="1149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7">
                      <a:extLst>
                        <a:ext uri="{28A0092B-C50C-407E-A947-70E740481C1C}"/>
                      </a:extLst>
                    </a:blip>
                    <a:srcRect/>
                    <a:stretch>
                      <a:fillRect/>
                    </a:stretch>
                  </pic:blipFill>
                  <pic:spPr bwMode="auto">
                    <a:xfrm>
                      <a:off x="0" y="0"/>
                      <a:ext cx="929005" cy="114935"/>
                    </a:xfrm>
                    <a:prstGeom prst="rect">
                      <a:avLst/>
                    </a:prstGeom>
                    <a:noFill/>
                  </pic:spPr>
                </pic:pic>
              </a:graphicData>
            </a:graphic>
          </wp:anchor>
        </w:drawing>
        <w:t>HIFU Compared to Surgery: the FARP Randomized Controlled Trial</w:t>
      </w:r>
    </w:p>
    <w:p>
      <w:pPr>
        <w:spacing w:after="0" w:line="196" w:lineRule="exact"/>
        <w:rPr>
          <w:sz w:val="20"/>
          <w:szCs w:val="20"/>
          <w:color w:val="auto"/>
        </w:rPr>
      </w:pPr>
    </w:p>
    <w:p>
      <w:pPr>
        <w:ind w:right="160"/>
        <w:spacing w:after="0"/>
        <w:rPr>
          <w:sz w:val="20"/>
          <w:szCs w:val="20"/>
          <w:color w:val="auto"/>
        </w:rPr>
      </w:pPr>
      <w:r>
        <w:rPr>
          <w:rFonts w:ascii="Times New Roman" w:cs="Times New Roman" w:eastAsia="Times New Roman" w:hAnsi="Times New Roman"/>
          <w:sz w:val="20"/>
          <w:szCs w:val="20"/>
          <w:color w:val="auto"/>
        </w:rPr>
        <w:t>The final results of the Focal Ablation Versus Radical Prostatectomy (“FARP”) study, the first Randomized Controlled Trial completed comparing ultrasound energy-based focal ablation versus robotic prostatectomy were presented at</w:t>
      </w:r>
    </w:p>
    <w:p>
      <w:pPr>
        <w:spacing w:after="0" w:line="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20"/>
          <w:szCs w:val="20"/>
          <w:color w:val="auto"/>
        </w:rPr>
        <w:t>the American Urological Association (“AUA”) Annual Meeting in April 2025. The study achieved its primary endpoint and demonstrated that the rate of treatment failure in the Focal Ablation (“FA”) group is non-inferior to that in the Radical Prostatectomy (“RP”) group at the final 36-month follow-up.</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Summary of FARP Trial Results (AUA Congress 2025):</w:t>
      </w:r>
    </w:p>
    <w:p>
      <w:pPr>
        <w:spacing w:after="0" w:line="214" w:lineRule="exact"/>
        <w:rPr>
          <w:sz w:val="20"/>
          <w:szCs w:val="20"/>
          <w:color w:val="auto"/>
        </w:rPr>
      </w:pPr>
    </w:p>
    <w:p>
      <w:pPr>
        <w:ind w:left="720" w:hanging="353"/>
        <w:spacing w:after="0"/>
        <w:tabs>
          <w:tab w:leader="none" w:pos="72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A total of 213 patients were enrolled in the study; 107 were randomized to FA and 106 to RP.</w:t>
      </w:r>
    </w:p>
    <w:p>
      <w:pPr>
        <w:spacing w:after="0" w:line="11" w:lineRule="exact"/>
        <w:rPr>
          <w:rFonts w:ascii="Arial" w:cs="Arial" w:eastAsia="Arial" w:hAnsi="Arial"/>
          <w:sz w:val="20"/>
          <w:szCs w:val="20"/>
          <w:color w:val="auto"/>
        </w:rPr>
      </w:pPr>
    </w:p>
    <w:p>
      <w:pPr>
        <w:ind w:left="720" w:hanging="353"/>
        <w:spacing w:after="0"/>
        <w:tabs>
          <w:tab w:leader="none" w:pos="72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25% (26/106) of the patients in the RP arm refused surgery and crossed over to the FA arm.</w:t>
      </w:r>
    </w:p>
    <w:p>
      <w:pPr>
        <w:spacing w:after="0" w:line="13" w:lineRule="exact"/>
        <w:rPr>
          <w:rFonts w:ascii="Arial" w:cs="Arial" w:eastAsia="Arial" w:hAnsi="Arial"/>
          <w:sz w:val="20"/>
          <w:szCs w:val="20"/>
          <w:color w:val="auto"/>
        </w:rPr>
      </w:pPr>
    </w:p>
    <w:p>
      <w:pPr>
        <w:ind w:left="720" w:right="120" w:hanging="353"/>
        <w:spacing w:after="0" w:line="245" w:lineRule="auto"/>
        <w:tabs>
          <w:tab w:leader="none" w:pos="72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The two arms were equivalent in terms of mean age (64 vs. 66 years, p=0.3), prostate specific antigen (“PSA”) (8.6 vs. 8.5 ng/ml, p=0.9), index tumor diameter on MRI (14.5 vs. 15.5 mm, p=0.2), prostate volume (41.3 vs. 41.7 ml, p=0.9) and Gleason Grade Group on biopsy.</w:t>
      </w:r>
    </w:p>
    <w:p>
      <w:pPr>
        <w:ind w:left="720" w:hanging="353"/>
        <w:spacing w:after="0"/>
        <w:tabs>
          <w:tab w:leader="none" w:pos="72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All included patients were evaluated following an intention-to-treat (“ITT”) analysis.</w:t>
      </w:r>
    </w:p>
    <w:p>
      <w:pPr>
        <w:spacing w:after="0" w:line="11" w:lineRule="exact"/>
        <w:rPr>
          <w:rFonts w:ascii="Arial" w:cs="Arial" w:eastAsia="Arial" w:hAnsi="Arial"/>
          <w:sz w:val="20"/>
          <w:szCs w:val="20"/>
          <w:color w:val="auto"/>
        </w:rPr>
      </w:pPr>
    </w:p>
    <w:p>
      <w:pPr>
        <w:ind w:left="720" w:right="620" w:hanging="353"/>
        <w:spacing w:after="0" w:line="282" w:lineRule="auto"/>
        <w:tabs>
          <w:tab w:leader="none" w:pos="72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The proportion of treatment failure was 6.5% in the FA group (7/107; 95% CI [3-13]) and 8.5% after RP (9/106, 95% CI [5</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15]), resulting in a difference of 2% (95% CI [- 6 to 8 ]) in favor of FA.</w:t>
      </w: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Conclusion:</w:t>
      </w:r>
    </w:p>
    <w:p>
      <w:pPr>
        <w:spacing w:after="0" w:line="230" w:lineRule="exact"/>
        <w:rPr>
          <w:sz w:val="20"/>
          <w:szCs w:val="20"/>
          <w:color w:val="auto"/>
        </w:rPr>
      </w:pPr>
    </w:p>
    <w:p>
      <w:pPr>
        <w:ind w:right="520"/>
        <w:spacing w:after="0" w:line="279" w:lineRule="auto"/>
        <w:rPr>
          <w:sz w:val="20"/>
          <w:szCs w:val="20"/>
          <w:color w:val="auto"/>
        </w:rPr>
      </w:pPr>
      <w:r>
        <w:rPr>
          <w:rFonts w:ascii="Times New Roman" w:cs="Times New Roman" w:eastAsia="Times New Roman" w:hAnsi="Times New Roman"/>
          <w:sz w:val="20"/>
          <w:szCs w:val="20"/>
          <w:color w:val="auto"/>
        </w:rPr>
        <w:t>At three-year follow-up, the rate of treatment failure in the FA group was found to be non-inferior to that in the RP group.</w:t>
      </w:r>
    </w:p>
    <w:p>
      <w:pPr>
        <w:spacing w:after="0" w:line="125" w:lineRule="exact"/>
        <w:rPr>
          <w:sz w:val="20"/>
          <w:szCs w:val="20"/>
          <w:color w:val="auto"/>
        </w:rPr>
      </w:pPr>
    </w:p>
    <w:p>
      <w:pPr>
        <w:ind w:right="720"/>
        <w:spacing w:after="0" w:line="279" w:lineRule="auto"/>
        <w:rPr>
          <w:sz w:val="20"/>
          <w:szCs w:val="20"/>
          <w:color w:val="auto"/>
        </w:rPr>
      </w:pPr>
      <w:r>
        <w:rPr>
          <w:rFonts w:ascii="Times New Roman" w:cs="Times New Roman" w:eastAsia="Times New Roman" w:hAnsi="Times New Roman"/>
          <w:sz w:val="20"/>
          <w:szCs w:val="20"/>
          <w:color w:val="auto"/>
        </w:rPr>
        <w:t>Following the completion of the study and the presentation of the final results, the full manuscript is expected to be submitted for publication in a peer-reviewed journal in 2026.</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HIFU Compared to Radiation Therapy: the Multicenter CGRD Study</w:t>
      </w:r>
    </w:p>
    <w:p>
      <w:pPr>
        <w:spacing w:after="0" w:line="196"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20"/>
          <w:szCs w:val="20"/>
          <w:color w:val="auto"/>
        </w:rPr>
        <w:t>In October 2025, Yeh et al. published in the International Journal of Urology and Nephrology the 10-year oncological outcomes of external beam radiotherapy (“EBRT”) versus HIFU for stage II prostate cancer: a multicenter Chang Gung research database (“CGRD”) study with inverse-probability-of-treatment weighting (“IPTW”) analysis.</w:t>
      </w:r>
    </w:p>
    <w:p>
      <w:pPr>
        <w:spacing w:after="0" w:line="146" w:lineRule="exact"/>
        <w:rPr>
          <w:sz w:val="20"/>
          <w:szCs w:val="20"/>
          <w:color w:val="auto"/>
        </w:rPr>
      </w:pPr>
    </w:p>
    <w:p>
      <w:pPr>
        <w:ind w:right="100"/>
        <w:spacing w:after="0" w:line="247" w:lineRule="auto"/>
        <w:rPr>
          <w:sz w:val="20"/>
          <w:szCs w:val="20"/>
          <w:color w:val="auto"/>
        </w:rPr>
      </w:pPr>
      <w:r>
        <w:rPr>
          <w:rFonts w:ascii="Times New Roman" w:cs="Times New Roman" w:eastAsia="Times New Roman" w:hAnsi="Times New Roman"/>
          <w:sz w:val="20"/>
          <w:szCs w:val="20"/>
          <w:color w:val="auto"/>
        </w:rPr>
        <w:t>The study found that over a 10-year follow-up period, HIFU demonstrated non-inferior overall survival and cancer-specific survival compared to EBRT. Notably, patients treated with HIFU showed significantly improved overall survival in the stage IIa subgroup, suggesting a potential advantage of HIFU in early-stage prostate cancer management. This retrospective study evaluated data from 420 patients treated between 2005 and 2022 across Taiwan’s largest healthcare network, using IPTW analysis. HIFU also offers the benefit of a single treatment outpatient procedure for patients, compared to radiation therapy requiring 37 to 45 treatment visits.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Key Findings at 10-Year Follow-Up:</w:t>
      </w:r>
    </w:p>
    <w:p>
      <w:pPr>
        <w:spacing w:after="0" w:line="214" w:lineRule="exact"/>
        <w:rPr>
          <w:sz w:val="20"/>
          <w:szCs w:val="20"/>
          <w:color w:val="auto"/>
        </w:rPr>
      </w:pPr>
    </w:p>
    <w:p>
      <w:pPr>
        <w:ind w:left="720" w:right="120" w:hanging="354"/>
        <w:spacing w:after="0" w:line="247" w:lineRule="auto"/>
        <w:tabs>
          <w:tab w:leader="none" w:pos="720" w:val="left"/>
        </w:tabs>
        <w:numPr>
          <w:ilvl w:val="0"/>
          <w:numId w:val="9"/>
        </w:numPr>
        <w:rPr>
          <w:rFonts w:ascii="Arial" w:cs="Arial" w:eastAsia="Arial" w:hAnsi="Arial"/>
          <w:sz w:val="20"/>
          <w:szCs w:val="20"/>
          <w:color w:val="auto"/>
        </w:rPr>
      </w:pPr>
      <w:r>
        <w:rPr>
          <w:rFonts w:ascii="Times New Roman" w:cs="Times New Roman" w:eastAsia="Times New Roman" w:hAnsi="Times New Roman"/>
          <w:sz w:val="20"/>
          <w:szCs w:val="20"/>
          <w:color w:val="auto"/>
        </w:rPr>
        <w:t>Overall survival (“OS”): HIFU group showed lower overall mortality (9.2%) compared to EBRT (16.7%) after IPTW adjustment.</w:t>
      </w:r>
    </w:p>
    <w:p>
      <w:pPr>
        <w:spacing w:after="0" w:line="1" w:lineRule="exact"/>
        <w:rPr>
          <w:rFonts w:ascii="Arial" w:cs="Arial" w:eastAsia="Arial" w:hAnsi="Arial"/>
          <w:sz w:val="20"/>
          <w:szCs w:val="20"/>
          <w:color w:val="auto"/>
        </w:rPr>
      </w:pPr>
    </w:p>
    <w:p>
      <w:pPr>
        <w:ind w:left="720" w:right="80" w:hanging="354"/>
        <w:spacing w:after="0" w:line="246" w:lineRule="auto"/>
        <w:tabs>
          <w:tab w:leader="none" w:pos="720" w:val="left"/>
        </w:tabs>
        <w:numPr>
          <w:ilvl w:val="0"/>
          <w:numId w:val="9"/>
        </w:numPr>
        <w:rPr>
          <w:rFonts w:ascii="Arial" w:cs="Arial" w:eastAsia="Arial" w:hAnsi="Arial"/>
          <w:sz w:val="20"/>
          <w:szCs w:val="20"/>
          <w:color w:val="auto"/>
        </w:rPr>
      </w:pPr>
      <w:r>
        <w:rPr>
          <w:rFonts w:ascii="Times New Roman" w:cs="Times New Roman" w:eastAsia="Times New Roman" w:hAnsi="Times New Roman"/>
          <w:sz w:val="20"/>
          <w:szCs w:val="20"/>
          <w:color w:val="auto"/>
        </w:rPr>
        <w:t>Cancer-specific survival (“CSS”): Similar rates between HIFU (5.4%) and EBRT (9.2%), with a trend favoring HIFU in stage IIa patients.</w:t>
      </w:r>
    </w:p>
    <w:p>
      <w:pPr>
        <w:ind w:left="720" w:right="620" w:hanging="354"/>
        <w:spacing w:after="0" w:line="278" w:lineRule="auto"/>
        <w:tabs>
          <w:tab w:leader="none" w:pos="720" w:val="left"/>
        </w:tabs>
        <w:numPr>
          <w:ilvl w:val="0"/>
          <w:numId w:val="9"/>
        </w:numPr>
        <w:rPr>
          <w:rFonts w:ascii="Arial" w:cs="Arial" w:eastAsia="Arial" w:hAnsi="Arial"/>
          <w:sz w:val="20"/>
          <w:szCs w:val="20"/>
          <w:color w:val="auto"/>
        </w:rPr>
      </w:pPr>
      <w:r>
        <w:rPr>
          <w:rFonts w:ascii="Times New Roman" w:cs="Times New Roman" w:eastAsia="Times New Roman" w:hAnsi="Times New Roman"/>
          <w:sz w:val="20"/>
          <w:szCs w:val="20"/>
          <w:color w:val="auto"/>
        </w:rPr>
        <w:t>Hazard ratios for OS: EBRT was associated with a 2.03–2.63× higher risk of mortality across univariate, multivariate, and IPTW-adjusted models (p &lt; 0.05).</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Other Prostate Cancer Publications</w:t>
      </w:r>
    </w:p>
    <w:p>
      <w:pPr>
        <w:spacing w:after="0" w:line="19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9"/>
          <w:szCs w:val="19"/>
          <w:color w:val="auto"/>
        </w:rPr>
        <w:t>In October 2025, Rosta G. et al. published in the journal of Cancers, their prospective multicentre study in 51 patients with localized low- or intermediate-risk prostate cancer treated with MRI-guided focal HIFU (Focal One) across three Austrian centres (2021–2024). At 24 months, failure-free survival was 94.1%, with only 5.9% requiring salvage radiotherapy, and</w:t>
      </w:r>
    </w:p>
    <w:p>
      <w:pPr>
        <w:sectPr>
          <w:pgSz w:w="12240" w:h="15840" w:orient="portrait"/>
          <w:cols w:equalWidth="0" w:num="1">
            <w:col w:w="9720"/>
          </w:cols>
          <w:pgMar w:left="1260" w:top="1250" w:right="1260" w:bottom="723" w:gutter="0" w:footer="0" w:header="0"/>
        </w:sectPr>
      </w:pPr>
    </w:p>
    <w:p>
      <w:pPr>
        <w:spacing w:after="0" w:line="200" w:lineRule="exact"/>
        <w:rPr>
          <w:sz w:val="20"/>
          <w:szCs w:val="20"/>
          <w:color w:val="auto"/>
        </w:rPr>
      </w:pPr>
    </w:p>
    <w:p>
      <w:pPr>
        <w:spacing w:after="0" w:line="40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w:t>
      </w:r>
    </w:p>
    <w:p>
      <w:pPr>
        <w:sectPr>
          <w:pgSz w:w="12240" w:h="15840" w:orient="portrait"/>
          <w:cols w:equalWidth="0" w:num="1">
            <w:col w:w="9720"/>
          </w:cols>
          <w:pgMar w:left="1260" w:top="1250" w:right="1260" w:bottom="723" w:gutter="0" w:footer="0" w:header="0"/>
          <w:type w:val="continuous"/>
        </w:sectPr>
      </w:pPr>
    </w:p>
    <w:bookmarkStart w:id="9" w:name="page10"/>
    <w:bookmarkEnd w:id="9"/>
    <w:p>
      <w:pPr>
        <w:spacing w:after="0" w:line="279"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795655</wp:posOffset>
            </wp:positionH>
            <wp:positionV relativeFrom="page">
              <wp:posOffset>292735</wp:posOffset>
            </wp:positionV>
            <wp:extent cx="929005" cy="1149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8">
                      <a:extLst>
                        <a:ext uri="{28A0092B-C50C-407E-A947-70E740481C1C}"/>
                      </a:extLst>
                    </a:blip>
                    <a:srcRect/>
                    <a:stretch>
                      <a:fillRect/>
                    </a:stretch>
                  </pic:blipFill>
                  <pic:spPr bwMode="auto">
                    <a:xfrm>
                      <a:off x="0" y="0"/>
                      <a:ext cx="929005" cy="114935"/>
                    </a:xfrm>
                    <a:prstGeom prst="rect">
                      <a:avLst/>
                    </a:prstGeom>
                    <a:noFill/>
                  </pic:spPr>
                </pic:pic>
              </a:graphicData>
            </a:graphic>
          </wp:anchor>
        </w:drawing>
        <w:t>84% of patients with follow-up biopsy were cancer-free. PSA levels fell by 69% at 3 months and remained under 3 ng/mL at 24 months.</w:t>
      </w:r>
    </w:p>
    <w:p>
      <w:pPr>
        <w:spacing w:after="0" w:line="154" w:lineRule="exact"/>
        <w:rPr>
          <w:sz w:val="20"/>
          <w:szCs w:val="20"/>
          <w:color w:val="auto"/>
        </w:rPr>
      </w:pPr>
    </w:p>
    <w:p>
      <w:pPr>
        <w:ind w:right="200"/>
        <w:spacing w:after="0" w:line="252" w:lineRule="auto"/>
        <w:rPr>
          <w:sz w:val="20"/>
          <w:szCs w:val="20"/>
          <w:color w:val="auto"/>
        </w:rPr>
      </w:pPr>
      <w:r>
        <w:rPr>
          <w:rFonts w:ascii="Times New Roman" w:cs="Times New Roman" w:eastAsia="Times New Roman" w:hAnsi="Times New Roman"/>
          <w:sz w:val="20"/>
          <w:szCs w:val="20"/>
          <w:color w:val="auto"/>
        </w:rPr>
        <w:t>Treatment was well tolerated, no Clavien–</w:t>
      </w:r>
      <w:r>
        <w:rPr>
          <w:rFonts w:ascii="Arial" w:cs="Arial" w:eastAsia="Arial" w:hAnsi="Arial"/>
          <w:sz w:val="20"/>
          <w:szCs w:val="20"/>
          <w:color w:val="auto"/>
        </w:rPr>
        <w:t>Dindo grade ≥ 4 events were reported. IPSS returned to or improved beyond</w:t>
      </w:r>
      <w:r>
        <w:rPr>
          <w:rFonts w:ascii="Times New Roman" w:cs="Times New Roman" w:eastAsia="Times New Roman" w:hAnsi="Times New Roman"/>
          <w:sz w:val="20"/>
          <w:szCs w:val="20"/>
          <w:color w:val="auto"/>
        </w:rPr>
        <w:t xml:space="preserve"> baseline, erectile function largely recovered by 6–12 months, and only one new case of grade 2 incontinence was observed. The study concluded that MRI- guided focal HIFU provides high two-year failure-free survival with low morbidity and preserved quality of life in carefully selected patients.</w:t>
      </w:r>
    </w:p>
    <w:p>
      <w:pPr>
        <w:spacing w:after="0" w:line="153"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20"/>
          <w:szCs w:val="20"/>
          <w:color w:val="auto"/>
        </w:rPr>
        <w:t>In August 2025, Olivares R. et al. reported the first clinical experience of telesurgery using high-intensity focused ultrasound (HIFU) for localized prostate cancer. A 72-year-old patient with ISUP Grade Group 2 disease was treated remotely from Cleveland, USA, while located in Abu Dhabi, UAE, over 11,412 km, with no complications and minimal blood loss. This case demonstrates the safety and feasibility of HIFU telesurgery and its potential to expand access to specialized care in remote regions.</w:t>
      </w:r>
    </w:p>
    <w:p>
      <w:pPr>
        <w:spacing w:after="0" w:line="156"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20"/>
          <w:szCs w:val="20"/>
          <w:color w:val="auto"/>
        </w:rPr>
        <w:t>In November 2023, Rischmann P. et al. published in the journal of Progrès en Urologie their preliminary results on salvage HIFU for local recurrence after first-line radiotherapy in 531 patients. This HIFI-2 study was developed as part of the “Forfait Innovation” program to evaluate the efficacy and safety of HIFU in the salvage treatment of localized prostate cancer (“PCa”) after failure of first-line radiotherapy. This is a prospective, multicenter, open-label study within the framework of the Forfait Innovation program, promoted by the AFU. Thirty months after post-radiotherapy salvage HIFU, 72% of patients were spared hormonal treatment. Pre-therapy PSA and Gleason score data suggest a better outcome (up to 85% HT-free survival at 30 months) when, in the presence of biological recurrence after radiotherapy, a recommendation is made for earlier management. Following the completion of the study and the presentation of the final results, the full manuscript is expected to be submitted for publication in a peer-reviewed journal in 2026.</w:t>
      </w:r>
    </w:p>
    <w:p>
      <w:pPr>
        <w:spacing w:after="0" w:line="158"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20"/>
          <w:szCs w:val="20"/>
          <w:color w:val="auto"/>
        </w:rPr>
        <w:t>In November 2023, Mala KS, et al., from Berlin Charité University Medicine, Germany, published in the Journal of Clinical Medicine their results on their retrospective study on 57 patients with localized PCa using HIFU with Focal One. HIFU treatment was performed as focal, partial, or hemi ablative, depending on the prior histopathology. Out of 26 men that received biopsy, eight (30.8%) had in-field recurrence. The rate of post-HIFU complications was low, at</w:t>
      </w:r>
    </w:p>
    <w:p>
      <w:pPr>
        <w:spacing w:after="0" w:line="3"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20"/>
          <w:szCs w:val="20"/>
          <w:color w:val="auto"/>
        </w:rPr>
        <w:t>19.3%. Continence was preserved and erectile function was comparatively better than with radical prostatectomy. The study concluded that HIFU as a therapy option for nonmetastatic, significant prostate cancer is effective in the short term for carefully selected patients and shows a low risk of adverse events and side effects.</w:t>
      </w:r>
    </w:p>
    <w:p>
      <w:pPr>
        <w:spacing w:after="0" w:line="146" w:lineRule="exact"/>
        <w:rPr>
          <w:sz w:val="20"/>
          <w:szCs w:val="20"/>
          <w:color w:val="auto"/>
        </w:rPr>
      </w:pPr>
    </w:p>
    <w:p>
      <w:pPr>
        <w:ind w:right="620"/>
        <w:spacing w:after="0"/>
        <w:rPr>
          <w:sz w:val="20"/>
          <w:szCs w:val="20"/>
          <w:color w:val="auto"/>
        </w:rPr>
      </w:pPr>
      <w:r>
        <w:rPr>
          <w:rFonts w:ascii="Times New Roman" w:cs="Times New Roman" w:eastAsia="Times New Roman" w:hAnsi="Times New Roman"/>
          <w:sz w:val="20"/>
          <w:szCs w:val="20"/>
          <w:color w:val="auto"/>
        </w:rPr>
        <w:t>In October 2023, Kaufmann B et al., published in the British Journal of Urology their results on a study aiming at assessing the oncological and functional outcomes of HIFU in treating low to intermediate risk prostate cancer a</w:t>
      </w:r>
    </w:p>
    <w:p>
      <w:pPr>
        <w:spacing w:after="0" w:line="1" w:lineRule="exact"/>
        <w:rPr>
          <w:sz w:val="20"/>
          <w:szCs w:val="20"/>
          <w:color w:val="auto"/>
        </w:rPr>
      </w:pPr>
    </w:p>
    <w:p>
      <w:pPr>
        <w:ind w:right="80"/>
        <w:spacing w:after="0" w:line="239" w:lineRule="auto"/>
        <w:rPr>
          <w:sz w:val="20"/>
          <w:szCs w:val="20"/>
          <w:color w:val="auto"/>
        </w:rPr>
      </w:pPr>
      <w:r>
        <w:rPr>
          <w:rFonts w:ascii="Times New Roman" w:cs="Times New Roman" w:eastAsia="Times New Roman" w:hAnsi="Times New Roman"/>
          <w:sz w:val="20"/>
          <w:szCs w:val="20"/>
          <w:color w:val="auto"/>
        </w:rPr>
        <w:t>3-year prospective study was undertaken using rigid post-ablation saturation biopsies. Patients with either low (6.6%) or intermediate (93%) risk prostate cancer underwent focal ablation around the lesion(s) of interest. All patients</w:t>
      </w:r>
    </w:p>
    <w:p>
      <w:pPr>
        <w:spacing w:after="0" w:line="1" w:lineRule="exact"/>
        <w:rPr>
          <w:sz w:val="20"/>
          <w:szCs w:val="20"/>
          <w:color w:val="auto"/>
        </w:rPr>
      </w:pPr>
    </w:p>
    <w:p>
      <w:pPr>
        <w:ind w:right="280"/>
        <w:spacing w:after="0"/>
        <w:rPr>
          <w:sz w:val="20"/>
          <w:szCs w:val="20"/>
          <w:color w:val="auto"/>
        </w:rPr>
      </w:pPr>
      <w:r>
        <w:rPr>
          <w:rFonts w:ascii="Times New Roman" w:cs="Times New Roman" w:eastAsia="Times New Roman" w:hAnsi="Times New Roman"/>
          <w:sz w:val="20"/>
          <w:szCs w:val="20"/>
          <w:color w:val="auto"/>
        </w:rPr>
        <w:t>had transperineal template saturation biopsy (&gt;20 cores) in-conjunction with MRI guided fusion biopsy. Over half the patients underwent a follow up biopsy. The Failure-Free Survival (“PROMIS”) and salvage-free survival rate at</w:t>
      </w:r>
    </w:p>
    <w:p>
      <w:pPr>
        <w:spacing w:after="0" w:line="1" w:lineRule="exact"/>
        <w:rPr>
          <w:sz w:val="20"/>
          <w:szCs w:val="20"/>
          <w:color w:val="auto"/>
        </w:rPr>
      </w:pPr>
    </w:p>
    <w:p>
      <w:pPr>
        <w:ind w:right="400" w:firstLine="1"/>
        <w:spacing w:after="0" w:line="239" w:lineRule="auto"/>
        <w:rPr>
          <w:sz w:val="20"/>
          <w:szCs w:val="20"/>
          <w:color w:val="auto"/>
        </w:rPr>
      </w:pPr>
      <w:r>
        <w:rPr>
          <w:rFonts w:ascii="Times New Roman" w:cs="Times New Roman" w:eastAsia="Times New Roman" w:hAnsi="Times New Roman"/>
          <w:sz w:val="20"/>
          <w:szCs w:val="20"/>
          <w:color w:val="auto"/>
        </w:rPr>
        <w:t>36 months was 65% and 81% respectively. They concluded that Focal One HIFU treatment for PCa shows excellent functional outcomes with half of the patients remaining cancer-free after three years. The in-field recurrence (GG2 disease or higher) rate is as follows: 18%, 18%, and 17% at six, 12, and 36 months, respectively. Urinary and sexual function remained unchanged per the Expanded Prostate Cancer Index Composite. In their conclusions, the</w:t>
      </w:r>
    </w:p>
    <w:p>
      <w:pPr>
        <w:spacing w:after="0" w:line="3" w:lineRule="exact"/>
        <w:rPr>
          <w:sz w:val="20"/>
          <w:szCs w:val="20"/>
          <w:color w:val="auto"/>
        </w:rPr>
      </w:pPr>
    </w:p>
    <w:p>
      <w:pPr>
        <w:ind w:right="220"/>
        <w:spacing w:after="0" w:line="259" w:lineRule="auto"/>
        <w:rPr>
          <w:sz w:val="20"/>
          <w:szCs w:val="20"/>
          <w:color w:val="auto"/>
        </w:rPr>
      </w:pPr>
      <w:r>
        <w:rPr>
          <w:rFonts w:ascii="Times New Roman" w:cs="Times New Roman" w:eastAsia="Times New Roman" w:hAnsi="Times New Roman"/>
          <w:sz w:val="20"/>
          <w:szCs w:val="20"/>
          <w:color w:val="auto"/>
        </w:rPr>
        <w:t>authors stated: “Whole-gland treatment was avoided in 81% of patients. Early follow-up biopsies are crucial to change or continue the treatment modality at the right time, while the use of MRI and PSA in detecting PCa recurrence is uncertain.”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September 2023, Debard C et Al., from CHU de Pellegrin, Bordeaux, France published in the</w:t>
      </w:r>
    </w:p>
    <w:p>
      <w:pPr>
        <w:ind w:right="140"/>
        <w:spacing w:after="0" w:line="246" w:lineRule="auto"/>
        <w:rPr>
          <w:sz w:val="20"/>
          <w:szCs w:val="20"/>
          <w:color w:val="auto"/>
        </w:rPr>
      </w:pPr>
      <w:r>
        <w:rPr>
          <w:rFonts w:ascii="Times New Roman" w:cs="Times New Roman" w:eastAsia="Times New Roman" w:hAnsi="Times New Roman"/>
          <w:sz w:val="20"/>
          <w:szCs w:val="20"/>
          <w:color w:val="auto"/>
        </w:rPr>
        <w:t xml:space="preserve">journal </w:t>
      </w:r>
      <w:r>
        <w:rPr>
          <w:rFonts w:ascii="Times New Roman" w:cs="Times New Roman" w:eastAsia="Times New Roman" w:hAnsi="Times New Roman"/>
          <w:sz w:val="20"/>
          <w:szCs w:val="20"/>
          <w:i w:val="1"/>
          <w:iCs w:val="1"/>
          <w:color w:val="auto"/>
        </w:rPr>
        <w:t>Progrès en Urologie</w:t>
      </w:r>
      <w:r>
        <w:rPr>
          <w:rFonts w:ascii="Times New Roman" w:cs="Times New Roman" w:eastAsia="Times New Roman" w:hAnsi="Times New Roman"/>
          <w:sz w:val="20"/>
          <w:szCs w:val="20"/>
          <w:color w:val="auto"/>
        </w:rPr>
        <w:t xml:space="preserve"> their results on their retrospective and multicenter study on 137 patients with low - or intermediate-risk localized prostate cancer treated with Focal One. 70% of patients had clinical stage T2, 64% had an ISUP score of 2 or 3 on initial biopsies and 61% were treated with “targeted” ablation. According to the authors, the selection of patients treated with focal therapy is a key point for the success of the technique and the inclusion criteria that varied according to the studies. The authors conclude: “Our results are in agreement with those of the literature, seeming to indicate a lower morbidity of the focal treatment by HIFU compared to the radical treatments while offering an acceptable oncological control.”</w:t>
      </w:r>
    </w:p>
    <w:p>
      <w:pPr>
        <w:sectPr>
          <w:pgSz w:w="12240" w:h="15840" w:orient="portrait"/>
          <w:cols w:equalWidth="0" w:num="1">
            <w:col w:w="9720"/>
          </w:cols>
          <w:pgMar w:left="1260" w:top="1247" w:right="1260" w:bottom="72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w:t>
      </w:r>
    </w:p>
    <w:p>
      <w:pPr>
        <w:sectPr>
          <w:pgSz w:w="12240" w:h="15840" w:orient="portrait"/>
          <w:cols w:equalWidth="0" w:num="1">
            <w:col w:w="9720"/>
          </w:cols>
          <w:pgMar w:left="1260" w:top="1247" w:right="1260" w:bottom="723" w:gutter="0" w:footer="0" w:header="0"/>
          <w:type w:val="continuous"/>
        </w:sectPr>
      </w:pPr>
    </w:p>
    <w:bookmarkStart w:id="10" w:name="page11"/>
    <w:bookmarkEnd w:id="10"/>
    <w:p>
      <w:pPr>
        <w:ind w:right="120"/>
        <w:spacing w:after="0" w:line="239"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795655</wp:posOffset>
            </wp:positionH>
            <wp:positionV relativeFrom="page">
              <wp:posOffset>292735</wp:posOffset>
            </wp:positionV>
            <wp:extent cx="929005" cy="1149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9">
                      <a:extLst>
                        <a:ext uri="{28A0092B-C50C-407E-A947-70E740481C1C}"/>
                      </a:extLst>
                    </a:blip>
                    <a:srcRect/>
                    <a:stretch>
                      <a:fillRect/>
                    </a:stretch>
                  </pic:blipFill>
                  <pic:spPr bwMode="auto">
                    <a:xfrm>
                      <a:off x="0" y="0"/>
                      <a:ext cx="929005" cy="114935"/>
                    </a:xfrm>
                    <a:prstGeom prst="rect">
                      <a:avLst/>
                    </a:prstGeom>
                    <a:noFill/>
                  </pic:spPr>
                </pic:pic>
              </a:graphicData>
            </a:graphic>
          </wp:anchor>
        </w:drawing>
        <w:t>In December 2022, Jung G, et al., from Seoul National University Bundang Hospital, South Korea, published in the journal of Prostate International their results on their propensity score-matched retrospective study on 685 patients who underwent Partial Gland HIFU Ablation (“PGA”) using HIFU with Focal One (137 patients) versus</w:t>
      </w:r>
    </w:p>
    <w:p>
      <w:pPr>
        <w:spacing w:after="0" w:line="2"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20"/>
          <w:szCs w:val="20"/>
          <w:color w:val="auto"/>
        </w:rPr>
        <w:t>robot-assisted radical prostatectomy (548 patients) with a median follow-up period of 22 months. The authors confirmed that PGA HIFU preserves urinary and erectile functions, with a slight/minor loss of efficiency, which remained however very satisfactory (80% success rate efficacy). The results concluded that 5.8% underwent salvage treatment with postoperative incontinence and erectile dysfunction being more favorable in PGA compared to robot-assisted radical prostatectomy.</w:t>
      </w:r>
    </w:p>
    <w:p>
      <w:pPr>
        <w:spacing w:after="0" w:line="154" w:lineRule="exact"/>
        <w:rPr>
          <w:sz w:val="20"/>
          <w:szCs w:val="20"/>
          <w:color w:val="auto"/>
        </w:rPr>
      </w:pPr>
    </w:p>
    <w:p>
      <w:pPr>
        <w:ind w:right="160"/>
        <w:spacing w:after="0"/>
        <w:rPr>
          <w:sz w:val="20"/>
          <w:szCs w:val="20"/>
          <w:color w:val="auto"/>
        </w:rPr>
      </w:pPr>
      <w:r>
        <w:rPr>
          <w:rFonts w:ascii="Times New Roman" w:cs="Times New Roman" w:eastAsia="Times New Roman" w:hAnsi="Times New Roman"/>
          <w:sz w:val="20"/>
          <w:szCs w:val="20"/>
          <w:color w:val="auto"/>
        </w:rPr>
        <w:t>In October 2022, De Luca et al., from San Luigi Gonzaga University Hospital, Italy published in the Minerva Urology and Nephrology journal their results on their prospective study on 100 patients with low- to intermediate-risk prostate cancer that received customized HIFU ablation by Focal One with 12 months of follow up: 15 patients underwent total ablation, 50 patients hemi-ablation and 35 patients focal ablation. Control biopsy at 12 months of the HIFU-treated zone was negative in 80% for total ablation, 84% for partial and 80% for focal ablation with in-field reoccurrence being less than 10% after hemi-ablation. Patients had postoperative excellent quality of life with lower</w:t>
      </w:r>
    </w:p>
    <w:p>
      <w:pPr>
        <w:spacing w:after="0" w:line="1" w:lineRule="exact"/>
        <w:rPr>
          <w:sz w:val="20"/>
          <w:szCs w:val="20"/>
          <w:color w:val="auto"/>
        </w:rPr>
      </w:pPr>
    </w:p>
    <w:p>
      <w:pPr>
        <w:ind w:right="80"/>
        <w:spacing w:after="0" w:line="279" w:lineRule="auto"/>
        <w:rPr>
          <w:sz w:val="20"/>
          <w:szCs w:val="20"/>
          <w:color w:val="auto"/>
        </w:rPr>
      </w:pPr>
      <w:r>
        <w:rPr>
          <w:rFonts w:ascii="Times New Roman" w:cs="Times New Roman" w:eastAsia="Times New Roman" w:hAnsi="Times New Roman"/>
          <w:sz w:val="20"/>
          <w:szCs w:val="20"/>
          <w:color w:val="auto"/>
        </w:rPr>
        <w:t>rate of irritative symptoms and negligible impact on voiding and erectile function scores. 100% of patients that received focal and partial HIFU ablation retained potency.</w:t>
      </w:r>
    </w:p>
    <w:p>
      <w:pPr>
        <w:spacing w:after="0" w:line="125" w:lineRule="exact"/>
        <w:rPr>
          <w:sz w:val="20"/>
          <w:szCs w:val="20"/>
          <w:color w:val="auto"/>
        </w:rPr>
      </w:pPr>
    </w:p>
    <w:p>
      <w:pPr>
        <w:jc w:val="both"/>
        <w:ind w:right="60"/>
        <w:spacing w:after="0" w:line="252" w:lineRule="auto"/>
        <w:rPr>
          <w:sz w:val="20"/>
          <w:szCs w:val="20"/>
          <w:color w:val="auto"/>
        </w:rPr>
      </w:pPr>
      <w:r>
        <w:rPr>
          <w:rFonts w:ascii="Times New Roman" w:cs="Times New Roman" w:eastAsia="Times New Roman" w:hAnsi="Times New Roman"/>
          <w:sz w:val="20"/>
          <w:szCs w:val="20"/>
          <w:color w:val="auto"/>
        </w:rPr>
        <w:t>In February 2022, Hong et al., from Seoul National University Bundang Hospital, South Korea, published in the Journal of Society Urological Oncology their results on their retrospective study on 163 patients who underwent PGA by Focal One with a median follow up period of 17 months. The results concluded that the PGA with HIFU was safe and showed good preservation of functional outcomes as well as satisfactory oncological control.</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Endometriosis Publications</w:t>
      </w:r>
    </w:p>
    <w:p>
      <w:pPr>
        <w:spacing w:after="0" w:line="196" w:lineRule="exact"/>
        <w:rPr>
          <w:sz w:val="20"/>
          <w:szCs w:val="20"/>
          <w:color w:val="auto"/>
        </w:rPr>
      </w:pPr>
    </w:p>
    <w:p>
      <w:pPr>
        <w:ind w:right="180"/>
        <w:spacing w:after="0" w:line="246" w:lineRule="auto"/>
        <w:rPr>
          <w:sz w:val="20"/>
          <w:szCs w:val="20"/>
          <w:color w:val="auto"/>
        </w:rPr>
      </w:pPr>
      <w:r>
        <w:rPr>
          <w:rFonts w:ascii="Times New Roman" w:cs="Times New Roman" w:eastAsia="Times New Roman" w:hAnsi="Times New Roman"/>
          <w:sz w:val="20"/>
          <w:szCs w:val="20"/>
          <w:color w:val="auto"/>
        </w:rPr>
        <w:t>In August 2025, Dubernard G. et al. from Croix Rousse Hospital, Lyon, France, published a comparative retrospective bicentric study in Int J Gynecol Obstet. evaluating high-intensity focused ultrasound (HIFU) versus surgery for rectal endometriosis in 120 patients (60 per group). At 6 months, HIFU was associated with significantly lower complication rates (Clavien–Dindo grade 2: 3.3% vs 21.7%; grade 3: 0% vs 10%) and shorter hospitalization (1 vs 3 days). Both groups showed significant improvement in pain, bowel, and urinary symptoms, as well as in FSFI, KESS, and Wexner scores and overall health status. HIFU provided comparable symptom relief and quality -of-life outcomes to surgery while markedly reducing postoperative morbidity in patients with a single rectal lesion.</w:t>
      </w:r>
    </w:p>
    <w:p>
      <w:pPr>
        <w:spacing w:after="0" w:line="162"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In May 2024, Dubernard G. et al, from Croix Rousse Hospital, Lyon, France, published in Human Reproduction journal, the results of a prospective multicenter cohort study. This study was conducted between 2020 and 2022 with 60 patients with symptomatic rectal endometriosis. The study demonstrated the safety of a 30% increase in the intensity of HIFU in the treatment of rectal endometriosis, with no Clavien–Dindo Grade III complications overall, and namely no rectovaginal fistulae.</w:t>
      </w:r>
    </w:p>
    <w:p>
      <w:pPr>
        <w:spacing w:after="0" w:line="156" w:lineRule="exact"/>
        <w:rPr>
          <w:sz w:val="20"/>
          <w:szCs w:val="20"/>
          <w:color w:val="auto"/>
        </w:rPr>
      </w:pPr>
    </w:p>
    <w:p>
      <w:pPr>
        <w:ind w:right="160"/>
        <w:spacing w:after="0" w:line="249" w:lineRule="auto"/>
        <w:rPr>
          <w:sz w:val="20"/>
          <w:szCs w:val="20"/>
          <w:color w:val="auto"/>
        </w:rPr>
      </w:pPr>
      <w:r>
        <w:rPr>
          <w:rFonts w:ascii="Times New Roman" w:cs="Times New Roman" w:eastAsia="Times New Roman" w:hAnsi="Times New Roman"/>
          <w:sz w:val="20"/>
          <w:szCs w:val="20"/>
          <w:color w:val="auto"/>
        </w:rPr>
        <w:t>In September 2020, Philip CA et al, from Croix Rousse Hospital, Lyon, France, published in Ultrasound Obstetric Gynecology journal, the results of the treatment of 20 patients with deep recto vaginal endometriosis using Focal One HIFU. This EDAP-sponsored study is the first study on the use of HIFU in this indication. The authors reported very promising results with low morbidity and significant efficiency on intestinal and gynecological symptoms as well as in the quality of life.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Research and Development</w:t>
      </w:r>
    </w:p>
    <w:p>
      <w:pPr>
        <w:spacing w:after="0" w:line="203" w:lineRule="exact"/>
        <w:rPr>
          <w:sz w:val="20"/>
          <w:szCs w:val="20"/>
          <w:color w:val="auto"/>
        </w:rPr>
      </w:pPr>
    </w:p>
    <w:p>
      <w:pPr>
        <w:jc w:val="both"/>
        <w:ind w:right="320"/>
        <w:spacing w:after="0" w:line="252" w:lineRule="auto"/>
        <w:rPr>
          <w:sz w:val="20"/>
          <w:szCs w:val="20"/>
          <w:color w:val="auto"/>
        </w:rPr>
      </w:pPr>
      <w:r>
        <w:rPr>
          <w:rFonts w:ascii="Times New Roman" w:cs="Times New Roman" w:eastAsia="Times New Roman" w:hAnsi="Times New Roman"/>
          <w:sz w:val="20"/>
          <w:szCs w:val="20"/>
          <w:color w:val="auto"/>
        </w:rPr>
        <w:t>Our research and development (“R&amp;D”) efforts are focused on expanding the capabilities, clinical applications, and technology portfolio of the Focal One i System. Our strategy is centered on three pillars: (1) advancing imaging and targeting precision, (2) integrating next-generation automation and software intelligence, and (3) expanding into new urologic and non-urologic therapeutic indications.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Advancing Image-Guided Precision and Robotic Performance</w:t>
      </w:r>
    </w:p>
    <w:p>
      <w:pPr>
        <w:spacing w:after="0" w:line="196" w:lineRule="exact"/>
        <w:rPr>
          <w:sz w:val="20"/>
          <w:szCs w:val="20"/>
          <w:color w:val="auto"/>
        </w:rPr>
      </w:pPr>
    </w:p>
    <w:p>
      <w:pPr>
        <w:ind w:right="220"/>
        <w:spacing w:after="0" w:line="306" w:lineRule="auto"/>
        <w:rPr>
          <w:sz w:val="20"/>
          <w:szCs w:val="20"/>
          <w:color w:val="auto"/>
        </w:rPr>
      </w:pPr>
      <w:r>
        <w:rPr>
          <w:rFonts w:ascii="Times New Roman" w:cs="Times New Roman" w:eastAsia="Times New Roman" w:hAnsi="Times New Roman"/>
          <w:sz w:val="19"/>
          <w:szCs w:val="19"/>
          <w:color w:val="auto"/>
        </w:rPr>
        <w:t>At the core of our R&amp;D philosophy is the continual enhancement of targeting precision and procedure reproducibility. The Focal One Robotic Positioning System provides five degrees of freedom with automatic safety features, enabling</w:t>
      </w:r>
    </w:p>
    <w:p>
      <w:pPr>
        <w:sectPr>
          <w:pgSz w:w="12240" w:h="15840" w:orient="portrait"/>
          <w:cols w:equalWidth="0" w:num="1">
            <w:col w:w="9680"/>
          </w:cols>
          <w:pgMar w:left="1260" w:top="1247" w:right="1300" w:bottom="723" w:gutter="0" w:footer="0" w:header="0"/>
        </w:sect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w:t>
      </w:r>
    </w:p>
    <w:p>
      <w:pPr>
        <w:sectPr>
          <w:pgSz w:w="12240" w:h="15840" w:orient="portrait"/>
          <w:cols w:equalWidth="0" w:num="1">
            <w:col w:w="9680"/>
          </w:cols>
          <w:pgMar w:left="1260" w:top="1247" w:right="1300" w:bottom="723" w:gutter="0" w:footer="0" w:header="0"/>
          <w:type w:val="continuous"/>
        </w:sectPr>
      </w:pPr>
    </w:p>
    <w:bookmarkStart w:id="11" w:name="page12"/>
    <w:bookmarkEnd w:id="11"/>
    <w:p>
      <w:pPr>
        <w:ind w:right="220"/>
        <w:spacing w:after="0" w:line="233"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795655</wp:posOffset>
            </wp:positionH>
            <wp:positionV relativeFrom="page">
              <wp:posOffset>292735</wp:posOffset>
            </wp:positionV>
            <wp:extent cx="929005" cy="1149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0">
                      <a:extLst>
                        <a:ext uri="{28A0092B-C50C-407E-A947-70E740481C1C}"/>
                      </a:extLst>
                    </a:blip>
                    <a:srcRect/>
                    <a:stretch>
                      <a:fillRect/>
                    </a:stretch>
                  </pic:blipFill>
                  <pic:spPr bwMode="auto">
                    <a:xfrm>
                      <a:off x="0" y="0"/>
                      <a:ext cx="929005" cy="114935"/>
                    </a:xfrm>
                    <a:prstGeom prst="rect">
                      <a:avLst/>
                    </a:prstGeom>
                    <a:noFill/>
                  </pic:spPr>
                </pic:pic>
              </a:graphicData>
            </a:graphic>
          </wp:anchor>
        </w:drawing>
        <w:t>controlled delivery of HIFU energy in a minimally invasive, incision-free manner. Our proprietary HIFUsion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software allows physicians to import and elastically fuse MRI and 3D biopsy maps directly into the intraoperative workflow, designed to assist physicians in lesion visualization and identification of surrounding anatomical structures.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R&amp;D initiatives in this area include:</w:t>
      </w:r>
    </w:p>
    <w:p>
      <w:pPr>
        <w:spacing w:after="0" w:line="214" w:lineRule="exact"/>
        <w:rPr>
          <w:sz w:val="20"/>
          <w:szCs w:val="20"/>
          <w:color w:val="auto"/>
        </w:rPr>
      </w:pPr>
    </w:p>
    <w:p>
      <w:pPr>
        <w:ind w:left="720" w:hanging="353"/>
        <w:spacing w:after="0"/>
        <w:tabs>
          <w:tab w:leader="none" w:pos="72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20"/>
          <w:szCs w:val="20"/>
          <w:color w:val="auto"/>
        </w:rPr>
        <w:t>Enhancing MRI–ultrasound fusion algorithms to improve lesion margin detection.</w:t>
      </w:r>
    </w:p>
    <w:p>
      <w:pPr>
        <w:spacing w:after="0" w:line="11" w:lineRule="exact"/>
        <w:rPr>
          <w:rFonts w:ascii="Arial" w:cs="Arial" w:eastAsia="Arial" w:hAnsi="Arial"/>
          <w:sz w:val="20"/>
          <w:szCs w:val="20"/>
          <w:color w:val="auto"/>
        </w:rPr>
      </w:pPr>
    </w:p>
    <w:p>
      <w:pPr>
        <w:ind w:left="720" w:right="360" w:hanging="353"/>
        <w:spacing w:after="0" w:line="278" w:lineRule="auto"/>
        <w:tabs>
          <w:tab w:leader="none" w:pos="72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20"/>
          <w:szCs w:val="20"/>
          <w:color w:val="auto"/>
        </w:rPr>
        <w:t>Optimizing the Dynamic Focusing Probe, which integrates real-time ultrasound imaging with precise HIFU energy delivery to increase reach, reduce treatment time, and improve uniformity of energy deposition.</w:t>
      </w:r>
    </w:p>
    <w:p>
      <w:pPr>
        <w:spacing w:after="0" w:line="129" w:lineRule="exact"/>
        <w:rPr>
          <w:sz w:val="20"/>
          <w:szCs w:val="20"/>
          <w:color w:val="auto"/>
        </w:rPr>
      </w:pPr>
    </w:p>
    <w:p>
      <w:pPr>
        <w:ind w:right="40"/>
        <w:spacing w:after="0" w:line="448" w:lineRule="auto"/>
        <w:rPr>
          <w:sz w:val="20"/>
          <w:szCs w:val="20"/>
          <w:color w:val="auto"/>
        </w:rPr>
      </w:pPr>
      <w:r>
        <w:rPr>
          <w:rFonts w:ascii="Times New Roman" w:cs="Times New Roman" w:eastAsia="Times New Roman" w:hAnsi="Times New Roman"/>
          <w:sz w:val="20"/>
          <w:szCs w:val="20"/>
          <w:color w:val="auto"/>
        </w:rPr>
        <w:t xml:space="preserve">These initiatives are intended to expand procedural reproducibility and workflow standardization across clinical settings. </w:t>
      </w:r>
      <w:r>
        <w:rPr>
          <w:rFonts w:ascii="Times New Roman" w:cs="Times New Roman" w:eastAsia="Times New Roman" w:hAnsi="Times New Roman"/>
          <w:sz w:val="20"/>
          <w:szCs w:val="20"/>
          <w:i w:val="1"/>
          <w:iCs w:val="1"/>
          <w:color w:val="auto"/>
        </w:rPr>
        <w:t>Next-Generation Imaging, Software Intelligence, and AI-Enabled Automation</w:t>
      </w:r>
    </w:p>
    <w:p>
      <w:pPr>
        <w:spacing w:after="0" w:line="1"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We continue to invest in expanding the underlying imaging and software capabilities of the Focal One system. In 2025, the FDA granted 510(k) clearance for new ultrasound imaging and workflow enhancements, adding advanced real-time visualization, streamlined treatment planning, and an updated user interface. These enhancements may support the future development of AI-based features, such as automated visualization tools and treatment assessment support, subject to regulatory review and clearance where required.</w:t>
      </w:r>
    </w:p>
    <w:p>
      <w:pPr>
        <w:spacing w:after="0" w:line="156" w:lineRule="exact"/>
        <w:rPr>
          <w:sz w:val="20"/>
          <w:szCs w:val="20"/>
          <w:color w:val="auto"/>
        </w:rPr>
      </w:pPr>
    </w:p>
    <w:p>
      <w:pPr>
        <w:ind w:right="20"/>
        <w:spacing w:after="0" w:line="279" w:lineRule="auto"/>
        <w:rPr>
          <w:sz w:val="20"/>
          <w:szCs w:val="20"/>
          <w:color w:val="auto"/>
        </w:rPr>
      </w:pPr>
      <w:r>
        <w:rPr>
          <w:rFonts w:ascii="Times New Roman" w:cs="Times New Roman" w:eastAsia="Times New Roman" w:hAnsi="Times New Roman"/>
          <w:sz w:val="20"/>
          <w:szCs w:val="20"/>
          <w:color w:val="auto"/>
        </w:rPr>
        <w:t>We are evaluating potential applications of AI within our platform, and our R&amp;D teams are developing architectures that can support:</w:t>
      </w:r>
    </w:p>
    <w:p>
      <w:pPr>
        <w:spacing w:after="0" w:line="140" w:lineRule="exact"/>
        <w:rPr>
          <w:sz w:val="20"/>
          <w:szCs w:val="20"/>
          <w:color w:val="auto"/>
        </w:rPr>
      </w:pPr>
    </w:p>
    <w:p>
      <w:pPr>
        <w:ind w:left="720" w:hanging="353"/>
        <w:spacing w:after="0"/>
        <w:tabs>
          <w:tab w:leader="none" w:pos="720" w:val="left"/>
        </w:tabs>
        <w:numPr>
          <w:ilvl w:val="0"/>
          <w:numId w:val="11"/>
        </w:numPr>
        <w:rPr>
          <w:rFonts w:ascii="Arial" w:cs="Arial" w:eastAsia="Arial" w:hAnsi="Arial"/>
          <w:sz w:val="20"/>
          <w:szCs w:val="20"/>
          <w:color w:val="auto"/>
        </w:rPr>
      </w:pPr>
      <w:r>
        <w:rPr>
          <w:rFonts w:ascii="Times New Roman" w:cs="Times New Roman" w:eastAsia="Times New Roman" w:hAnsi="Times New Roman"/>
          <w:sz w:val="20"/>
          <w:szCs w:val="20"/>
          <w:color w:val="auto"/>
        </w:rPr>
        <w:t>Automated lesion segmentation and treatment-zone prediction;</w:t>
      </w:r>
    </w:p>
    <w:p>
      <w:pPr>
        <w:spacing w:after="0" w:line="13" w:lineRule="exact"/>
        <w:rPr>
          <w:rFonts w:ascii="Arial" w:cs="Arial" w:eastAsia="Arial" w:hAnsi="Arial"/>
          <w:sz w:val="20"/>
          <w:szCs w:val="20"/>
          <w:color w:val="auto"/>
        </w:rPr>
      </w:pPr>
    </w:p>
    <w:p>
      <w:pPr>
        <w:ind w:left="720" w:hanging="353"/>
        <w:spacing w:after="0"/>
        <w:tabs>
          <w:tab w:leader="none" w:pos="720" w:val="left"/>
        </w:tabs>
        <w:numPr>
          <w:ilvl w:val="0"/>
          <w:numId w:val="11"/>
        </w:numPr>
        <w:rPr>
          <w:rFonts w:ascii="Arial" w:cs="Arial" w:eastAsia="Arial" w:hAnsi="Arial"/>
          <w:sz w:val="20"/>
          <w:szCs w:val="20"/>
          <w:color w:val="auto"/>
        </w:rPr>
      </w:pPr>
      <w:r>
        <w:rPr>
          <w:rFonts w:ascii="Times New Roman" w:cs="Times New Roman" w:eastAsia="Times New Roman" w:hAnsi="Times New Roman"/>
          <w:sz w:val="20"/>
          <w:szCs w:val="20"/>
          <w:color w:val="auto"/>
        </w:rPr>
        <w:t>Real-time ablation progress tracking using ultrasound signal interpretation; and</w:t>
      </w:r>
    </w:p>
    <w:p>
      <w:pPr>
        <w:spacing w:after="0" w:line="13" w:lineRule="exact"/>
        <w:rPr>
          <w:rFonts w:ascii="Arial" w:cs="Arial" w:eastAsia="Arial" w:hAnsi="Arial"/>
          <w:sz w:val="20"/>
          <w:szCs w:val="20"/>
          <w:color w:val="auto"/>
        </w:rPr>
      </w:pPr>
    </w:p>
    <w:p>
      <w:pPr>
        <w:ind w:left="720" w:hanging="354"/>
        <w:spacing w:after="0"/>
        <w:tabs>
          <w:tab w:leader="none" w:pos="720" w:val="left"/>
        </w:tabs>
        <w:numPr>
          <w:ilvl w:val="0"/>
          <w:numId w:val="11"/>
        </w:numPr>
        <w:rPr>
          <w:rFonts w:ascii="Arial" w:cs="Arial" w:eastAsia="Arial" w:hAnsi="Arial"/>
          <w:sz w:val="20"/>
          <w:szCs w:val="20"/>
          <w:color w:val="auto"/>
        </w:rPr>
      </w:pPr>
      <w:r>
        <w:rPr>
          <w:rFonts w:ascii="Times New Roman" w:cs="Times New Roman" w:eastAsia="Times New Roman" w:hAnsi="Times New Roman"/>
          <w:sz w:val="20"/>
          <w:szCs w:val="20"/>
          <w:color w:val="auto"/>
        </w:rPr>
        <w:t>Predictive models combining imaging, thermal parameters, and clinical outcomes.</w:t>
      </w:r>
    </w:p>
    <w:p>
      <w:pPr>
        <w:spacing w:after="0" w:line="199" w:lineRule="exact"/>
        <w:rPr>
          <w:sz w:val="20"/>
          <w:szCs w:val="20"/>
          <w:color w:val="auto"/>
        </w:rPr>
      </w:pPr>
    </w:p>
    <w:p>
      <w:pPr>
        <w:ind w:right="820"/>
        <w:spacing w:after="0" w:line="279" w:lineRule="auto"/>
        <w:rPr>
          <w:sz w:val="20"/>
          <w:szCs w:val="20"/>
          <w:color w:val="auto"/>
        </w:rPr>
      </w:pPr>
      <w:r>
        <w:rPr>
          <w:rFonts w:ascii="Times New Roman" w:cs="Times New Roman" w:eastAsia="Times New Roman" w:hAnsi="Times New Roman"/>
          <w:sz w:val="20"/>
          <w:szCs w:val="20"/>
          <w:color w:val="auto"/>
        </w:rPr>
        <w:t>These advancements are intended to expand the functionality of our Focal One i System and support long-term differentiation in a market that increasingly favors intelligent, automation-assisted surgical technologies.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Platform Evolution and Product Roadmap</w:t>
      </w:r>
    </w:p>
    <w:p>
      <w:pPr>
        <w:spacing w:after="0" w:line="196"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20"/>
          <w:szCs w:val="20"/>
          <w:color w:val="auto"/>
        </w:rPr>
        <w:t>We continue to develop the Focal One i platform, which incorporates next-generation imaging hardware and simplified workflows designed to reduce procedure time and increase adoption. The 2025 FDA clearance reflects regulatory authorization of specific enhancements to the Focal One i System, positioning our platform for scalability and differentiation in the evolving market for focal therapy technologies.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long-term roadmap includes:</w:t>
      </w:r>
    </w:p>
    <w:p>
      <w:pPr>
        <w:spacing w:after="0" w:line="214" w:lineRule="exact"/>
        <w:rPr>
          <w:sz w:val="20"/>
          <w:szCs w:val="20"/>
          <w:color w:val="auto"/>
        </w:rPr>
      </w:pPr>
    </w:p>
    <w:p>
      <w:pPr>
        <w:ind w:left="720" w:hanging="354"/>
        <w:spacing w:after="0"/>
        <w:tabs>
          <w:tab w:leader="none" w:pos="720" w:val="left"/>
        </w:tabs>
        <w:numPr>
          <w:ilvl w:val="0"/>
          <w:numId w:val="12"/>
        </w:numPr>
        <w:rPr>
          <w:rFonts w:ascii="Arial" w:cs="Arial" w:eastAsia="Arial" w:hAnsi="Arial"/>
          <w:sz w:val="20"/>
          <w:szCs w:val="20"/>
          <w:color w:val="auto"/>
        </w:rPr>
      </w:pPr>
      <w:r>
        <w:rPr>
          <w:rFonts w:ascii="Times New Roman" w:cs="Times New Roman" w:eastAsia="Times New Roman" w:hAnsi="Times New Roman"/>
          <w:sz w:val="20"/>
          <w:szCs w:val="20"/>
          <w:color w:val="auto"/>
        </w:rPr>
        <w:t>Progressively integrating AI-driven automation;</w:t>
      </w:r>
    </w:p>
    <w:p>
      <w:pPr>
        <w:spacing w:after="0" w:line="13" w:lineRule="exact"/>
        <w:rPr>
          <w:rFonts w:ascii="Arial" w:cs="Arial" w:eastAsia="Arial" w:hAnsi="Arial"/>
          <w:sz w:val="20"/>
          <w:szCs w:val="20"/>
          <w:color w:val="auto"/>
        </w:rPr>
      </w:pPr>
    </w:p>
    <w:p>
      <w:pPr>
        <w:ind w:left="720" w:hanging="354"/>
        <w:spacing w:after="0"/>
        <w:tabs>
          <w:tab w:leader="none" w:pos="720" w:val="left"/>
        </w:tabs>
        <w:numPr>
          <w:ilvl w:val="0"/>
          <w:numId w:val="12"/>
        </w:numPr>
        <w:rPr>
          <w:rFonts w:ascii="Arial" w:cs="Arial" w:eastAsia="Arial" w:hAnsi="Arial"/>
          <w:sz w:val="20"/>
          <w:szCs w:val="20"/>
          <w:color w:val="auto"/>
        </w:rPr>
      </w:pPr>
      <w:r>
        <w:rPr>
          <w:rFonts w:ascii="Times New Roman" w:cs="Times New Roman" w:eastAsia="Times New Roman" w:hAnsi="Times New Roman"/>
          <w:sz w:val="20"/>
          <w:szCs w:val="20"/>
          <w:color w:val="auto"/>
        </w:rPr>
        <w:t>Expanding theranostic capabilities through multi-modal imaging integration;</w:t>
      </w:r>
    </w:p>
    <w:p>
      <w:pPr>
        <w:spacing w:after="0" w:line="13" w:lineRule="exact"/>
        <w:rPr>
          <w:rFonts w:ascii="Arial" w:cs="Arial" w:eastAsia="Arial" w:hAnsi="Arial"/>
          <w:sz w:val="20"/>
          <w:szCs w:val="20"/>
          <w:color w:val="auto"/>
        </w:rPr>
      </w:pPr>
    </w:p>
    <w:p>
      <w:pPr>
        <w:ind w:left="720" w:hanging="355"/>
        <w:spacing w:after="0"/>
        <w:tabs>
          <w:tab w:leader="none" w:pos="720" w:val="left"/>
        </w:tabs>
        <w:numPr>
          <w:ilvl w:val="0"/>
          <w:numId w:val="12"/>
        </w:numPr>
        <w:rPr>
          <w:rFonts w:ascii="Arial" w:cs="Arial" w:eastAsia="Arial" w:hAnsi="Arial"/>
          <w:sz w:val="20"/>
          <w:szCs w:val="20"/>
          <w:color w:val="auto"/>
        </w:rPr>
      </w:pPr>
      <w:r>
        <w:rPr>
          <w:rFonts w:ascii="Times New Roman" w:cs="Times New Roman" w:eastAsia="Times New Roman" w:hAnsi="Times New Roman"/>
          <w:sz w:val="20"/>
          <w:szCs w:val="20"/>
          <w:color w:val="auto"/>
        </w:rPr>
        <w:t>Developing next-generation probes with improved depth, speed, and acoustic efficiency; and</w:t>
      </w:r>
    </w:p>
    <w:p>
      <w:pPr>
        <w:spacing w:after="0" w:line="13" w:lineRule="exact"/>
        <w:rPr>
          <w:rFonts w:ascii="Arial" w:cs="Arial" w:eastAsia="Arial" w:hAnsi="Arial"/>
          <w:sz w:val="20"/>
          <w:szCs w:val="20"/>
          <w:color w:val="auto"/>
        </w:rPr>
      </w:pPr>
    </w:p>
    <w:p>
      <w:pPr>
        <w:ind w:left="720" w:hanging="355"/>
        <w:spacing w:after="0"/>
        <w:tabs>
          <w:tab w:leader="none" w:pos="720" w:val="left"/>
        </w:tabs>
        <w:numPr>
          <w:ilvl w:val="0"/>
          <w:numId w:val="12"/>
        </w:numPr>
        <w:rPr>
          <w:rFonts w:ascii="Arial" w:cs="Arial" w:eastAsia="Arial" w:hAnsi="Arial"/>
          <w:sz w:val="20"/>
          <w:szCs w:val="20"/>
          <w:color w:val="auto"/>
        </w:rPr>
      </w:pPr>
      <w:r>
        <w:rPr>
          <w:rFonts w:ascii="Times New Roman" w:cs="Times New Roman" w:eastAsia="Times New Roman" w:hAnsi="Times New Roman"/>
          <w:sz w:val="20"/>
          <w:szCs w:val="20"/>
          <w:color w:val="auto"/>
        </w:rPr>
        <w:t>Enabling broader interoperability with hospital imaging archives and robotic systems.</w:t>
      </w:r>
    </w:p>
    <w:p>
      <w:pPr>
        <w:spacing w:after="0" w:line="196"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20"/>
          <w:szCs w:val="20"/>
          <w:color w:val="auto"/>
        </w:rPr>
        <w:t>Our R&amp;D investment strategy is intended to create a durable innovation cycle that supports clinical leadership, regulatory expansion, and commercial adoption. With increasing physician demand for non-invasive, tissue-sparing prostate therapy, a rapidly growing evidence base, and expanding capabilities in precision robotics and AI, we believe our R&amp;D strategy is focused on advancing our Focal One i System and expanding its potential clinical applications over time.</w:t>
      </w:r>
    </w:p>
    <w:p>
      <w:pPr>
        <w:sectPr>
          <w:pgSz w:w="12240" w:h="15840" w:orient="portrait"/>
          <w:cols w:equalWidth="0" w:num="1">
            <w:col w:w="9700"/>
          </w:cols>
          <w:pgMar w:left="1260" w:top="1247" w:right="1280" w:bottom="72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ectPr>
          <w:pgSz w:w="12240" w:h="15840" w:orient="portrait"/>
          <w:cols w:equalWidth="0" w:num="1">
            <w:col w:w="9700"/>
          </w:cols>
          <w:pgMar w:left="1260" w:top="1247" w:right="1280" w:bottom="723"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795655</wp:posOffset>
            </wp:positionH>
            <wp:positionV relativeFrom="page">
              <wp:posOffset>292735</wp:posOffset>
            </wp:positionV>
            <wp:extent cx="929005" cy="1149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1">
                      <a:extLst>
                        <a:ext uri="{28A0092B-C50C-407E-A947-70E740481C1C}"/>
                      </a:extLst>
                    </a:blip>
                    <a:srcRect/>
                    <a:stretch>
                      <a:fillRect/>
                    </a:stretch>
                  </pic:blipFill>
                  <pic:spPr bwMode="auto">
                    <a:xfrm>
                      <a:off x="0" y="0"/>
                      <a:ext cx="929005" cy="114935"/>
                    </a:xfrm>
                    <a:prstGeom prst="rect">
                      <a:avLst/>
                    </a:prstGeom>
                    <a:noFill/>
                  </pic:spPr>
                </pic:pic>
              </a:graphicData>
            </a:graphic>
          </wp:anchor>
        </w:drawing>
        <w:t>Intellectual Property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HIFU Technology</w:t>
      </w:r>
    </w:p>
    <w:p>
      <w:pPr>
        <w:spacing w:after="0" w:line="203" w:lineRule="exact"/>
        <w:rPr>
          <w:sz w:val="20"/>
          <w:szCs w:val="20"/>
          <w:color w:val="auto"/>
        </w:rPr>
      </w:pPr>
    </w:p>
    <w:p>
      <w:pPr>
        <w:ind w:right="560"/>
        <w:spacing w:after="0" w:line="259" w:lineRule="auto"/>
        <w:rPr>
          <w:sz w:val="20"/>
          <w:szCs w:val="20"/>
          <w:color w:val="auto"/>
        </w:rPr>
      </w:pPr>
      <w:r>
        <w:rPr>
          <w:rFonts w:ascii="Times New Roman" w:cs="Times New Roman" w:eastAsia="Times New Roman" w:hAnsi="Times New Roman"/>
          <w:sz w:val="20"/>
          <w:szCs w:val="20"/>
          <w:color w:val="auto"/>
        </w:rPr>
        <w:t>Our intellectual property portfolio consists of a broad and expanding collection of patents, patent applications, trademarks, copyrights, trade secrets and other proprietary rights that support our HIFU technologies, systems and associated software.</w:t>
      </w:r>
    </w:p>
    <w:p>
      <w:pPr>
        <w:spacing w:after="0" w:line="146"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0"/>
          <w:szCs w:val="20"/>
          <w:color w:val="auto"/>
        </w:rPr>
        <w:t>As of December 31, 2025, our HIFU division held 71 granted patents and 11 pending patent applications across major jurisdictions worldwide, spanning 14 patent families covering core innovations in therapeutic ultrasound principles, system architecture and control, and the software used to plan, monitor and deliver ultrasound-based therapy. Our issued patents are scheduled to expire between 2026 and 2045, although we continually seek to expand and refresh our patent portfolio through new filings and continuation applications.</w:t>
      </w:r>
    </w:p>
    <w:p>
      <w:pPr>
        <w:spacing w:after="0" w:line="156" w:lineRule="exact"/>
        <w:rPr>
          <w:sz w:val="20"/>
          <w:szCs w:val="20"/>
          <w:color w:val="auto"/>
        </w:rPr>
      </w:pPr>
    </w:p>
    <w:p>
      <w:pPr>
        <w:ind w:right="40" w:firstLine="1"/>
        <w:spacing w:after="0" w:line="244" w:lineRule="auto"/>
        <w:rPr>
          <w:sz w:val="20"/>
          <w:szCs w:val="20"/>
          <w:color w:val="auto"/>
        </w:rPr>
      </w:pPr>
      <w:r>
        <w:rPr>
          <w:rFonts w:ascii="Times New Roman" w:cs="Times New Roman" w:eastAsia="Times New Roman" w:hAnsi="Times New Roman"/>
          <w:sz w:val="20"/>
          <w:szCs w:val="20"/>
          <w:color w:val="auto"/>
        </w:rPr>
        <w:t>Our ongoing research and development objectives are to maintain our leadership position in the treatment of prostate cancer and to extend the HIFU technology to new applications and minimally invasive systems. These research projects are conducted in cooperation with the French National Institute for Health and Medical Research (“INSERM”) which collaboration gives rise in some cases to the filing of patent applications, followed by the grant of co-owned patents. We have entered into license agreements with INSERM related to certain patents co-owned with INSERM whereby we commit to pay an amount of royalties to INSERM based on a fixed rate of the net revenues generated from the sales of HIFU devices using co-owned patents. Under these agreements, which last for the life of each co-owned patent, we have the exclusive right to the commercial use of the co-owned patents, including the right to out-license such commercial rights. We have an option to obtain an exclusive license from INSERM relating to other patents co-owned with INSERM.</w:t>
      </w:r>
    </w:p>
    <w:p>
      <w:pPr>
        <w:spacing w:after="0" w:line="163" w:lineRule="exact"/>
        <w:rPr>
          <w:sz w:val="20"/>
          <w:szCs w:val="20"/>
          <w:color w:val="auto"/>
        </w:rPr>
      </w:pPr>
    </w:p>
    <w:p>
      <w:pPr>
        <w:ind w:right="140"/>
        <w:spacing w:after="0" w:line="247" w:lineRule="auto"/>
        <w:rPr>
          <w:sz w:val="20"/>
          <w:szCs w:val="20"/>
          <w:color w:val="auto"/>
        </w:rPr>
      </w:pPr>
      <w:r>
        <w:rPr>
          <w:rFonts w:ascii="Times New Roman" w:cs="Times New Roman" w:eastAsia="Times New Roman" w:hAnsi="Times New Roman"/>
          <w:sz w:val="20"/>
          <w:szCs w:val="20"/>
          <w:color w:val="auto"/>
        </w:rPr>
        <w:t>Although we believe that our HIFU patents are valid and should be enforceable against third parties and that our patent applications should, if successfully pursued, result in the issuance of additional enforceable patents, there can be no assurance that any or all of these patents or patent applications, if issued, will provide effective protection for the HIFU division’s proprietary rights in such technology. HIFU devices, as they are currently or may in the future be designed, may also be subject to claims of infringement of patents owned by third parties, which could result in an adverse effect on our ability to market HIFU systems. See Item 1A, “Risk Factors—Risks Relating to Intellectual Property Rights.”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ESWL Technology</w:t>
      </w:r>
    </w:p>
    <w:p>
      <w:pPr>
        <w:spacing w:after="0" w:line="203"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20"/>
          <w:szCs w:val="20"/>
          <w:color w:val="auto"/>
        </w:rPr>
        <w:t>As of December 31, 2025, our ESWL division held 15 granted patents across major jurisdictions worldwide, spanning 4 patent families covering technologies relating to ESWL systems and associated software capabilities, including both piezoelectric and electroconductive technologies associated with ESWL generators, localization systems, and device design. Our issued patents are scheduled to expire between 2027 and 2031.</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Markets and Customers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Our Market</w:t>
      </w:r>
    </w:p>
    <w:p>
      <w:pPr>
        <w:spacing w:after="0" w:line="196"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color w:val="auto"/>
        </w:rPr>
        <w:t>Prostate cancer is among the most commonly diagnosed cancers in men globally and is a leading cause of cancer-related mortality. In the United States, the American Cancer Society estimates the number of new prostate cancers to be diagnosed in 2026 to be approximately 333,830, of which approximately 70% are diagnosed with localized stage prostate cancer. Additionally, we estimate, based on figures provided by the World Health Organization, that the worldwide incidence of localized prostate cancer is approximately 1.5 million new cases every year. A more effective diagnostic method for prostate cancer, the PSA test, has increased public awareness of the disease in developed countries since its introduction. PSA levels jump sharply when cancer is present. Prostate cancer is an age-related disease, and its incidence in developed countries is expected to increase as the population ages.</w:t>
      </w:r>
    </w:p>
    <w:p>
      <w:pPr>
        <w:spacing w:after="0" w:line="162" w:lineRule="exact"/>
        <w:rPr>
          <w:sz w:val="20"/>
          <w:szCs w:val="20"/>
          <w:color w:val="auto"/>
        </w:rPr>
      </w:pPr>
    </w:p>
    <w:p>
      <w:pPr>
        <w:ind w:right="500"/>
        <w:spacing w:after="0" w:line="259" w:lineRule="auto"/>
        <w:rPr>
          <w:sz w:val="20"/>
          <w:szCs w:val="20"/>
          <w:color w:val="auto"/>
        </w:rPr>
      </w:pPr>
      <w:r>
        <w:rPr>
          <w:rFonts w:ascii="Times New Roman" w:cs="Times New Roman" w:eastAsia="Times New Roman" w:hAnsi="Times New Roman"/>
          <w:sz w:val="20"/>
          <w:szCs w:val="20"/>
          <w:color w:val="auto"/>
        </w:rPr>
        <w:t>According to the Focused Ultrasound Foundation, HIFU has the potential to transform the treatment of a variety of serious medical conditions. All indicators point toward the evolution of HIFU into a robust medical field, including numerous medical conditions, including cardiovascular, neurological, urological or women’s health.</w:t>
      </w:r>
    </w:p>
    <w:p>
      <w:pPr>
        <w:sectPr>
          <w:pgSz w:w="12240" w:h="15840" w:orient="portrait"/>
          <w:cols w:equalWidth="0" w:num="1">
            <w:col w:w="9700"/>
          </w:cols>
          <w:pgMar w:left="1260" w:top="1243" w:right="1280" w:bottom="72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w:t>
      </w:r>
    </w:p>
    <w:p>
      <w:pPr>
        <w:sectPr>
          <w:pgSz w:w="12240" w:h="15840" w:orient="portrait"/>
          <w:cols w:equalWidth="0" w:num="1">
            <w:col w:w="9700"/>
          </w:cols>
          <w:pgMar w:left="1260" w:top="1243" w:right="1280" w:bottom="723" w:gutter="0" w:footer="0" w:header="0"/>
          <w:type w:val="continuous"/>
        </w:sectPr>
      </w:pPr>
    </w:p>
    <w:bookmarkStart w:id="13" w:name="page14"/>
    <w:bookmarkEnd w:id="13"/>
    <w:p>
      <w:pPr>
        <w:ind w:right="60"/>
        <w:spacing w:after="0" w:line="252"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795655</wp:posOffset>
            </wp:positionH>
            <wp:positionV relativeFrom="page">
              <wp:posOffset>292735</wp:posOffset>
            </wp:positionV>
            <wp:extent cx="929005" cy="1149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2">
                      <a:extLst>
                        <a:ext uri="{28A0092B-C50C-407E-A947-70E740481C1C}"/>
                      </a:extLst>
                    </a:blip>
                    <a:srcRect/>
                    <a:stretch>
                      <a:fillRect/>
                    </a:stretch>
                  </pic:blipFill>
                  <pic:spPr bwMode="auto">
                    <a:xfrm>
                      <a:off x="0" y="0"/>
                      <a:ext cx="929005" cy="114935"/>
                    </a:xfrm>
                    <a:prstGeom prst="rect">
                      <a:avLst/>
                    </a:prstGeom>
                    <a:noFill/>
                  </pic:spPr>
                </pic:pic>
              </a:graphicData>
            </a:graphic>
          </wp:anchor>
        </w:drawing>
        <w:t>BPH, another widespread prostate condition, is potentially addressable with the same approach and Focal One platform. According to the Urologic Clinics of North America Journal, as many as 15 million men in the United States have symptoms of BPH and it is estimated that more than 400,000 surgical procedures are performed every year to treat these symptoms.</w:t>
      </w:r>
    </w:p>
    <w:p>
      <w:pPr>
        <w:spacing w:after="0" w:line="153" w:lineRule="exact"/>
        <w:rPr>
          <w:sz w:val="20"/>
          <w:szCs w:val="20"/>
          <w:color w:val="auto"/>
        </w:rPr>
      </w:pPr>
    </w:p>
    <w:p>
      <w:pPr>
        <w:ind w:right="400"/>
        <w:spacing w:after="0"/>
        <w:rPr>
          <w:sz w:val="20"/>
          <w:szCs w:val="20"/>
          <w:color w:val="auto"/>
        </w:rPr>
      </w:pPr>
      <w:r>
        <w:rPr>
          <w:rFonts w:ascii="Times New Roman" w:cs="Times New Roman" w:eastAsia="Times New Roman" w:hAnsi="Times New Roman"/>
          <w:sz w:val="20"/>
          <w:szCs w:val="20"/>
          <w:color w:val="auto"/>
        </w:rPr>
        <w:t>The endorectal approach currently delivered by the Focal One Robotic HIFU system is being evaluated for potential application. The European Society of Human Reproduction and Embryology estimates that endometriosis</w:t>
      </w:r>
    </w:p>
    <w:p>
      <w:pPr>
        <w:spacing w:after="0" w:line="1"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20"/>
          <w:szCs w:val="20"/>
          <w:color w:val="auto"/>
        </w:rPr>
        <w:t>affects approximately 10% of women of reproductive age. Among them, 5-12% are affected by digestive endometriosis, of which 90% suffer from infiltration of the rectum. As such, we estimate that 1% of the women of reproductive age could possibly benefit from a minimally invasive HIFU treatment.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Our Customers</w:t>
      </w:r>
    </w:p>
    <w:p>
      <w:pPr>
        <w:spacing w:after="0" w:line="196"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20"/>
          <w:szCs w:val="20"/>
          <w:color w:val="auto"/>
        </w:rPr>
        <w:t>Our customers are located worldwide and include academic, public, and private hospitals as well as clinics. We primarily market to urologists who treat patients with prostate cancer and other urological conditions. As a result of our expansion to new clinical indications, we are now starting to market to gynecologists in select markets on the potential of Focal One in the treatment of DIE. No single customer represents a significant portion of our HIFU installed base.</w:t>
      </w: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operate globally, with sales in the United States, Europe, Asia and other international markets.</w:t>
      </w:r>
    </w:p>
    <w:p>
      <w:pPr>
        <w:spacing w:after="0" w:line="200"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20"/>
          <w:szCs w:val="20"/>
          <w:color w:val="auto"/>
        </w:rPr>
        <w:t>We believe potential long-term growth may be influenced by factors including expanded clinical evidence, increased adoption of non-surgical approaches, broader reimbursement coverage, and continued penetration of the U.S. market as well as other major international territories.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Sales and Marketing</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market and sell our core Focal One i System and related products through our own direct marketing and sales</w:t>
      </w:r>
    </w:p>
    <w:p>
      <w:pPr>
        <w:spacing w:after="0"/>
        <w:rPr>
          <w:sz w:val="20"/>
          <w:szCs w:val="20"/>
          <w:color w:val="auto"/>
        </w:rPr>
      </w:pPr>
      <w:r>
        <w:rPr>
          <w:rFonts w:ascii="Times New Roman" w:cs="Times New Roman" w:eastAsia="Times New Roman" w:hAnsi="Times New Roman"/>
          <w:sz w:val="20"/>
          <w:szCs w:val="20"/>
          <w:color w:val="auto"/>
        </w:rPr>
        <w:t>channels as well as through select third-party distributors and agents in several countries. Using our direct subsidiaries or</w:t>
      </w:r>
    </w:p>
    <w:p>
      <w:pPr>
        <w:spacing w:after="0"/>
        <w:rPr>
          <w:sz w:val="20"/>
          <w:szCs w:val="20"/>
          <w:color w:val="auto"/>
        </w:rPr>
      </w:pPr>
      <w:r>
        <w:rPr>
          <w:rFonts w:ascii="Times New Roman" w:cs="Times New Roman" w:eastAsia="Times New Roman" w:hAnsi="Times New Roman"/>
          <w:sz w:val="20"/>
          <w:szCs w:val="20"/>
          <w:color w:val="auto"/>
        </w:rPr>
        <w:t>representative offices networks, we maintain a direct marketing and sales force in the United States, France,</w:t>
      </w:r>
    </w:p>
    <w:p>
      <w:pPr>
        <w:spacing w:after="0"/>
        <w:rPr>
          <w:sz w:val="20"/>
          <w:szCs w:val="20"/>
          <w:color w:val="auto"/>
        </w:rPr>
      </w:pPr>
      <w:r>
        <w:rPr>
          <w:rFonts w:ascii="Times New Roman" w:cs="Times New Roman" w:eastAsia="Times New Roman" w:hAnsi="Times New Roman"/>
          <w:sz w:val="20"/>
          <w:szCs w:val="20"/>
          <w:color w:val="auto"/>
        </w:rPr>
        <w:t>Germany, United Kingdom, Switzerland, Scandinavia, Malaysia and South Korea, which currently represent our largest</w:t>
      </w:r>
    </w:p>
    <w:p>
      <w:pPr>
        <w:spacing w:after="0"/>
        <w:rPr>
          <w:sz w:val="20"/>
          <w:szCs w:val="20"/>
          <w:color w:val="auto"/>
        </w:rPr>
      </w:pPr>
      <w:r>
        <w:rPr>
          <w:rFonts w:ascii="Times New Roman" w:cs="Times New Roman" w:eastAsia="Times New Roman" w:hAnsi="Times New Roman"/>
          <w:sz w:val="20"/>
          <w:szCs w:val="20"/>
          <w:color w:val="auto"/>
        </w:rPr>
        <w:t>markets. Additionally, we market and sell our products through our network of distribution partners in the rest of</w:t>
      </w:r>
    </w:p>
    <w:p>
      <w:pPr>
        <w:spacing w:after="0"/>
        <w:rPr>
          <w:sz w:val="20"/>
          <w:szCs w:val="20"/>
          <w:color w:val="auto"/>
        </w:rPr>
      </w:pPr>
      <w:r>
        <w:rPr>
          <w:rFonts w:ascii="Times New Roman" w:cs="Times New Roman" w:eastAsia="Times New Roman" w:hAnsi="Times New Roman"/>
          <w:sz w:val="20"/>
          <w:szCs w:val="20"/>
          <w:color w:val="auto"/>
        </w:rPr>
        <w:t>Europe, Latin America, Middle East, Asia and Southeast Asia.</w:t>
      </w:r>
    </w:p>
    <w:p>
      <w:pPr>
        <w:spacing w:after="0" w:line="200" w:lineRule="exact"/>
        <w:rPr>
          <w:sz w:val="20"/>
          <w:szCs w:val="20"/>
          <w:color w:val="auto"/>
        </w:rPr>
      </w:pPr>
    </w:p>
    <w:p>
      <w:pPr>
        <w:ind w:right="120"/>
        <w:spacing w:after="0" w:line="279" w:lineRule="auto"/>
        <w:rPr>
          <w:sz w:val="20"/>
          <w:szCs w:val="20"/>
          <w:color w:val="auto"/>
        </w:rPr>
      </w:pPr>
      <w:r>
        <w:rPr>
          <w:rFonts w:ascii="Times New Roman" w:cs="Times New Roman" w:eastAsia="Times New Roman" w:hAnsi="Times New Roman"/>
          <w:sz w:val="20"/>
          <w:szCs w:val="20"/>
          <w:color w:val="auto"/>
        </w:rPr>
        <w:t>We also market and support non-core, legacy urology product lines, including ESWL systems and related accessories and services mainly using our direct subsidiaries or representative offices network in Japan, South Korea and Malaysia.</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sales and marketing strategy emphasizes:</w:t>
      </w:r>
    </w:p>
    <w:p>
      <w:pPr>
        <w:spacing w:after="0" w:line="214" w:lineRule="exact"/>
        <w:rPr>
          <w:sz w:val="20"/>
          <w:szCs w:val="20"/>
          <w:color w:val="auto"/>
        </w:rPr>
      </w:pPr>
    </w:p>
    <w:p>
      <w:pPr>
        <w:ind w:left="720" w:hanging="354"/>
        <w:spacing w:after="0"/>
        <w:tabs>
          <w:tab w:leader="none" w:pos="72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Peer-to-peer clinical education and training;</w:t>
      </w:r>
    </w:p>
    <w:p>
      <w:pPr>
        <w:spacing w:after="0" w:line="13" w:lineRule="exact"/>
        <w:rPr>
          <w:rFonts w:ascii="Arial" w:cs="Arial" w:eastAsia="Arial" w:hAnsi="Arial"/>
          <w:sz w:val="20"/>
          <w:szCs w:val="20"/>
          <w:color w:val="auto"/>
        </w:rPr>
      </w:pPr>
    </w:p>
    <w:p>
      <w:pPr>
        <w:ind w:left="720" w:hanging="354"/>
        <w:spacing w:after="0"/>
        <w:tabs>
          <w:tab w:leader="none" w:pos="72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Evidence-based marketing initiatives;</w:t>
      </w:r>
    </w:p>
    <w:p>
      <w:pPr>
        <w:spacing w:after="0" w:line="13" w:lineRule="exact"/>
        <w:rPr>
          <w:rFonts w:ascii="Arial" w:cs="Arial" w:eastAsia="Arial" w:hAnsi="Arial"/>
          <w:sz w:val="20"/>
          <w:szCs w:val="20"/>
          <w:color w:val="auto"/>
        </w:rPr>
      </w:pPr>
    </w:p>
    <w:p>
      <w:pPr>
        <w:ind w:left="720" w:hanging="354"/>
        <w:spacing w:after="0"/>
        <w:tabs>
          <w:tab w:leader="none" w:pos="72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Comprehensive ongoing customer support, including clinical application and reimbursement education;</w:t>
      </w:r>
    </w:p>
    <w:p>
      <w:pPr>
        <w:spacing w:after="0" w:line="11" w:lineRule="exact"/>
        <w:rPr>
          <w:rFonts w:ascii="Arial" w:cs="Arial" w:eastAsia="Arial" w:hAnsi="Arial"/>
          <w:sz w:val="20"/>
          <w:szCs w:val="20"/>
          <w:color w:val="auto"/>
        </w:rPr>
      </w:pPr>
    </w:p>
    <w:p>
      <w:pPr>
        <w:ind w:left="720" w:hanging="354"/>
        <w:spacing w:after="0"/>
        <w:tabs>
          <w:tab w:leader="none" w:pos="72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Engagement with key opinion leaders and development of reference centers; and</w:t>
      </w:r>
    </w:p>
    <w:p>
      <w:pPr>
        <w:spacing w:after="0" w:line="13" w:lineRule="exact"/>
        <w:rPr>
          <w:rFonts w:ascii="Arial" w:cs="Arial" w:eastAsia="Arial" w:hAnsi="Arial"/>
          <w:sz w:val="20"/>
          <w:szCs w:val="20"/>
          <w:color w:val="auto"/>
        </w:rPr>
      </w:pPr>
    </w:p>
    <w:p>
      <w:pPr>
        <w:ind w:left="720" w:hanging="354"/>
        <w:spacing w:after="0"/>
        <w:tabs>
          <w:tab w:leader="none" w:pos="72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Collaboration with physicians and hospitals to drive awareness.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Competition</w:t>
      </w:r>
    </w:p>
    <w:p>
      <w:pPr>
        <w:spacing w:after="0" w:line="203"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20"/>
          <w:szCs w:val="20"/>
          <w:color w:val="auto"/>
        </w:rPr>
        <w:t>We compete in markets for the treatment of localized prostate cancer and other urological and gynecological conditions, including the treatment of endometriosis in certain European markets. The treatment landscape for prostate cancer includes a range of established and emerging therapies. Current standard therapies for localized prostate cancer include radical prostatectomy (including robotic-assisted approaches), external beam radiation therapy, brachytherapy, cryotherapy, and active surveillance. Active surveillance, in which patients with low-risk or favorable intermediate-risk disease defer active treatment in favor of ongoing monitoring, has grown significantly in recent years and represents a substantial portion of newly diagnosed prostate cancer patients.</w:t>
      </w:r>
    </w:p>
    <w:p>
      <w:pPr>
        <w:sectPr>
          <w:pgSz w:w="12240" w:h="15840" w:orient="portrait"/>
          <w:cols w:equalWidth="0" w:num="1">
            <w:col w:w="9700"/>
          </w:cols>
          <w:pgMar w:left="1260" w:top="1247" w:right="1280" w:bottom="72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w:t>
      </w:r>
    </w:p>
    <w:p>
      <w:pPr>
        <w:sectPr>
          <w:pgSz w:w="12240" w:h="15840" w:orient="portrait"/>
          <w:cols w:equalWidth="0" w:num="1">
            <w:col w:w="9700"/>
          </w:cols>
          <w:pgMar w:left="1260" w:top="1247" w:right="1280" w:bottom="723" w:gutter="0" w:footer="0" w:header="0"/>
          <w:type w:val="continuous"/>
        </w:sectPr>
      </w:pPr>
    </w:p>
    <w:bookmarkStart w:id="14" w:name="page15"/>
    <w:bookmarkEnd w:id="14"/>
    <w:p>
      <w:pPr>
        <w:ind w:right="60"/>
        <w:spacing w:after="0" w:line="247"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795655</wp:posOffset>
            </wp:positionH>
            <wp:positionV relativeFrom="page">
              <wp:posOffset>292735</wp:posOffset>
            </wp:positionV>
            <wp:extent cx="929005" cy="1149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3">
                      <a:extLst>
                        <a:ext uri="{28A0092B-C50C-407E-A947-70E740481C1C}"/>
                      </a:extLst>
                    </a:blip>
                    <a:srcRect/>
                    <a:stretch>
                      <a:fillRect/>
                    </a:stretch>
                  </pic:blipFill>
                  <pic:spPr bwMode="auto">
                    <a:xfrm>
                      <a:off x="0" y="0"/>
                      <a:ext cx="929005" cy="114935"/>
                    </a:xfrm>
                    <a:prstGeom prst="rect">
                      <a:avLst/>
                    </a:prstGeom>
                    <a:noFill/>
                  </pic:spPr>
                </pic:pic>
              </a:graphicData>
            </a:graphic>
          </wp:anchor>
        </w:drawing>
        <w:t>While these therapies are widely adopted, supported by established clinical guidelines and significant physician familiarity, and in many cases reimbursed by public and private payors, they are associated with side effects that may significantly affect a patient’s quality of life. Radiation-based therapies may carry risks of bowel and bladder toxicity and may limit future treatment options. Cryotherapy has been associated with variable efficacy outcomes as well as urinary and erectile side effects. Surgical approaches, including robotic-assisted prostatectomy, while refined over time, retain the inherent morbidity associated with invasive surgery.</w:t>
      </w:r>
    </w:p>
    <w:p>
      <w:pPr>
        <w:spacing w:after="0" w:line="160"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color w:val="auto"/>
        </w:rPr>
        <w:t>Focal One Robotic HIFU competes across this full spectrum of treatment modalities as a non-invasive ablative alternative. We believe that HIFU offers patients an effective option for managing localized prostate cancer while minimizing treatment-related side effects. We also believe Focal One is well positioned to address demand for focal therapy — sometimes referred to as partial or zonal treatment — which targets cancerous tissue rather than the entire gland, potentially reducing treatment-related morbidity compared to radical approaches. However, focal therapy remains a relatively nascent treatment paradigm, and we face ongoing challenges related to physician education and market adoption.</w:t>
      </w:r>
    </w:p>
    <w:p>
      <w:pPr>
        <w:spacing w:after="0" w:line="160" w:lineRule="exact"/>
        <w:rPr>
          <w:sz w:val="20"/>
          <w:szCs w:val="20"/>
          <w:color w:val="auto"/>
        </w:rPr>
      </w:pPr>
    </w:p>
    <w:p>
      <w:pPr>
        <w:ind w:right="60"/>
        <w:spacing w:after="0" w:line="279" w:lineRule="auto"/>
        <w:rPr>
          <w:sz w:val="20"/>
          <w:szCs w:val="20"/>
          <w:color w:val="auto"/>
        </w:rPr>
      </w:pPr>
      <w:r>
        <w:rPr>
          <w:rFonts w:ascii="Times New Roman" w:cs="Times New Roman" w:eastAsia="Times New Roman" w:hAnsi="Times New Roman"/>
          <w:sz w:val="20"/>
          <w:szCs w:val="20"/>
          <w:color w:val="auto"/>
        </w:rPr>
        <w:t>We also face head-on competition from other companies developing and commercializing HIFU technologies and other energy-based or image-guided ablation technologies. Competitors in the HIFU space include:</w:t>
      </w:r>
    </w:p>
    <w:p>
      <w:pPr>
        <w:spacing w:after="0" w:line="96" w:lineRule="exact"/>
        <w:rPr>
          <w:sz w:val="20"/>
          <w:szCs w:val="20"/>
          <w:color w:val="auto"/>
        </w:rPr>
      </w:pPr>
    </w:p>
    <w:p>
      <w:pPr>
        <w:ind w:left="720" w:hanging="354"/>
        <w:spacing w:after="0"/>
        <w:tabs>
          <w:tab w:leader="none" w:pos="720" w:val="left"/>
        </w:tabs>
        <w:numPr>
          <w:ilvl w:val="0"/>
          <w:numId w:val="14"/>
        </w:numPr>
        <w:rPr>
          <w:rFonts w:ascii="Arial" w:cs="Arial" w:eastAsia="Arial" w:hAnsi="Arial"/>
          <w:sz w:val="20"/>
          <w:szCs w:val="20"/>
          <w:color w:val="auto"/>
        </w:rPr>
      </w:pPr>
      <w:r>
        <w:rPr>
          <w:rFonts w:ascii="Times New Roman" w:cs="Times New Roman" w:eastAsia="Times New Roman" w:hAnsi="Times New Roman"/>
          <w:sz w:val="20"/>
          <w:szCs w:val="20"/>
          <w:color w:val="auto"/>
        </w:rPr>
        <w:t>Sonablate Corporation, a U.S. company that markets the Sonablate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system for ablation of prostatic tissue;</w:t>
      </w:r>
    </w:p>
    <w:p>
      <w:pPr>
        <w:ind w:left="720" w:right="680" w:hanging="353"/>
        <w:spacing w:after="0" w:line="220" w:lineRule="auto"/>
        <w:tabs>
          <w:tab w:leader="none" w:pos="720" w:val="left"/>
        </w:tabs>
        <w:numPr>
          <w:ilvl w:val="0"/>
          <w:numId w:val="14"/>
        </w:numPr>
        <w:rPr>
          <w:rFonts w:ascii="Arial" w:cs="Arial" w:eastAsia="Arial" w:hAnsi="Arial"/>
          <w:sz w:val="20"/>
          <w:szCs w:val="20"/>
          <w:color w:val="auto"/>
        </w:rPr>
      </w:pPr>
      <w:r>
        <w:rPr>
          <w:rFonts w:ascii="Times New Roman" w:cs="Times New Roman" w:eastAsia="Times New Roman" w:hAnsi="Times New Roman"/>
          <w:sz w:val="20"/>
          <w:szCs w:val="20"/>
          <w:color w:val="auto"/>
        </w:rPr>
        <w:t>Profound Medical Corp., a Canadian company that markets the TULSA-PRO</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system for transurethral ultrasound ablation of prostate tissue;</w:t>
      </w:r>
    </w:p>
    <w:p>
      <w:pPr>
        <w:ind w:left="720" w:right="500" w:hanging="353"/>
        <w:spacing w:after="0" w:line="230" w:lineRule="auto"/>
        <w:tabs>
          <w:tab w:leader="none" w:pos="720" w:val="left"/>
        </w:tabs>
        <w:numPr>
          <w:ilvl w:val="0"/>
          <w:numId w:val="14"/>
        </w:numPr>
        <w:rPr>
          <w:rFonts w:ascii="Arial" w:cs="Arial" w:eastAsia="Arial" w:hAnsi="Arial"/>
          <w:sz w:val="20"/>
          <w:szCs w:val="20"/>
          <w:color w:val="auto"/>
        </w:rPr>
      </w:pPr>
      <w:r>
        <w:rPr>
          <w:rFonts w:ascii="Times New Roman" w:cs="Times New Roman" w:eastAsia="Times New Roman" w:hAnsi="Times New Roman"/>
          <w:sz w:val="20"/>
          <w:szCs w:val="20"/>
          <w:color w:val="auto"/>
        </w:rPr>
        <w:t>Insightec Ltd., an Israeli company that markets the Exablate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system for the treatment of uterine fibroids, painful bone metastases, essential tremor and other brain disorders, and prostate tissue; and</w:t>
      </w:r>
    </w:p>
    <w:p>
      <w:pPr>
        <w:spacing w:after="0" w:line="164"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20"/>
          <w:szCs w:val="20"/>
          <w:color w:val="auto"/>
        </w:rPr>
        <w:t>Additional competitors include Haifu, a Chinese company commercializing HIFU products for various oncologic applications, as well as companies developing alternative focal therapy approaches including laser ablation, irreversible electroporation, and other image-guided or energy-based technologies. New entrants or technological advances could further intensify competition across these modalities.</w:t>
      </w:r>
    </w:p>
    <w:p>
      <w:pPr>
        <w:spacing w:after="0" w:line="153"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20"/>
          <w:szCs w:val="20"/>
          <w:color w:val="auto"/>
        </w:rPr>
        <w:t>Competition in our markets is based on a number of factors, including clinical performance and safety outcomes, the level and quality of supporting clinical evidence, regulatory approvals and labeled indications, reimbursement coverage and payment levels, capital equipment costs and ongoing consumable costs, physician familiarity and training infrastructure, installed base and service support capabilities, and technological innovation and product features.</w:t>
      </w:r>
    </w:p>
    <w:p>
      <w:pPr>
        <w:spacing w:after="0" w:line="15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0"/>
          <w:szCs w:val="20"/>
          <w:color w:val="auto"/>
        </w:rPr>
        <w:t>Certain of our existing and potential competitors have significantly greater financial, technical, marketing, and other resources than we do, and may have longer operating histories and more extensive commercial infrastructures. These competitors may be able to devote greater resources to research and development, clinical trials, regulatory submissions, marketing and sales, and pricing strategies.</w:t>
      </w:r>
    </w:p>
    <w:p>
      <w:pPr>
        <w:spacing w:after="0" w:line="153"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20"/>
          <w:szCs w:val="20"/>
          <w:color w:val="auto"/>
        </w:rPr>
        <w:t>We believe that future market adoption of HIFU and focal therapy will depend, in part, on continued clinical evidence development, physician training, reimbursement expansion, and technological innovation. However, there can be no assurance that HIFU-based therapies will achieve broader acceptance relative to established treatment modalities or that our products will remain competitive.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Reimbursement</w:t>
      </w:r>
    </w:p>
    <w:p>
      <w:pPr>
        <w:spacing w:after="0" w:line="203" w:lineRule="exact"/>
        <w:rPr>
          <w:sz w:val="20"/>
          <w:szCs w:val="20"/>
          <w:color w:val="auto"/>
        </w:rPr>
      </w:pPr>
    </w:p>
    <w:p>
      <w:pPr>
        <w:ind w:right="240"/>
        <w:spacing w:after="0" w:line="259" w:lineRule="auto"/>
        <w:rPr>
          <w:sz w:val="20"/>
          <w:szCs w:val="20"/>
          <w:color w:val="auto"/>
        </w:rPr>
      </w:pPr>
      <w:r>
        <w:rPr>
          <w:rFonts w:ascii="Times New Roman" w:cs="Times New Roman" w:eastAsia="Times New Roman" w:hAnsi="Times New Roman"/>
          <w:sz w:val="20"/>
          <w:szCs w:val="20"/>
          <w:color w:val="auto"/>
        </w:rPr>
        <w:t>Reimbursement coverage for our products is an important factor in the commercial adoption of Focal One Robotic HIFU. We have made significant progress in securing reimbursement in the United States and key European markets, and we continue to pursue expanded coverage across additional geographies and indications.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United States — Prostate Cancer</w:t>
      </w:r>
    </w:p>
    <w:p>
      <w:pPr>
        <w:spacing w:after="0" w:line="196"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0"/>
          <w:szCs w:val="20"/>
          <w:color w:val="auto"/>
        </w:rPr>
        <w:t>In the United States, the American Medical Association (“AMA”) established a Category I Current Procedural Terminology (“CPT”) code — CPT 55880 — for the ablation of malignant prostate tissue with transrectal HIFU technology. The Centers for Medicare &amp; Medicaid Services (“CMS”) finalized payment rules for hospitals, facilities, and physicians effective January 1, 2021.</w:t>
      </w:r>
    </w:p>
    <w:p>
      <w:pPr>
        <w:sectPr>
          <w:pgSz w:w="12240" w:h="15840" w:orient="portrait"/>
          <w:cols w:equalWidth="0" w:num="1">
            <w:col w:w="9660"/>
          </w:cols>
          <w:pgMar w:left="1260" w:top="1247" w:right="1320" w:bottom="723" w:gutter="0" w:footer="0" w:header="0"/>
        </w:sectPr>
      </w:pPr>
    </w:p>
    <w:p>
      <w:pPr>
        <w:spacing w:after="0" w:line="200" w:lineRule="exact"/>
        <w:rPr>
          <w:sz w:val="20"/>
          <w:szCs w:val="20"/>
          <w:color w:val="auto"/>
        </w:rPr>
      </w:pPr>
    </w:p>
    <w:p>
      <w:pPr>
        <w:spacing w:after="0" w:line="23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12</w:t>
      </w:r>
    </w:p>
    <w:p>
      <w:pPr>
        <w:sectPr>
          <w:pgSz w:w="12240" w:h="15840" w:orient="portrait"/>
          <w:cols w:equalWidth="0" w:num="1">
            <w:col w:w="9660"/>
          </w:cols>
          <w:pgMar w:left="1260" w:top="1247" w:right="1320" w:bottom="723" w:gutter="0" w:footer="0" w:header="0"/>
          <w:type w:val="continuous"/>
        </w:sectPr>
      </w:pPr>
    </w:p>
    <w:bookmarkStart w:id="15" w:name="page16"/>
    <w:bookmarkEnd w:id="15"/>
    <w:p>
      <w:pPr>
        <w:ind w:right="40"/>
        <w:spacing w:after="0" w:line="252" w:lineRule="auto"/>
        <w:rPr>
          <w:sz w:val="20"/>
          <w:szCs w:val="20"/>
          <w:color w:val="auto"/>
        </w:rPr>
      </w:pPr>
      <w:r>
        <w:rPr>
          <w:rFonts w:ascii="Times New Roman" w:cs="Times New Roman" w:eastAsia="Times New Roman" w:hAnsi="Times New Roman"/>
          <w:sz w:val="20"/>
          <w:szCs w:val="20"/>
          <w:i w:val="1"/>
          <w:iCs w:val="1"/>
          <w:color w:val="auto"/>
        </w:rPr>
        <w:drawing>
          <wp:anchor simplePos="0" relativeHeight="251657728" behindDoc="1" locked="0" layoutInCell="0" allowOverlap="1">
            <wp:simplePos x="0" y="0"/>
            <wp:positionH relativeFrom="page">
              <wp:posOffset>795655</wp:posOffset>
            </wp:positionH>
            <wp:positionV relativeFrom="page">
              <wp:posOffset>292735</wp:posOffset>
            </wp:positionV>
            <wp:extent cx="929005" cy="1149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4">
                      <a:extLst>
                        <a:ext uri="{28A0092B-C50C-407E-A947-70E740481C1C}"/>
                      </a:extLst>
                    </a:blip>
                    <a:srcRect/>
                    <a:stretch>
                      <a:fillRect/>
                    </a:stretch>
                  </pic:blipFill>
                  <pic:spPr bwMode="auto">
                    <a:xfrm>
                      <a:off x="0" y="0"/>
                      <a:ext cx="929005" cy="114935"/>
                    </a:xfrm>
                    <a:prstGeom prst="rect">
                      <a:avLst/>
                    </a:prstGeom>
                    <a:noFill/>
                  </pic:spPr>
                </pic:pic>
              </a:graphicData>
            </a:graphic>
          </wp:anchor>
        </w:drawing>
        <w:t xml:space="preserve">Facility Reimbursement. </w:t>
      </w:r>
      <w:r>
        <w:rPr>
          <w:rFonts w:ascii="Times New Roman" w:cs="Times New Roman" w:eastAsia="Times New Roman" w:hAnsi="Times New Roman"/>
          <w:sz w:val="20"/>
          <w:szCs w:val="20"/>
          <w:color w:val="auto"/>
        </w:rPr>
        <w:t>The 2026 Hospital Outpatient Prospective Payment System (“OPPS”) final rule renewed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assignment of CPT 55880 to the Urology Ambulatory Payment Classification (“APC”) level 6, establishing a national average facility reimbursement of $9,671 per procedure for Medicare patients, adjusted locally based on the wage index. This represents a 4.6% increase compared to 2025. CMS updates hospital payment rates annually.</w:t>
      </w:r>
    </w:p>
    <w:p>
      <w:pPr>
        <w:spacing w:after="0" w:line="153"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20"/>
          <w:szCs w:val="20"/>
          <w:i w:val="1"/>
          <w:iCs w:val="1"/>
          <w:color w:val="auto"/>
        </w:rPr>
        <w:t xml:space="preserve">Physician Reimbursement. </w:t>
      </w:r>
      <w:r>
        <w:rPr>
          <w:rFonts w:ascii="Times New Roman" w:cs="Times New Roman" w:eastAsia="Times New Roman" w:hAnsi="Times New Roman"/>
          <w:sz w:val="20"/>
          <w:szCs w:val="20"/>
          <w:color w:val="auto"/>
        </w:rPr>
        <w:t>CMS established physician payment for HIFU procedures in 2021. Under the 2026 Physician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Fee Schedule Final Rule, CMS set total facility Relative Value Units (“RVUs”) for CPT 55880 at 26.33, translating to a national average physician payment of $884 for a urologist performing a HIFU procedure on a Medicare patient in a facility setting. This compares favorably to alternative ablative treatments for prostate cancer under the same conditions in 2026: cryotherapy (CPT 55873) yields total facility RVUs of 20.71, translating to $692; irreversible electroporation (CPT 55877) yields 20.10 RVUs, translating to $ 675; and transurethral thermal ultrasound ablation (CPT 55882) yields 15. 80 RVUs, translating to $530. A laparoscopic or robotic radical prostatectomy yields 32.38 RVUs and $1,087 under the same conditions.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United States — Benign Prostatic Hyperplasia (BPH)</w:t>
      </w:r>
    </w:p>
    <w:p>
      <w:pPr>
        <w:spacing w:after="0" w:line="196"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20"/>
          <w:szCs w:val="20"/>
          <w:color w:val="auto"/>
        </w:rPr>
        <w:t>On December 30, 2024, the AMA established a new CPT Category III code, CPT 0950T, to report the use of transrectal HIFU for the treatment of BPH, effective July 1, 2025. In the 2026 OPPS final rule, CMS assigned CPT 0950T to Urology APC level 6, establishing a national average facility reimbursement of $9,671 per procedure for Medicare patients, adjusted locally based on the wage index. We believe this reimbursement pathway for BPH represents a meaningful opportunity to expand the addressable market for Focal One in the United States.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France</w:t>
      </w:r>
    </w:p>
    <w:p>
      <w:pPr>
        <w:spacing w:after="0" w:line="196" w:lineRule="exact"/>
        <w:rPr>
          <w:sz w:val="20"/>
          <w:szCs w:val="20"/>
          <w:color w:val="auto"/>
        </w:rPr>
      </w:pPr>
    </w:p>
    <w:p>
      <w:pPr>
        <w:ind w:right="200"/>
        <w:spacing w:after="0" w:line="247" w:lineRule="auto"/>
        <w:rPr>
          <w:sz w:val="20"/>
          <w:szCs w:val="20"/>
          <w:color w:val="auto"/>
        </w:rPr>
      </w:pPr>
      <w:r>
        <w:rPr>
          <w:rFonts w:ascii="Times New Roman" w:cs="Times New Roman" w:eastAsia="Times New Roman" w:hAnsi="Times New Roman"/>
          <w:sz w:val="20"/>
          <w:szCs w:val="20"/>
          <w:color w:val="auto"/>
        </w:rPr>
        <w:t xml:space="preserve">In September 2025, the French Ministry of Health awarded reimbursement for HIFU procedures for the treatment of prostate cancer, with coverage effective September 1, 2025. Reimbursement specifically covers use of Focal One Robotic HIFU as a primary treatment for localized prostate cancer and as a salvage treatment option following radiotherapy. This followed a favorable opinion issued in December 2023 by the French National Authority for Health (“HAS”) to include HIFU under the national universal health system, </w:t>
      </w:r>
      <w:r>
        <w:rPr>
          <w:rFonts w:ascii="Times New Roman" w:cs="Times New Roman" w:eastAsia="Times New Roman" w:hAnsi="Times New Roman"/>
          <w:sz w:val="20"/>
          <w:szCs w:val="20"/>
          <w:i w:val="1"/>
          <w:iCs w:val="1"/>
          <w:color w:val="auto"/>
        </w:rPr>
        <w:t>Sécurité Sociale</w:t>
      </w:r>
      <w:r>
        <w:rPr>
          <w:rFonts w:ascii="Times New Roman" w:cs="Times New Roman" w:eastAsia="Times New Roman" w:hAnsi="Times New Roman"/>
          <w:sz w:val="20"/>
          <w:szCs w:val="20"/>
          <w:color w:val="auto"/>
        </w:rPr>
        <w:t>, based on results of the HIFI Study sponsored by the French Urology Association.</w:t>
      </w:r>
    </w:p>
    <w:p>
      <w:pPr>
        <w:spacing w:after="0" w:line="160" w:lineRule="exact"/>
        <w:rPr>
          <w:sz w:val="20"/>
          <w:szCs w:val="20"/>
          <w:color w:val="auto"/>
        </w:rPr>
      </w:pPr>
    </w:p>
    <w:p>
      <w:pPr>
        <w:ind w:right="120"/>
        <w:spacing w:after="0" w:line="248" w:lineRule="auto"/>
        <w:rPr>
          <w:sz w:val="20"/>
          <w:szCs w:val="20"/>
          <w:color w:val="auto"/>
        </w:rPr>
      </w:pPr>
      <w:r>
        <w:rPr>
          <w:rFonts w:ascii="Times New Roman" w:cs="Times New Roman" w:eastAsia="Times New Roman" w:hAnsi="Times New Roman"/>
          <w:sz w:val="20"/>
          <w:szCs w:val="20"/>
          <w:color w:val="auto"/>
        </w:rPr>
        <w:t>For 2026, the French national healthcare system has established bundled payment rates for HIFU in the public sector ranging from €7,762.50 for level 1 to €13,082.72 for level 4, depending on procedure complexity and patient comorbidities. In the private sector, facility payment rates range from €6,061.53 for level 1 to €8,601.91 for level 4. These rates compare favorably to radical prostatectomy reimbursement in France, with HIFU reimbursement exceeding surgical rates at the level 1 and level 2 complexity tiers in the public sector and exceeding surgical rates at all levels in the private sector.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Rest of Europe</w:t>
      </w:r>
    </w:p>
    <w:p>
      <w:pPr>
        <w:spacing w:after="0" w:line="196" w:lineRule="exact"/>
        <w:rPr>
          <w:sz w:val="20"/>
          <w:szCs w:val="20"/>
          <w:color w:val="auto"/>
        </w:rPr>
      </w:pPr>
    </w:p>
    <w:p>
      <w:pPr>
        <w:jc w:val="both"/>
        <w:ind w:right="420"/>
        <w:spacing w:after="0" w:line="259" w:lineRule="auto"/>
        <w:rPr>
          <w:sz w:val="20"/>
          <w:szCs w:val="20"/>
          <w:color w:val="auto"/>
        </w:rPr>
      </w:pPr>
      <w:r>
        <w:rPr>
          <w:rFonts w:ascii="Times New Roman" w:cs="Times New Roman" w:eastAsia="Times New Roman" w:hAnsi="Times New Roman"/>
          <w:sz w:val="20"/>
          <w:szCs w:val="20"/>
          <w:color w:val="auto"/>
        </w:rPr>
        <w:t>In the rest of Europe, Focal One HIFU procedures are currently reimbursed in Italy, Germany, the United Kingdom (where procedures are partially reimbursed by public healthcare systems or private insurers), and Switzerland under certain conditions. We continue to pursue reimbursement coverage in additional European markets.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Reimbursement Risk</w:t>
      </w:r>
    </w:p>
    <w:p>
      <w:pPr>
        <w:spacing w:after="0" w:line="196"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Reimbursement coverage and payment levels vary significantly by geography, payor, and indication, and there can be no assurance that current reimbursement levels will be maintained or that coverage will be expanded to additional markets or indications. A reduction in reimbursement rates or a failure to obtain coverage in additional markets could adversely affect adoption of our products and our results of operations. For a further discussion of reimbursement-related risks, see “Risk Factors.”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Manufacturing</w:t>
      </w:r>
    </w:p>
    <w:p>
      <w:pPr>
        <w:spacing w:after="0" w:line="203" w:lineRule="exact"/>
        <w:rPr>
          <w:sz w:val="20"/>
          <w:szCs w:val="20"/>
          <w:color w:val="auto"/>
        </w:rPr>
      </w:pPr>
    </w:p>
    <w:p>
      <w:pPr>
        <w:ind w:right="60"/>
        <w:spacing w:after="0" w:line="279" w:lineRule="auto"/>
        <w:rPr>
          <w:sz w:val="20"/>
          <w:szCs w:val="20"/>
          <w:color w:val="auto"/>
        </w:rPr>
      </w:pPr>
      <w:r>
        <w:rPr>
          <w:rFonts w:ascii="Times New Roman" w:cs="Times New Roman" w:eastAsia="Times New Roman" w:hAnsi="Times New Roman"/>
          <w:sz w:val="20"/>
          <w:szCs w:val="20"/>
          <w:color w:val="auto"/>
        </w:rPr>
        <w:t>Our current manufacturing operations consist of assembling medical products in our facility, which is FDA-registered and certified under the International Organization for Standardization (“ISO”) 13485:2016 standard and Medical Device</w:t>
      </w:r>
    </w:p>
    <w:p>
      <w:pPr>
        <w:sectPr>
          <w:pgSz w:w="12240" w:h="15840" w:orient="portrait"/>
          <w:cols w:equalWidth="0" w:num="1">
            <w:col w:w="9700"/>
          </w:cols>
          <w:pgMar w:left="1260" w:top="1247" w:right="1280" w:bottom="723" w:gutter="0" w:footer="0" w:header="0"/>
        </w:sect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13</w:t>
      </w:r>
    </w:p>
    <w:p>
      <w:pPr>
        <w:sectPr>
          <w:pgSz w:w="12240" w:h="15840" w:orient="portrait"/>
          <w:cols w:equalWidth="0" w:num="1">
            <w:col w:w="9700"/>
          </w:cols>
          <w:pgMar w:left="1260" w:top="1247" w:right="1280" w:bottom="723" w:gutter="0" w:footer="0" w:header="0"/>
          <w:type w:val="continuous"/>
        </w:sectPr>
      </w:pPr>
    </w:p>
    <w:bookmarkStart w:id="16" w:name="page17"/>
    <w:bookmarkEnd w:id="16"/>
    <w:p>
      <w:pPr>
        <w:ind w:right="420"/>
        <w:spacing w:after="0" w:line="279"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795655</wp:posOffset>
            </wp:positionH>
            <wp:positionV relativeFrom="page">
              <wp:posOffset>292735</wp:posOffset>
            </wp:positionV>
            <wp:extent cx="929005" cy="1149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5">
                      <a:extLst>
                        <a:ext uri="{28A0092B-C50C-407E-A947-70E740481C1C}"/>
                      </a:extLst>
                    </a:blip>
                    <a:srcRect/>
                    <a:stretch>
                      <a:fillRect/>
                    </a:stretch>
                  </pic:blipFill>
                  <pic:spPr bwMode="auto">
                    <a:xfrm>
                      <a:off x="0" y="0"/>
                      <a:ext cx="929005" cy="114935"/>
                    </a:xfrm>
                    <a:prstGeom prst="rect">
                      <a:avLst/>
                    </a:prstGeom>
                    <a:noFill/>
                  </pic:spPr>
                </pic:pic>
              </a:graphicData>
            </a:graphic>
          </wp:anchor>
        </w:drawing>
        <w:t>Single Audit Program (“MDSAP”) program. We manufacture our own products through our operational subsidiary, EDAP TMS France.</w:t>
      </w:r>
    </w:p>
    <w:p>
      <w:pPr>
        <w:spacing w:after="0" w:line="125" w:lineRule="exact"/>
        <w:rPr>
          <w:sz w:val="20"/>
          <w:szCs w:val="20"/>
          <w:color w:val="auto"/>
        </w:rPr>
      </w:pPr>
    </w:p>
    <w:p>
      <w:pPr>
        <w:ind w:right="140"/>
        <w:spacing w:after="0" w:line="246" w:lineRule="auto"/>
        <w:rPr>
          <w:sz w:val="20"/>
          <w:szCs w:val="20"/>
          <w:color w:val="auto"/>
        </w:rPr>
      </w:pPr>
      <w:r>
        <w:rPr>
          <w:rFonts w:ascii="Times New Roman" w:cs="Times New Roman" w:eastAsia="Times New Roman" w:hAnsi="Times New Roman"/>
          <w:sz w:val="20"/>
          <w:szCs w:val="20"/>
          <w:color w:val="auto"/>
        </w:rPr>
        <w:t>We perform final assembly and quality control processes and maintain production standards. We purchase most of the components used in our products from several suppliers, but for certain components we rely on a single source. Most components are secured through contract or dual-sourcing manufacturing strategies, and we conduct regular quality audits of our suppliers’ manufacturing facilities. Our principal suppliers are located in France, Germany, Denmark, and Lithuania. Critical components supplied to us include therapeutic ultrasound transducers, imaging ultrasound systems, and integrated ultrasound system components. To date, we have not experienced material disruptions affecting our ability to deliver systems and services.</w:t>
      </w:r>
    </w:p>
    <w:p>
      <w:pPr>
        <w:spacing w:after="0" w:line="160"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20"/>
          <w:szCs w:val="20"/>
          <w:color w:val="auto"/>
        </w:rPr>
        <w:t>Suppliers provide us with key materials and components that can expose us to the risk of supply shortage, obsolescence, or interruption if a supplier is unable to manufacture in accordance with our quality standards or encounters other challenges. We continuously evaluate our supply chain to mitigate concentration risk, including through identification of alternative suppliers for critical components. From time to time, we also experience challenges obtaining certain materials and components, including electronic parts and mechanical components, due to global supply chain and logistics disruptions. To address these risks, we have implemented safety stock programs and modified our order management processes for long lead-time critical components. See Item 1A, “Risk Factors — Risks Related to Our Organization and Operations.”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Quality and Design Control</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manufacturing operations of EDAP TMS France are required to comply with applicable regulatory requirements in</w:t>
      </w:r>
    </w:p>
    <w:p>
      <w:pPr>
        <w:spacing w:after="0"/>
        <w:rPr>
          <w:sz w:val="20"/>
          <w:szCs w:val="20"/>
          <w:color w:val="auto"/>
        </w:rPr>
      </w:pPr>
      <w:r>
        <w:rPr>
          <w:rFonts w:ascii="Times New Roman" w:cs="Times New Roman" w:eastAsia="Times New Roman" w:hAnsi="Times New Roman"/>
          <w:sz w:val="20"/>
          <w:szCs w:val="20"/>
          <w:color w:val="auto"/>
        </w:rPr>
        <w:t>the jurisdictions in which we market our products, including the FDA’s Quality System Regulation (“QSR”), which</w:t>
      </w:r>
    </w:p>
    <w:p>
      <w:pPr>
        <w:spacing w:after="0" w:line="238" w:lineRule="auto"/>
        <w:rPr>
          <w:sz w:val="20"/>
          <w:szCs w:val="20"/>
          <w:color w:val="auto"/>
        </w:rPr>
      </w:pPr>
      <w:r>
        <w:rPr>
          <w:rFonts w:ascii="Times New Roman" w:cs="Times New Roman" w:eastAsia="Times New Roman" w:hAnsi="Times New Roman"/>
          <w:sz w:val="20"/>
          <w:szCs w:val="20"/>
          <w:color w:val="auto"/>
        </w:rPr>
        <w:t>establishes current good manufacturing practice (“GMP”) requirements for medical device manufacturers. In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February 2026, the FDA’s Quality Management System Regulation (“QMSR”) became effective, replacing the QSR and</w:t>
      </w:r>
    </w:p>
    <w:p>
      <w:pPr>
        <w:spacing w:after="0"/>
        <w:rPr>
          <w:sz w:val="20"/>
          <w:szCs w:val="20"/>
          <w:color w:val="auto"/>
        </w:rPr>
      </w:pPr>
      <w:r>
        <w:rPr>
          <w:rFonts w:ascii="Times New Roman" w:cs="Times New Roman" w:eastAsia="Times New Roman" w:hAnsi="Times New Roman"/>
          <w:sz w:val="20"/>
          <w:szCs w:val="20"/>
          <w:color w:val="auto"/>
        </w:rPr>
        <w:t>aligning U.S. requirements with ISO 13485:2016 standards. EDAP TMS France’s facilities are subject to periodic</w:t>
      </w:r>
    </w:p>
    <w:p>
      <w:pPr>
        <w:spacing w:after="0"/>
        <w:rPr>
          <w:sz w:val="20"/>
          <w:szCs w:val="20"/>
          <w:color w:val="auto"/>
        </w:rPr>
      </w:pPr>
      <w:r>
        <w:rPr>
          <w:rFonts w:ascii="Times New Roman" w:cs="Times New Roman" w:eastAsia="Times New Roman" w:hAnsi="Times New Roman"/>
          <w:sz w:val="20"/>
          <w:szCs w:val="20"/>
          <w:color w:val="auto"/>
        </w:rPr>
        <w:t>inspections by the FDA and other regulatory authorities. EDAP TMS France is certified to ISO 13485:2016 and</w:t>
      </w:r>
    </w:p>
    <w:p>
      <w:pPr>
        <w:spacing w:after="0"/>
        <w:rPr>
          <w:sz w:val="20"/>
          <w:szCs w:val="20"/>
          <w:color w:val="auto"/>
        </w:rPr>
      </w:pPr>
      <w:r>
        <w:rPr>
          <w:rFonts w:ascii="Times New Roman" w:cs="Times New Roman" w:eastAsia="Times New Roman" w:hAnsi="Times New Roman"/>
          <w:sz w:val="20"/>
          <w:szCs w:val="20"/>
          <w:color w:val="auto"/>
        </w:rPr>
        <w:t>participates in the MDSAP, which involves periodic audits of its quality management system. EDAP TMS France has</w:t>
      </w:r>
    </w:p>
    <w:p>
      <w:pPr>
        <w:spacing w:after="0"/>
        <w:rPr>
          <w:sz w:val="20"/>
          <w:szCs w:val="20"/>
          <w:color w:val="auto"/>
        </w:rPr>
      </w:pPr>
      <w:r>
        <w:rPr>
          <w:rFonts w:ascii="Times New Roman" w:cs="Times New Roman" w:eastAsia="Times New Roman" w:hAnsi="Times New Roman"/>
          <w:sz w:val="20"/>
          <w:szCs w:val="20"/>
          <w:color w:val="auto"/>
        </w:rPr>
        <w:t>obtained CE Marking for certain products and maintains processes designed to comply with applicable regulatory</w:t>
      </w:r>
    </w:p>
    <w:p>
      <w:pPr>
        <w:spacing w:after="0"/>
        <w:rPr>
          <w:sz w:val="20"/>
          <w:szCs w:val="20"/>
          <w:color w:val="auto"/>
        </w:rPr>
      </w:pPr>
      <w:r>
        <w:rPr>
          <w:rFonts w:ascii="Times New Roman" w:cs="Times New Roman" w:eastAsia="Times New Roman" w:hAnsi="Times New Roman"/>
          <w:sz w:val="20"/>
          <w:szCs w:val="20"/>
          <w:color w:val="auto"/>
        </w:rPr>
        <w:t>requirements of the European Union. Our manufacturing site is also subject to regulatory requirements in Taiwan, Japan,</w:t>
      </w:r>
    </w:p>
    <w:p>
      <w:pPr>
        <w:spacing w:after="0"/>
        <w:rPr>
          <w:sz w:val="20"/>
          <w:szCs w:val="20"/>
          <w:color w:val="auto"/>
        </w:rPr>
      </w:pPr>
      <w:r>
        <w:rPr>
          <w:rFonts w:ascii="Times New Roman" w:cs="Times New Roman" w:eastAsia="Times New Roman" w:hAnsi="Times New Roman"/>
          <w:sz w:val="20"/>
          <w:szCs w:val="20"/>
          <w:color w:val="auto"/>
        </w:rPr>
        <w:t>Canada, Brazil, and South Korea.</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Regulatory Matters</w:t>
      </w:r>
    </w:p>
    <w:p>
      <w:pPr>
        <w:spacing w:after="0" w:line="203" w:lineRule="exact"/>
        <w:rPr>
          <w:sz w:val="20"/>
          <w:szCs w:val="20"/>
          <w:color w:val="auto"/>
        </w:rPr>
      </w:pPr>
    </w:p>
    <w:p>
      <w:pPr>
        <w:ind w:right="180"/>
        <w:spacing w:after="0" w:line="249" w:lineRule="auto"/>
        <w:rPr>
          <w:sz w:val="20"/>
          <w:szCs w:val="20"/>
          <w:color w:val="auto"/>
        </w:rPr>
      </w:pPr>
      <w:r>
        <w:rPr>
          <w:rFonts w:ascii="Times New Roman" w:cs="Times New Roman" w:eastAsia="Times New Roman" w:hAnsi="Times New Roman"/>
          <w:sz w:val="20"/>
          <w:szCs w:val="20"/>
          <w:color w:val="auto"/>
        </w:rPr>
        <w:t>Government regulation in our major markets, particularly the United States, the European Union, is a significant factor in the development, manufacture and marketing of our products and in our ongoing R&amp;D activities. Our products and operations are subject to regulation by the FDA and regulatory authorities in the countries where we market our products. We are required to comply with requirements governing the design, manufacture, sourcing, testing, certification, packaging, installation, marketing, use and disposal (including recycling) of our products.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Regulation in the United States</w:t>
      </w:r>
    </w:p>
    <w:p>
      <w:pPr>
        <w:spacing w:after="0" w:line="196"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20"/>
          <w:szCs w:val="20"/>
          <w:color w:val="auto"/>
        </w:rPr>
        <w:t>Our products are regulated in the United States by the FDA under several statutes, including the Federal Food, Drug, and Cosmetic Act (“FDC Act”). Pursuant to the FDC Act, the FDA regulates the preclinical and clinical testing, manufacturing, labeling, distribution, sale, marketing, advertising and promotion of medical devices in the United States.</w:t>
      </w:r>
    </w:p>
    <w:p>
      <w:pPr>
        <w:spacing w:after="0" w:line="146" w:lineRule="exact"/>
        <w:rPr>
          <w:sz w:val="20"/>
          <w:szCs w:val="20"/>
          <w:color w:val="auto"/>
        </w:rPr>
      </w:pPr>
    </w:p>
    <w:p>
      <w:pPr>
        <w:ind w:right="140"/>
        <w:spacing w:after="0" w:line="245" w:lineRule="auto"/>
        <w:rPr>
          <w:sz w:val="20"/>
          <w:szCs w:val="20"/>
          <w:color w:val="auto"/>
        </w:rPr>
      </w:pPr>
      <w:r>
        <w:rPr>
          <w:rFonts w:ascii="Times New Roman" w:cs="Times New Roman" w:eastAsia="Times New Roman" w:hAnsi="Times New Roman"/>
          <w:sz w:val="20"/>
          <w:szCs w:val="20"/>
          <w:color w:val="auto"/>
        </w:rPr>
        <w:t>Medical devices are classified in the United States into one of three classes—Class I, II or III—based on the controls reasonably necessary to ensure their safety and effectiveness. Class I devices are those whose safety and effectiveness can be ensured through general controls, such as establishment registration, medical device listing, FDA-mandated current good manufacturing practices and labeling. Most Class I devices are exempt from premarket notification (“510(k)”). Class II devices are those whose safety and effectiveness can reasonably be ensured using general controls and “special controls,” such as special labeling requirements, mandatory performance standards and post-market surveillance. Class II medical devices typically require submission and clearance of a 510(k) application demonstrating substantial equivalence to a legally marketed predicate device. For novel devices that present low to moderate risk but</w:t>
      </w:r>
    </w:p>
    <w:p>
      <w:pPr>
        <w:sectPr>
          <w:pgSz w:w="12240" w:h="15840" w:orient="portrait"/>
          <w:cols w:equalWidth="0" w:num="1">
            <w:col w:w="9700"/>
          </w:cols>
          <w:pgMar w:left="1260" w:top="1247" w:right="1280" w:bottom="72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14</w:t>
      </w:r>
    </w:p>
    <w:p>
      <w:pPr>
        <w:sectPr>
          <w:pgSz w:w="12240" w:h="15840" w:orient="portrait"/>
          <w:cols w:equalWidth="0" w:num="1">
            <w:col w:w="9700"/>
          </w:cols>
          <w:pgMar w:left="1260" w:top="1247" w:right="1280" w:bottom="723" w:gutter="0" w:footer="0" w:header="0"/>
          <w:type w:val="continuous"/>
        </w:sectPr>
      </w:pPr>
    </w:p>
    <w:bookmarkStart w:id="17" w:name="page18"/>
    <w:bookmarkEnd w:id="17"/>
    <w:p>
      <w:pPr>
        <w:ind w:right="260"/>
        <w:spacing w:after="0" w:line="252"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795655</wp:posOffset>
            </wp:positionH>
            <wp:positionV relativeFrom="page">
              <wp:posOffset>292735</wp:posOffset>
            </wp:positionV>
            <wp:extent cx="929005" cy="1149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6">
                      <a:extLst>
                        <a:ext uri="{28A0092B-C50C-407E-A947-70E740481C1C}"/>
                      </a:extLst>
                    </a:blip>
                    <a:srcRect/>
                    <a:stretch>
                      <a:fillRect/>
                    </a:stretch>
                  </pic:blipFill>
                  <pic:spPr bwMode="auto">
                    <a:xfrm>
                      <a:off x="0" y="0"/>
                      <a:ext cx="929005" cy="114935"/>
                    </a:xfrm>
                    <a:prstGeom prst="rect">
                      <a:avLst/>
                    </a:prstGeom>
                    <a:noFill/>
                  </pic:spPr>
                </pic:pic>
              </a:graphicData>
            </a:graphic>
          </wp:anchor>
        </w:drawing>
        <w:t>lack a suitable predicate device, the FDA may permit marketing through the De Novo classification process. Class III devices generally require submission and approval of a pre-market approval (“PMA”) application, a process that is expensive, time -consuming and may not result in approval. Our Focal One HIFU system is classified by the FDA as a Class II device.</w:t>
      </w:r>
    </w:p>
    <w:p>
      <w:pPr>
        <w:spacing w:after="0" w:line="153"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20"/>
          <w:szCs w:val="20"/>
          <w:color w:val="auto"/>
        </w:rPr>
        <w:t>The FDC Act also regulates quality and manufacturing procedures by requiring compliance with the FDA’s QMSR. Our manufacturing facilities are subject to periodic FDA inspections to determine compliance with the QMSR and other regulatory requirements.</w:t>
      </w:r>
    </w:p>
    <w:p>
      <w:pPr>
        <w:spacing w:after="0" w:line="146" w:lineRule="exact"/>
        <w:rPr>
          <w:sz w:val="20"/>
          <w:szCs w:val="20"/>
          <w:color w:val="auto"/>
        </w:rPr>
      </w:pPr>
    </w:p>
    <w:p>
      <w:pPr>
        <w:ind w:right="320"/>
        <w:spacing w:after="0" w:line="279" w:lineRule="auto"/>
        <w:rPr>
          <w:sz w:val="20"/>
          <w:szCs w:val="20"/>
          <w:color w:val="auto"/>
        </w:rPr>
      </w:pPr>
      <w:r>
        <w:rPr>
          <w:rFonts w:ascii="Times New Roman" w:cs="Times New Roman" w:eastAsia="Times New Roman" w:hAnsi="Times New Roman"/>
          <w:sz w:val="20"/>
          <w:szCs w:val="20"/>
          <w:color w:val="auto"/>
        </w:rPr>
        <w:t>Advertising and promotional activities in the United States are subject to regulation by the FDA and the U.S. Federal Trade Commission.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Healthcare Fraud and Abuse; Transparency</w:t>
      </w:r>
    </w:p>
    <w:p>
      <w:pPr>
        <w:spacing w:after="0" w:line="196"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20"/>
          <w:szCs w:val="20"/>
          <w:color w:val="auto"/>
        </w:rPr>
        <w:t>Our U.S. operations are also subject to extensive healthcare fraud and abuse and transparency laws and regulations that may apply to our sales, marketing, contracting, training and educational programs, and other interactions with healthcare professionals (“HCPs”), hospitals and other customers.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These laws include, among others:</w:t>
      </w:r>
    </w:p>
    <w:p>
      <w:pPr>
        <w:spacing w:after="0" w:line="214" w:lineRule="exact"/>
        <w:rPr>
          <w:sz w:val="20"/>
          <w:szCs w:val="20"/>
          <w:color w:val="auto"/>
        </w:rPr>
      </w:pPr>
    </w:p>
    <w:p>
      <w:pPr>
        <w:jc w:val="both"/>
        <w:ind w:left="720" w:right="480" w:hanging="353"/>
        <w:spacing w:after="0" w:line="245" w:lineRule="auto"/>
        <w:tabs>
          <w:tab w:leader="none" w:pos="720" w:val="left"/>
        </w:tabs>
        <w:numPr>
          <w:ilvl w:val="0"/>
          <w:numId w:val="15"/>
        </w:numPr>
        <w:rPr>
          <w:rFonts w:ascii="Arial" w:cs="Arial" w:eastAsia="Arial" w:hAnsi="Arial"/>
          <w:sz w:val="20"/>
          <w:szCs w:val="20"/>
          <w:color w:val="auto"/>
        </w:rPr>
      </w:pPr>
      <w:r>
        <w:rPr>
          <w:rFonts w:ascii="Times New Roman" w:cs="Times New Roman" w:eastAsia="Times New Roman" w:hAnsi="Times New Roman"/>
          <w:sz w:val="20"/>
          <w:szCs w:val="20"/>
          <w:color w:val="auto"/>
        </w:rPr>
        <w:t>the federal Anti-Kickback Statute, which prohibits knowingly and willfully offering, paying, soliciting or receiving remuneration to induce or reward referrals or the purchase, lease or recommendation of items or services reimbursable under federal healthcare programs;</w:t>
      </w:r>
    </w:p>
    <w:p>
      <w:pPr>
        <w:ind w:left="720" w:right="120" w:hanging="353"/>
        <w:spacing w:after="0" w:line="244" w:lineRule="auto"/>
        <w:tabs>
          <w:tab w:leader="none" w:pos="720" w:val="left"/>
        </w:tabs>
        <w:numPr>
          <w:ilvl w:val="0"/>
          <w:numId w:val="15"/>
        </w:numPr>
        <w:rPr>
          <w:rFonts w:ascii="Arial" w:cs="Arial" w:eastAsia="Arial" w:hAnsi="Arial"/>
          <w:sz w:val="20"/>
          <w:szCs w:val="20"/>
          <w:color w:val="auto"/>
        </w:rPr>
      </w:pPr>
      <w:r>
        <w:rPr>
          <w:rFonts w:ascii="Times New Roman" w:cs="Times New Roman" w:eastAsia="Times New Roman" w:hAnsi="Times New Roman"/>
          <w:sz w:val="20"/>
          <w:szCs w:val="20"/>
          <w:color w:val="auto"/>
        </w:rPr>
        <w:t>the federal Physician Self-Referral Law (“Stark Law”), which generally prohibits physicians from referring certain designated health services reimbursable by Medicare or Medicaid to an entity with which the physician or an immediate family member has a financial relationship, unless an exception applies;</w:t>
      </w:r>
    </w:p>
    <w:p>
      <w:pPr>
        <w:spacing w:after="0" w:line="1" w:lineRule="exact"/>
        <w:rPr>
          <w:rFonts w:ascii="Arial" w:cs="Arial" w:eastAsia="Arial" w:hAnsi="Arial"/>
          <w:sz w:val="20"/>
          <w:szCs w:val="20"/>
          <w:color w:val="auto"/>
        </w:rPr>
      </w:pPr>
    </w:p>
    <w:p>
      <w:pPr>
        <w:ind w:left="720" w:hanging="353"/>
        <w:spacing w:after="0" w:line="245" w:lineRule="auto"/>
        <w:tabs>
          <w:tab w:leader="none" w:pos="720" w:val="left"/>
        </w:tabs>
        <w:numPr>
          <w:ilvl w:val="0"/>
          <w:numId w:val="15"/>
        </w:numPr>
        <w:rPr>
          <w:rFonts w:ascii="Arial" w:cs="Arial" w:eastAsia="Arial" w:hAnsi="Arial"/>
          <w:sz w:val="20"/>
          <w:szCs w:val="20"/>
          <w:color w:val="auto"/>
        </w:rPr>
      </w:pPr>
      <w:r>
        <w:rPr>
          <w:rFonts w:ascii="Times New Roman" w:cs="Times New Roman" w:eastAsia="Times New Roman" w:hAnsi="Times New Roman"/>
          <w:sz w:val="20"/>
          <w:szCs w:val="20"/>
          <w:color w:val="auto"/>
        </w:rPr>
        <w:t>the federal False Claims Act, which imposes liability for knowingly presenting, or causing to be presented, false or fraudulent claims for payment to the federal government, including claims resulting from violations of other healthcare laws;</w:t>
      </w:r>
    </w:p>
    <w:p>
      <w:pPr>
        <w:ind w:left="720" w:right="240" w:hanging="353"/>
        <w:spacing w:after="0" w:line="246" w:lineRule="auto"/>
        <w:tabs>
          <w:tab w:leader="none" w:pos="720" w:val="left"/>
        </w:tabs>
        <w:numPr>
          <w:ilvl w:val="0"/>
          <w:numId w:val="15"/>
        </w:numPr>
        <w:rPr>
          <w:rFonts w:ascii="Arial" w:cs="Arial" w:eastAsia="Arial" w:hAnsi="Arial"/>
          <w:sz w:val="20"/>
          <w:szCs w:val="20"/>
          <w:color w:val="auto"/>
        </w:rPr>
      </w:pPr>
      <w:r>
        <w:rPr>
          <w:rFonts w:ascii="Times New Roman" w:cs="Times New Roman" w:eastAsia="Times New Roman" w:hAnsi="Times New Roman"/>
          <w:sz w:val="20"/>
          <w:szCs w:val="20"/>
          <w:color w:val="auto"/>
        </w:rPr>
        <w:t>the Civil Monetary Penalties Law and related regulations administered by the U.S. Department of Health and Human Services Office of Inspector General; and</w:t>
      </w:r>
    </w:p>
    <w:p>
      <w:pPr>
        <w:ind w:left="720" w:right="460" w:hanging="353"/>
        <w:spacing w:after="0" w:line="278" w:lineRule="auto"/>
        <w:tabs>
          <w:tab w:leader="none" w:pos="720" w:val="left"/>
        </w:tabs>
        <w:numPr>
          <w:ilvl w:val="0"/>
          <w:numId w:val="15"/>
        </w:numPr>
        <w:rPr>
          <w:rFonts w:ascii="Arial" w:cs="Arial" w:eastAsia="Arial" w:hAnsi="Arial"/>
          <w:sz w:val="20"/>
          <w:szCs w:val="20"/>
          <w:color w:val="auto"/>
        </w:rPr>
      </w:pPr>
      <w:r>
        <w:rPr>
          <w:rFonts w:ascii="Times New Roman" w:cs="Times New Roman" w:eastAsia="Times New Roman" w:hAnsi="Times New Roman"/>
          <w:sz w:val="20"/>
          <w:szCs w:val="20"/>
          <w:color w:val="auto"/>
        </w:rPr>
        <w:t>federal and state transparency laws, including the Physician Payments Sunshine Act (the “Sunshine Act”), which requires reporting of certain payments and transfers of value to physicians and teaching hospitals.</w:t>
      </w:r>
    </w:p>
    <w:p>
      <w:pPr>
        <w:spacing w:after="0" w:line="126" w:lineRule="exact"/>
        <w:rPr>
          <w:sz w:val="20"/>
          <w:szCs w:val="20"/>
          <w:color w:val="auto"/>
        </w:rPr>
      </w:pPr>
    </w:p>
    <w:p>
      <w:pPr>
        <w:ind w:right="160"/>
        <w:spacing w:after="0" w:line="279" w:lineRule="auto"/>
        <w:rPr>
          <w:sz w:val="20"/>
          <w:szCs w:val="20"/>
          <w:color w:val="auto"/>
        </w:rPr>
      </w:pPr>
      <w:r>
        <w:rPr>
          <w:rFonts w:ascii="Times New Roman" w:cs="Times New Roman" w:eastAsia="Times New Roman" w:hAnsi="Times New Roman"/>
          <w:sz w:val="20"/>
          <w:szCs w:val="20"/>
          <w:color w:val="auto"/>
        </w:rPr>
        <w:t>Violations of these laws may result in substantial civil, criminal and administrative penalties, including fines, damages, exclusion from participation in federal healthcare programs, reputational harm and additional compliance obligations.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Privacy, Data Protection and Information Security</w:t>
      </w:r>
    </w:p>
    <w:p>
      <w:pPr>
        <w:spacing w:after="0" w:line="19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We are subject to various U.S. and international laws relating to the privacy, protection and security of personal information. In the United States, these laws may include, among others, the Health Insurance Portability and Accountability Act of 1996 (“HIPAA”), as amended, to the extent applicable, as well as state privacy and data protection laws and data breach notification requirements.</w:t>
      </w:r>
    </w:p>
    <w:p>
      <w:pPr>
        <w:spacing w:after="0" w:line="151"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20"/>
          <w:szCs w:val="20"/>
          <w:color w:val="auto"/>
        </w:rPr>
        <w:t>These laws may impose obligations regarding the collection, use, disclosure, storage and safeguarding of personal information and may require implementation of administrative, technical and physical safeguards, contractual protections with third parties, and notification to regulators and affected individuals in the event of certain data security incidents. Compliance with evolving privacy and data protection requirements may increase our compliance costs and require changes to our business practices and systems.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Regulation in the European Union</w:t>
      </w:r>
    </w:p>
    <w:p>
      <w:pPr>
        <w:spacing w:after="0" w:line="196" w:lineRule="exact"/>
        <w:rPr>
          <w:sz w:val="20"/>
          <w:szCs w:val="20"/>
          <w:color w:val="auto"/>
        </w:rPr>
      </w:pPr>
    </w:p>
    <w:p>
      <w:pPr>
        <w:ind w:right="860"/>
        <w:spacing w:after="0" w:line="279" w:lineRule="auto"/>
        <w:rPr>
          <w:sz w:val="20"/>
          <w:szCs w:val="20"/>
          <w:color w:val="auto"/>
        </w:rPr>
      </w:pPr>
      <w:r>
        <w:rPr>
          <w:rFonts w:ascii="Times New Roman" w:cs="Times New Roman" w:eastAsia="Times New Roman" w:hAnsi="Times New Roman"/>
          <w:sz w:val="20"/>
          <w:szCs w:val="20"/>
          <w:color w:val="auto"/>
        </w:rPr>
        <w:t>In the European Union, we annually perform ISO 13485:2016 and MDSAP certification audits, demonstrating compliance with applicable standards for quality assurance, manufacturing and design control.</w:t>
      </w:r>
    </w:p>
    <w:p>
      <w:pPr>
        <w:sectPr>
          <w:pgSz w:w="12240" w:h="15840" w:orient="portrait"/>
          <w:cols w:equalWidth="0" w:num="1">
            <w:col w:w="9700"/>
          </w:cols>
          <w:pgMar w:left="1260" w:top="1247" w:right="1280" w:bottom="72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15</w:t>
      </w:r>
    </w:p>
    <w:p>
      <w:pPr>
        <w:sectPr>
          <w:pgSz w:w="12240" w:h="15840" w:orient="portrait"/>
          <w:cols w:equalWidth="0" w:num="1">
            <w:col w:w="9700"/>
          </w:cols>
          <w:pgMar w:left="1260" w:top="1247" w:right="1280" w:bottom="723" w:gutter="0" w:footer="0" w:header="0"/>
          <w:type w:val="continuous"/>
        </w:sectPr>
      </w:pPr>
    </w:p>
    <w:bookmarkStart w:id="18" w:name="page19"/>
    <w:bookmarkEnd w:id="18"/>
    <w:p>
      <w:pPr>
        <w:ind w:right="180"/>
        <w:spacing w:after="0" w:line="245"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795655</wp:posOffset>
            </wp:positionH>
            <wp:positionV relativeFrom="page">
              <wp:posOffset>292735</wp:posOffset>
            </wp:positionV>
            <wp:extent cx="929005" cy="1149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7">
                      <a:extLst>
                        <a:ext uri="{28A0092B-C50C-407E-A947-70E740481C1C}"/>
                      </a:extLst>
                    </a:blip>
                    <a:srcRect/>
                    <a:stretch>
                      <a:fillRect/>
                    </a:stretch>
                  </pic:blipFill>
                  <pic:spPr bwMode="auto">
                    <a:xfrm>
                      <a:off x="0" y="0"/>
                      <a:ext cx="929005" cy="114935"/>
                    </a:xfrm>
                    <a:prstGeom prst="rect">
                      <a:avLst/>
                    </a:prstGeom>
                    <a:noFill/>
                  </pic:spPr>
                </pic:pic>
              </a:graphicData>
            </a:graphic>
          </wp:anchor>
        </w:drawing>
        <w:t>In 2017, the European Union enacted the Medical Device Regulation (“MDR”), which replaced the prior Medical Device Directive (“MDD”) . The MDR introduces significant changes to the regulation of medical devices in the European Union, including expanded technical documentation requirements, enhanced post- market surveillance obligations and more stringent clinical evidence requirements. Transitional provisions allow certain devices previously certified under the MDD to remain on the market until December 31, 2028, subject to compliance with specified conditions. We implemented a quality management system compliant with MDR requirements and obtained MDR Quality Management System (“QMS”) certification in September 2024. Devices manufactured by us have obtained MDR certification.</w:t>
      </w:r>
    </w:p>
    <w:p>
      <w:pPr>
        <w:spacing w:after="0" w:line="162" w:lineRule="exact"/>
        <w:rPr>
          <w:sz w:val="20"/>
          <w:szCs w:val="20"/>
          <w:color w:val="auto"/>
        </w:rPr>
      </w:pPr>
    </w:p>
    <w:p>
      <w:pPr>
        <w:ind w:right="340"/>
        <w:spacing w:after="0" w:line="252" w:lineRule="auto"/>
        <w:rPr>
          <w:sz w:val="20"/>
          <w:szCs w:val="20"/>
          <w:color w:val="auto"/>
        </w:rPr>
      </w:pPr>
      <w:r>
        <w:rPr>
          <w:rFonts w:ascii="Times New Roman" w:cs="Times New Roman" w:eastAsia="Times New Roman" w:hAnsi="Times New Roman"/>
          <w:sz w:val="20"/>
          <w:szCs w:val="20"/>
          <w:color w:val="auto"/>
        </w:rPr>
        <w:t>Medical devices marketed in the European Union must bear the “CE Marking”, demonstrating conformity with applicable regulatory requirements. Devices are classified into different risk classes, which determine the conformity assessment procedures and the degree of involvement of a notified body. Our currently marketed devices fall within Classes I, IIa and IIb.</w:t>
      </w:r>
    </w:p>
    <w:p>
      <w:pPr>
        <w:spacing w:after="0" w:line="153" w:lineRule="exact"/>
        <w:rPr>
          <w:sz w:val="20"/>
          <w:szCs w:val="20"/>
          <w:color w:val="auto"/>
        </w:rPr>
      </w:pPr>
    </w:p>
    <w:p>
      <w:pPr>
        <w:ind w:right="460"/>
        <w:spacing w:after="0" w:line="259" w:lineRule="auto"/>
        <w:rPr>
          <w:sz w:val="20"/>
          <w:szCs w:val="20"/>
          <w:color w:val="auto"/>
        </w:rPr>
      </w:pPr>
      <w:r>
        <w:rPr>
          <w:rFonts w:ascii="Times New Roman" w:cs="Times New Roman" w:eastAsia="Times New Roman" w:hAnsi="Times New Roman"/>
          <w:sz w:val="20"/>
          <w:szCs w:val="20"/>
          <w:color w:val="auto"/>
        </w:rPr>
        <w:t>In addition, we are subject to the European Union’s General Data Protection Regulation (“GDPR”), which imposes comprehensive requirements regarding the processing and transfer of personal data and provides for significant administrative fines for non-compliance.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Regulation in Japan</w:t>
      </w:r>
    </w:p>
    <w:p>
      <w:pPr>
        <w:spacing w:after="0" w:line="196"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20"/>
          <w:szCs w:val="20"/>
          <w:color w:val="auto"/>
        </w:rPr>
        <w:t>The import and sale of medical devices in Japan are regulated by the Japanese Ministry of Health, Labour and Welfare (“MHLW”) under the Pharmaceuticals and Medical Devices Act. Our Japanese subsidiary holds the required Marketing Authorization Holder license and specific product approvals to import and market our products in Japan. The MHLW also administers national health insurance programs and establishes reimbursement prices for certain medical devices. Inclusion on the reimbursement list is required for coverage under national health insurance programs.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Trade Compliance; Export Controls and Sanctions</w:t>
      </w:r>
    </w:p>
    <w:p>
      <w:pPr>
        <w:spacing w:after="0" w:line="196"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0"/>
          <w:szCs w:val="20"/>
          <w:color w:val="auto"/>
        </w:rPr>
        <w:t>We operate internationally and are subject to U.S. and non-U.S. trade laws and regulations, including export controls, economic sanctions, customs laws and anti-boycott regulations. U.S. export control laws and regulations administered by the U.S. Department of Commerce, as well as economic sanctions laws administered by the U.S. Department of the Treasury’s Office of Foreign Assets Control, may restrict the export, reexport or transfer of certain products, software, technology or services to specified countries, entities or individuals and may require export licenses in certain circumstances. Similar laws apply in the European Union and other jurisdictions in which we operate.</w:t>
      </w:r>
    </w:p>
    <w:p>
      <w:pPr>
        <w:spacing w:after="0" w:line="160" w:lineRule="exact"/>
        <w:rPr>
          <w:sz w:val="20"/>
          <w:szCs w:val="20"/>
          <w:color w:val="auto"/>
        </w:rPr>
      </w:pPr>
    </w:p>
    <w:p>
      <w:pPr>
        <w:ind w:right="100"/>
        <w:spacing w:after="0" w:line="279" w:lineRule="auto"/>
        <w:rPr>
          <w:sz w:val="20"/>
          <w:szCs w:val="20"/>
          <w:color w:val="auto"/>
        </w:rPr>
      </w:pPr>
      <w:r>
        <w:rPr>
          <w:rFonts w:ascii="Times New Roman" w:cs="Times New Roman" w:eastAsia="Times New Roman" w:hAnsi="Times New Roman"/>
          <w:sz w:val="20"/>
          <w:szCs w:val="20"/>
          <w:color w:val="auto"/>
        </w:rPr>
        <w:t>Violations of applicable trade laws and regulations could result in civil and criminal penalties, restrictions on our ability to export products or conduct international operations, reputational harm and increased compliance costs.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Human Capital</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Overview</w:t>
      </w:r>
    </w:p>
    <w:p>
      <w:pPr>
        <w:spacing w:after="0" w:line="196"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20"/>
          <w:szCs w:val="20"/>
          <w:color w:val="auto"/>
        </w:rPr>
        <w:t>Our employees are an important component of our business and contribute to the execution of our strategy and operations. We seek to attract, develop, and retain a skilled workforce to support our commercial, R&amp;D, manufacturing, and administrative activities. In 2025, we continued to focus on recruitment, retention, professional development, compliance, and employee wellbeing.</w:t>
      </w:r>
    </w:p>
    <w:p>
      <w:pPr>
        <w:spacing w:after="0" w:line="151" w:lineRule="exact"/>
        <w:rPr>
          <w:sz w:val="20"/>
          <w:szCs w:val="20"/>
          <w:color w:val="auto"/>
        </w:rPr>
      </w:pPr>
    </w:p>
    <w:p>
      <w:pPr>
        <w:ind w:right="100"/>
        <w:spacing w:after="0" w:line="279" w:lineRule="auto"/>
        <w:rPr>
          <w:sz w:val="20"/>
          <w:szCs w:val="20"/>
          <w:color w:val="auto"/>
        </w:rPr>
      </w:pPr>
      <w:r>
        <w:rPr>
          <w:rFonts w:ascii="Times New Roman" w:cs="Times New Roman" w:eastAsia="Times New Roman" w:hAnsi="Times New Roman"/>
          <w:sz w:val="20"/>
          <w:szCs w:val="20"/>
          <w:color w:val="auto"/>
        </w:rPr>
        <w:t>As of December 31, 2025, we employed 289 employees worldwide, with approximately 24% based in the United States and the remainder located internationally.</w:t>
      </w:r>
    </w:p>
    <w:p>
      <w:pPr>
        <w:spacing w:after="0" w:line="125" w:lineRule="exact"/>
        <w:rPr>
          <w:sz w:val="20"/>
          <w:szCs w:val="20"/>
          <w:color w:val="auto"/>
        </w:rPr>
      </w:pPr>
    </w:p>
    <w:p>
      <w:pPr>
        <w:ind w:right="800"/>
        <w:spacing w:after="0" w:line="279" w:lineRule="auto"/>
        <w:rPr>
          <w:sz w:val="20"/>
          <w:szCs w:val="20"/>
          <w:color w:val="auto"/>
        </w:rPr>
      </w:pPr>
      <w:r>
        <w:rPr>
          <w:rFonts w:ascii="Times New Roman" w:cs="Times New Roman" w:eastAsia="Times New Roman" w:hAnsi="Times New Roman"/>
          <w:sz w:val="20"/>
          <w:szCs w:val="20"/>
          <w:color w:val="auto"/>
        </w:rPr>
        <w:t>Only our employees located in France are represented by a labor union, and we have not experienced any work stoppages or interruptions due to labor disputes worldwide. We believe our employee relations are positive.</w:t>
      </w:r>
    </w:p>
    <w:p>
      <w:pPr>
        <w:sectPr>
          <w:pgSz w:w="12240" w:h="15840" w:orient="portrait"/>
          <w:cols w:equalWidth="0" w:num="1">
            <w:col w:w="9700"/>
          </w:cols>
          <w:pgMar w:left="1260" w:top="1247" w:right="1280" w:bottom="72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16</w:t>
      </w:r>
    </w:p>
    <w:p>
      <w:pPr>
        <w:sectPr>
          <w:pgSz w:w="12240" w:h="15840" w:orient="portrait"/>
          <w:cols w:equalWidth="0" w:num="1">
            <w:col w:w="9700"/>
          </w:cols>
          <w:pgMar w:left="1260" w:top="1247" w:right="1280" w:bottom="723"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20"/>
          <w:szCs w:val="20"/>
          <w:i w:val="1"/>
          <w:iCs w:val="1"/>
          <w:color w:val="auto"/>
        </w:rPr>
        <w:drawing>
          <wp:anchor simplePos="0" relativeHeight="251657728" behindDoc="1" locked="0" layoutInCell="0" allowOverlap="1">
            <wp:simplePos x="0" y="0"/>
            <wp:positionH relativeFrom="page">
              <wp:posOffset>795655</wp:posOffset>
            </wp:positionH>
            <wp:positionV relativeFrom="page">
              <wp:posOffset>292735</wp:posOffset>
            </wp:positionV>
            <wp:extent cx="929005" cy="1149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8">
                      <a:extLst>
                        <a:ext uri="{28A0092B-C50C-407E-A947-70E740481C1C}"/>
                      </a:extLst>
                    </a:blip>
                    <a:srcRect/>
                    <a:stretch>
                      <a:fillRect/>
                    </a:stretch>
                  </pic:blipFill>
                  <pic:spPr bwMode="auto">
                    <a:xfrm>
                      <a:off x="0" y="0"/>
                      <a:ext cx="929005" cy="114935"/>
                    </a:xfrm>
                    <a:prstGeom prst="rect">
                      <a:avLst/>
                    </a:prstGeom>
                    <a:noFill/>
                  </pic:spPr>
                </pic:pic>
              </a:graphicData>
            </a:graphic>
          </wp:anchor>
        </w:drawing>
        <w:t>Employee Talent and Retention</w:t>
      </w:r>
    </w:p>
    <w:p>
      <w:pPr>
        <w:spacing w:after="0" w:line="196" w:lineRule="exact"/>
        <w:rPr>
          <w:sz w:val="20"/>
          <w:szCs w:val="20"/>
          <w:color w:val="auto"/>
        </w:rPr>
      </w:pPr>
    </w:p>
    <w:p>
      <w:pPr>
        <w:jc w:val="both"/>
        <w:ind w:right="80"/>
        <w:spacing w:after="0" w:line="259" w:lineRule="auto"/>
        <w:rPr>
          <w:sz w:val="20"/>
          <w:szCs w:val="20"/>
          <w:color w:val="auto"/>
        </w:rPr>
      </w:pPr>
      <w:r>
        <w:rPr>
          <w:rFonts w:ascii="Times New Roman" w:cs="Times New Roman" w:eastAsia="Times New Roman" w:hAnsi="Times New Roman"/>
          <w:sz w:val="20"/>
          <w:szCs w:val="20"/>
          <w:color w:val="auto"/>
        </w:rPr>
        <w:t>Our future operating results depend, in part, on our ability to attract and retain qualified employees, including members of senior management and key personnel. Competition for talent in our industry is significant, and the loss of services of key employees could adversely affect our business.</w:t>
      </w:r>
    </w:p>
    <w:p>
      <w:pPr>
        <w:spacing w:after="0" w:line="146" w:lineRule="exact"/>
        <w:rPr>
          <w:sz w:val="20"/>
          <w:szCs w:val="20"/>
          <w:color w:val="auto"/>
        </w:rPr>
      </w:pPr>
    </w:p>
    <w:p>
      <w:pPr>
        <w:ind w:right="200"/>
        <w:spacing w:after="0" w:line="252" w:lineRule="auto"/>
        <w:rPr>
          <w:sz w:val="20"/>
          <w:szCs w:val="20"/>
          <w:color w:val="auto"/>
        </w:rPr>
      </w:pPr>
      <w:r>
        <w:rPr>
          <w:rFonts w:ascii="Times New Roman" w:cs="Times New Roman" w:eastAsia="Times New Roman" w:hAnsi="Times New Roman"/>
          <w:sz w:val="20"/>
          <w:szCs w:val="20"/>
          <w:color w:val="auto"/>
        </w:rPr>
        <w:t>Our compensation programs are designed to be competitive and aligned with market practices. We periodically review and benchmark compensation to support our ability to attract and retain employees. Employees are encouraged to raise compensation-related concerns with management, Human Resources, or, if preferred, confidentially through our whistleblower hotline.</w:t>
      </w:r>
    </w:p>
    <w:p>
      <w:pPr>
        <w:spacing w:after="0" w:line="153" w:lineRule="exact"/>
        <w:rPr>
          <w:sz w:val="20"/>
          <w:szCs w:val="20"/>
          <w:color w:val="auto"/>
        </w:rPr>
      </w:pPr>
    </w:p>
    <w:p>
      <w:pPr>
        <w:ind w:right="40"/>
        <w:spacing w:after="0" w:line="279" w:lineRule="auto"/>
        <w:rPr>
          <w:sz w:val="20"/>
          <w:szCs w:val="20"/>
          <w:color w:val="auto"/>
        </w:rPr>
      </w:pPr>
      <w:r>
        <w:rPr>
          <w:rFonts w:ascii="Times New Roman" w:cs="Times New Roman" w:eastAsia="Times New Roman" w:hAnsi="Times New Roman"/>
          <w:sz w:val="20"/>
          <w:szCs w:val="20"/>
          <w:color w:val="auto"/>
        </w:rPr>
        <w:t>In addition to base compensation, our total rewards programs may include incentive compensation, equity-based awards, and employee benefits intended to support employee health, financial security, and overall wellbeing.</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Culture and Ethics</w:t>
      </w:r>
    </w:p>
    <w:p>
      <w:pPr>
        <w:spacing w:after="0" w:line="194" w:lineRule="exact"/>
        <w:rPr>
          <w:sz w:val="20"/>
          <w:szCs w:val="20"/>
          <w:color w:val="auto"/>
        </w:rPr>
      </w:pPr>
    </w:p>
    <w:p>
      <w:pPr>
        <w:ind w:right="220"/>
        <w:spacing w:after="0" w:line="279" w:lineRule="auto"/>
        <w:rPr>
          <w:sz w:val="20"/>
          <w:szCs w:val="20"/>
          <w:color w:val="auto"/>
        </w:rPr>
      </w:pPr>
      <w:r>
        <w:rPr>
          <w:rFonts w:ascii="Times New Roman" w:cs="Times New Roman" w:eastAsia="Times New Roman" w:hAnsi="Times New Roman"/>
          <w:sz w:val="20"/>
          <w:szCs w:val="20"/>
          <w:color w:val="auto"/>
        </w:rPr>
        <w:t>We seek to promote a high-performance culture that emphasizes collaboration, accountability, and integrity. Our Code of Conduct and related policies address ethical behavior, legal compliance, and workplace standards.</w:t>
      </w:r>
    </w:p>
    <w:p>
      <w:pPr>
        <w:spacing w:after="0" w:line="125" w:lineRule="exact"/>
        <w:rPr>
          <w:sz w:val="20"/>
          <w:szCs w:val="20"/>
          <w:color w:val="auto"/>
        </w:rPr>
      </w:pPr>
    </w:p>
    <w:p>
      <w:pPr>
        <w:ind w:right="440"/>
        <w:spacing w:after="0" w:line="259" w:lineRule="auto"/>
        <w:rPr>
          <w:sz w:val="20"/>
          <w:szCs w:val="20"/>
          <w:color w:val="auto"/>
        </w:rPr>
      </w:pPr>
      <w:r>
        <w:rPr>
          <w:rFonts w:ascii="Times New Roman" w:cs="Times New Roman" w:eastAsia="Times New Roman" w:hAnsi="Times New Roman"/>
          <w:sz w:val="20"/>
          <w:szCs w:val="20"/>
          <w:color w:val="auto"/>
        </w:rPr>
        <w:t>Employees are encouraged to report suspected violations of Company policies or applicable laws to management or Human Resources, or confidentially and anonymously through our whistleblower reporting mechanisms. We are committed to maintaining processes intended to allow employees to raise concerns without fear of retaliation.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Talent Development and Training</w:t>
      </w:r>
    </w:p>
    <w:p>
      <w:pPr>
        <w:spacing w:after="0" w:line="196" w:lineRule="exact"/>
        <w:rPr>
          <w:sz w:val="20"/>
          <w:szCs w:val="20"/>
          <w:color w:val="auto"/>
        </w:rPr>
      </w:pPr>
    </w:p>
    <w:p>
      <w:pPr>
        <w:ind w:right="320"/>
        <w:spacing w:after="0" w:line="259" w:lineRule="auto"/>
        <w:rPr>
          <w:sz w:val="20"/>
          <w:szCs w:val="20"/>
          <w:color w:val="auto"/>
        </w:rPr>
      </w:pPr>
      <w:r>
        <w:rPr>
          <w:rFonts w:ascii="Times New Roman" w:cs="Times New Roman" w:eastAsia="Times New Roman" w:hAnsi="Times New Roman"/>
          <w:sz w:val="20"/>
          <w:szCs w:val="20"/>
          <w:color w:val="auto"/>
        </w:rPr>
        <w:t>We provide training and development opportunities intended to support employee effectiveness, professional growth, and compliance with applicable laws and regulations. These programs include onboarding, role-specific training, leadership development, and compliance and ethics training.</w:t>
      </w:r>
    </w:p>
    <w:p>
      <w:pPr>
        <w:spacing w:after="0" w:line="146" w:lineRule="exact"/>
        <w:rPr>
          <w:sz w:val="20"/>
          <w:szCs w:val="20"/>
          <w:color w:val="auto"/>
        </w:rPr>
      </w:pPr>
    </w:p>
    <w:p>
      <w:pPr>
        <w:jc w:val="both"/>
        <w:ind w:right="80"/>
        <w:spacing w:after="0" w:line="259" w:lineRule="auto"/>
        <w:rPr>
          <w:sz w:val="20"/>
          <w:szCs w:val="20"/>
          <w:color w:val="auto"/>
        </w:rPr>
      </w:pPr>
      <w:r>
        <w:rPr>
          <w:rFonts w:ascii="Times New Roman" w:cs="Times New Roman" w:eastAsia="Times New Roman" w:hAnsi="Times New Roman"/>
          <w:sz w:val="20"/>
          <w:szCs w:val="20"/>
          <w:color w:val="auto"/>
        </w:rPr>
        <w:t>Our commercial organization participates in structured onboarding and ongoing training programs designed to reinforce core competencies, enhance skills, and align execution with commercial strategy. We also provide training programs for global commercial leaders and distribution partners to support consistent execution of our sales processes.</w:t>
      </w:r>
    </w:p>
    <w:p>
      <w:pPr>
        <w:spacing w:after="0" w:line="146" w:lineRule="exact"/>
        <w:rPr>
          <w:sz w:val="20"/>
          <w:szCs w:val="20"/>
          <w:color w:val="auto"/>
        </w:rPr>
      </w:pPr>
    </w:p>
    <w:p>
      <w:pPr>
        <w:ind w:right="20"/>
        <w:spacing w:after="0" w:line="279" w:lineRule="auto"/>
        <w:rPr>
          <w:sz w:val="20"/>
          <w:szCs w:val="20"/>
          <w:color w:val="auto"/>
        </w:rPr>
      </w:pPr>
      <w:r>
        <w:rPr>
          <w:rFonts w:ascii="Times New Roman" w:cs="Times New Roman" w:eastAsia="Times New Roman" w:hAnsi="Times New Roman"/>
          <w:sz w:val="20"/>
          <w:szCs w:val="20"/>
          <w:color w:val="auto"/>
        </w:rPr>
        <w:t>In addition, employees participate in specialized technical, regulatory, and quality-related training, as appropriate to their roles, to support product quality, regulatory compliance, and operational effectiveness.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Health, Safety and Wellness</w:t>
      </w:r>
    </w:p>
    <w:p>
      <w:pPr>
        <w:spacing w:after="0" w:line="196" w:lineRule="exact"/>
        <w:rPr>
          <w:sz w:val="20"/>
          <w:szCs w:val="20"/>
          <w:color w:val="auto"/>
        </w:rPr>
      </w:pPr>
    </w:p>
    <w:p>
      <w:pPr>
        <w:ind w:right="300"/>
        <w:spacing w:after="0" w:line="259" w:lineRule="auto"/>
        <w:rPr>
          <w:sz w:val="20"/>
          <w:szCs w:val="20"/>
          <w:color w:val="auto"/>
        </w:rPr>
      </w:pPr>
      <w:r>
        <w:rPr>
          <w:rFonts w:ascii="Times New Roman" w:cs="Times New Roman" w:eastAsia="Times New Roman" w:hAnsi="Times New Roman"/>
          <w:sz w:val="20"/>
          <w:szCs w:val="20"/>
          <w:color w:val="auto"/>
        </w:rPr>
        <w:t>Protecting the health, safety, and well-being of our employees is an important priority. We maintain workplace health and safety programs across our sites designed to comply with applicable occupational health and safety laws and regulations.</w:t>
      </w:r>
    </w:p>
    <w:p>
      <w:pPr>
        <w:spacing w:after="0" w:line="146" w:lineRule="exact"/>
        <w:rPr>
          <w:sz w:val="20"/>
          <w:szCs w:val="20"/>
          <w:color w:val="auto"/>
        </w:rPr>
      </w:pPr>
    </w:p>
    <w:p>
      <w:pPr>
        <w:ind w:right="320"/>
        <w:spacing w:after="0" w:line="259" w:lineRule="auto"/>
        <w:rPr>
          <w:sz w:val="20"/>
          <w:szCs w:val="20"/>
          <w:color w:val="auto"/>
        </w:rPr>
      </w:pPr>
      <w:r>
        <w:rPr>
          <w:rFonts w:ascii="Times New Roman" w:cs="Times New Roman" w:eastAsia="Times New Roman" w:hAnsi="Times New Roman"/>
          <w:sz w:val="20"/>
          <w:szCs w:val="20"/>
          <w:color w:val="auto"/>
        </w:rPr>
        <w:t>We offer employee benefit programs intended to support physical health, mental health, and overall wellbeing. These programs are periodically reviewed and adapted to address the evolving needs of our workforce, including benefits related to time away from work, family care, and financial wellbeing.</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Available Information</w:t>
      </w:r>
    </w:p>
    <w:p>
      <w:pPr>
        <w:spacing w:after="0" w:line="203"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9"/>
          <w:szCs w:val="19"/>
          <w:color w:val="auto"/>
        </w:rPr>
        <w:t xml:space="preserve">Our investor website address is http://investor.focalone.com. We make available on our website, free of charge, our Annual Reports on Form 10- K, our Quarterly Reports on Form 10- Q and our Current Reports on Form 8-K and any amendments to those reports filed or furnished pursuant to Section 13(a) or 15(d) of the Securities Exchange Act of 1934, as amended (the “Exchange Act”), as soon as reasonably practicable after we electronically file such material with, or furnish it to, the Securities and Exchange Commission (the “SEC”). The SEC maintains a website that contains reports, proxy and information statements and other information regarding our filings at </w:t>
      </w:r>
      <w:r>
        <w:rPr>
          <w:rFonts w:ascii="Times New Roman" w:cs="Times New Roman" w:eastAsia="Times New Roman" w:hAnsi="Times New Roman"/>
          <w:sz w:val="19"/>
          <w:szCs w:val="19"/>
          <w:u w:val="single" w:color="auto"/>
          <w:color w:val="auto"/>
        </w:rPr>
        <w:t>www.sec.gov</w:t>
      </w:r>
      <w:r>
        <w:rPr>
          <w:rFonts w:ascii="Times New Roman" w:cs="Times New Roman" w:eastAsia="Times New Roman" w:hAnsi="Times New Roman"/>
          <w:sz w:val="19"/>
          <w:szCs w:val="19"/>
          <w:color w:val="auto"/>
        </w:rPr>
        <w:t>. Information contained on or accessible through our website is not a part of our Annual Report on Form 10- K, and the inclusion of our website address in this Annual Report on Form 10-K is an inactive textual reference only. The information found on our</w:t>
      </w:r>
    </w:p>
    <w:p>
      <w:pPr>
        <w:sectPr>
          <w:pgSz w:w="12240" w:h="15840" w:orient="portrait"/>
          <w:cols w:equalWidth="0" w:num="1">
            <w:col w:w="9720"/>
          </w:cols>
          <w:pgMar w:left="1260" w:top="1250" w:right="1260" w:bottom="723" w:gutter="0" w:footer="0" w:header="0"/>
        </w:sect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ectPr>
          <w:pgSz w:w="12240" w:h="15840" w:orient="portrait"/>
          <w:cols w:equalWidth="0" w:num="1">
            <w:col w:w="9720"/>
          </w:cols>
          <w:pgMar w:left="1260" w:top="1250" w:right="1260" w:bottom="723" w:gutter="0" w:footer="0" w:header="0"/>
          <w:type w:val="continuous"/>
        </w:sectPr>
      </w:pPr>
    </w:p>
    <w:bookmarkStart w:id="20" w:name="page21"/>
    <w:bookmarkEnd w:id="20"/>
    <w:p>
      <w:pPr>
        <w:ind w:right="600"/>
        <w:spacing w:after="0" w:line="279"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795655</wp:posOffset>
            </wp:positionH>
            <wp:positionV relativeFrom="page">
              <wp:posOffset>292735</wp:posOffset>
            </wp:positionV>
            <wp:extent cx="929005" cy="1149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9">
                      <a:extLst>
                        <a:ext uri="{28A0092B-C50C-407E-A947-70E740481C1C}"/>
                      </a:extLst>
                    </a:blip>
                    <a:srcRect/>
                    <a:stretch>
                      <a:fillRect/>
                    </a:stretch>
                  </pic:blipFill>
                  <pic:spPr bwMode="auto">
                    <a:xfrm>
                      <a:off x="0" y="0"/>
                      <a:ext cx="929005" cy="114935"/>
                    </a:xfrm>
                    <a:prstGeom prst="rect">
                      <a:avLst/>
                    </a:prstGeom>
                    <a:noFill/>
                  </pic:spPr>
                </pic:pic>
              </a:graphicData>
            </a:graphic>
          </wp:anchor>
        </w:drawing>
        <w:t>website is not incorporated by reference into this Annual Report on Form 10-K or any other report we file with or furnish to the SEC.</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1A. Risk Factors.</w:t>
      </w:r>
    </w:p>
    <w:p>
      <w:pPr>
        <w:spacing w:after="0" w:line="203"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20"/>
          <w:szCs w:val="20"/>
          <w:color w:val="auto"/>
        </w:rPr>
        <w:t>In addition to the other information contained in this annual report, the following risk factors should be carefully considered in evaluating us and our business. These statements are intended to highlight the material risk factors that may cause actual financial, business, research or operating results to differ materially from expectations disclosed in this annual report. See also factors disclosed under “Cautionary statement on forward-looking information.”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SUMMARY RISK FACTORS</w:t>
      </w:r>
    </w:p>
    <w:p>
      <w:pPr>
        <w:spacing w:after="0" w:line="203" w:lineRule="exact"/>
        <w:rPr>
          <w:sz w:val="20"/>
          <w:szCs w:val="20"/>
          <w:color w:val="auto"/>
        </w:rPr>
      </w:pPr>
    </w:p>
    <w:p>
      <w:pPr>
        <w:ind w:right="80"/>
        <w:spacing w:after="0" w:line="279" w:lineRule="auto"/>
        <w:rPr>
          <w:sz w:val="20"/>
          <w:szCs w:val="20"/>
          <w:color w:val="auto"/>
        </w:rPr>
      </w:pPr>
      <w:r>
        <w:rPr>
          <w:rFonts w:ascii="Times New Roman" w:cs="Times New Roman" w:eastAsia="Times New Roman" w:hAnsi="Times New Roman"/>
          <w:sz w:val="20"/>
          <w:szCs w:val="20"/>
          <w:color w:val="auto"/>
        </w:rPr>
        <w:t>Our business and our industry are subject to numerous risks described in the following risk factors and elsewhere in this annual report, Investors should carefully consider these risks before making a decision to invest in our securities.</w:t>
      </w:r>
    </w:p>
    <w:p>
      <w:pPr>
        <w:spacing w:after="0" w:line="125" w:lineRule="exact"/>
        <w:rPr>
          <w:sz w:val="20"/>
          <w:szCs w:val="20"/>
          <w:color w:val="auto"/>
        </w:rPr>
      </w:pPr>
    </w:p>
    <w:p>
      <w:pPr>
        <w:ind w:right="360"/>
        <w:spacing w:after="0" w:line="279" w:lineRule="auto"/>
        <w:rPr>
          <w:sz w:val="20"/>
          <w:szCs w:val="20"/>
          <w:color w:val="auto"/>
        </w:rPr>
      </w:pPr>
      <w:r>
        <w:rPr>
          <w:rFonts w:ascii="Times New Roman" w:cs="Times New Roman" w:eastAsia="Times New Roman" w:hAnsi="Times New Roman"/>
          <w:sz w:val="20"/>
          <w:szCs w:val="20"/>
          <w:color w:val="auto"/>
        </w:rPr>
        <w:t>The main risk factors relating to the Company and its business operations are grouped into the eight categories listed below. The risks described below are not the only risks facing us.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Business, Financial Position and Capital Needs</w:t>
      </w:r>
    </w:p>
    <w:p>
      <w:pPr>
        <w:spacing w:after="0" w:line="217" w:lineRule="exact"/>
        <w:rPr>
          <w:sz w:val="20"/>
          <w:szCs w:val="20"/>
          <w:color w:val="auto"/>
        </w:rPr>
      </w:pPr>
    </w:p>
    <w:p>
      <w:pPr>
        <w:ind w:left="720" w:hanging="353"/>
        <w:spacing w:after="0"/>
        <w:tabs>
          <w:tab w:leader="none" w:pos="720" w:val="left"/>
        </w:tabs>
        <w:numPr>
          <w:ilvl w:val="0"/>
          <w:numId w:val="16"/>
        </w:numPr>
        <w:rPr>
          <w:rFonts w:ascii="Arial" w:cs="Arial" w:eastAsia="Arial" w:hAnsi="Arial"/>
          <w:sz w:val="20"/>
          <w:szCs w:val="20"/>
          <w:color w:val="auto"/>
        </w:rPr>
      </w:pPr>
      <w:r>
        <w:rPr>
          <w:rFonts w:ascii="Times New Roman" w:cs="Times New Roman" w:eastAsia="Times New Roman" w:hAnsi="Times New Roman"/>
          <w:sz w:val="20"/>
          <w:szCs w:val="20"/>
          <w:color w:val="auto"/>
        </w:rPr>
        <w:t>If we are unable to obtain additional financing when needed, our ability to continue could be adversely affected.</w:t>
      </w:r>
    </w:p>
    <w:p>
      <w:pPr>
        <w:spacing w:after="0" w:line="13" w:lineRule="exact"/>
        <w:rPr>
          <w:rFonts w:ascii="Arial" w:cs="Arial" w:eastAsia="Arial" w:hAnsi="Arial"/>
          <w:sz w:val="20"/>
          <w:szCs w:val="20"/>
          <w:color w:val="auto"/>
        </w:rPr>
      </w:pPr>
    </w:p>
    <w:p>
      <w:pPr>
        <w:ind w:left="720" w:right="260" w:hanging="353"/>
        <w:spacing w:after="0" w:line="246" w:lineRule="auto"/>
        <w:tabs>
          <w:tab w:leader="none" w:pos="720" w:val="left"/>
        </w:tabs>
        <w:numPr>
          <w:ilvl w:val="0"/>
          <w:numId w:val="16"/>
        </w:numPr>
        <w:rPr>
          <w:rFonts w:ascii="Arial" w:cs="Arial" w:eastAsia="Arial" w:hAnsi="Arial"/>
          <w:sz w:val="20"/>
          <w:szCs w:val="20"/>
          <w:color w:val="auto"/>
        </w:rPr>
      </w:pPr>
      <w:r>
        <w:rPr>
          <w:rFonts w:ascii="Times New Roman" w:cs="Times New Roman" w:eastAsia="Times New Roman" w:hAnsi="Times New Roman"/>
          <w:sz w:val="20"/>
          <w:szCs w:val="20"/>
          <w:color w:val="auto"/>
        </w:rPr>
        <w:t>Our future revenue and income growth depends, among other things, on implementing our business strategy, which largely depends on the success of our HIFU technology.</w:t>
      </w:r>
    </w:p>
    <w:p>
      <w:pPr>
        <w:ind w:left="720" w:right="320" w:hanging="353"/>
        <w:spacing w:after="0" w:line="247" w:lineRule="auto"/>
        <w:tabs>
          <w:tab w:leader="none" w:pos="720" w:val="left"/>
        </w:tabs>
        <w:numPr>
          <w:ilvl w:val="0"/>
          <w:numId w:val="16"/>
        </w:numPr>
        <w:rPr>
          <w:rFonts w:ascii="Arial" w:cs="Arial" w:eastAsia="Arial" w:hAnsi="Arial"/>
          <w:sz w:val="20"/>
          <w:szCs w:val="20"/>
          <w:color w:val="auto"/>
        </w:rPr>
      </w:pPr>
      <w:r>
        <w:rPr>
          <w:rFonts w:ascii="Times New Roman" w:cs="Times New Roman" w:eastAsia="Times New Roman" w:hAnsi="Times New Roman"/>
          <w:sz w:val="20"/>
          <w:szCs w:val="20"/>
          <w:color w:val="auto"/>
        </w:rPr>
        <w:t>Changes in U.S. trade policy, including the imposition of tariffs and the resulting consequences, may have a material adverse impact on our business and results of operations.</w:t>
      </w:r>
    </w:p>
    <w:p>
      <w:pPr>
        <w:spacing w:after="0" w:line="1" w:lineRule="exact"/>
        <w:rPr>
          <w:rFonts w:ascii="Arial" w:cs="Arial" w:eastAsia="Arial" w:hAnsi="Arial"/>
          <w:sz w:val="20"/>
          <w:szCs w:val="20"/>
          <w:color w:val="auto"/>
        </w:rPr>
      </w:pPr>
    </w:p>
    <w:p>
      <w:pPr>
        <w:ind w:left="720" w:hanging="353"/>
        <w:spacing w:after="0"/>
        <w:tabs>
          <w:tab w:leader="none" w:pos="720" w:val="left"/>
        </w:tabs>
        <w:numPr>
          <w:ilvl w:val="0"/>
          <w:numId w:val="16"/>
        </w:numPr>
        <w:rPr>
          <w:rFonts w:ascii="Arial" w:cs="Arial" w:eastAsia="Arial" w:hAnsi="Arial"/>
          <w:sz w:val="20"/>
          <w:szCs w:val="20"/>
          <w:color w:val="auto"/>
        </w:rPr>
      </w:pPr>
      <w:r>
        <w:rPr>
          <w:rFonts w:ascii="Times New Roman" w:cs="Times New Roman" w:eastAsia="Times New Roman" w:hAnsi="Times New Roman"/>
          <w:sz w:val="20"/>
          <w:szCs w:val="20"/>
          <w:color w:val="auto"/>
        </w:rPr>
        <w:t>Our cash flow is highly dependent on cyclical demand for our products.</w:t>
      </w:r>
    </w:p>
    <w:p>
      <w:pPr>
        <w:spacing w:after="0" w:line="13" w:lineRule="exact"/>
        <w:rPr>
          <w:rFonts w:ascii="Arial" w:cs="Arial" w:eastAsia="Arial" w:hAnsi="Arial"/>
          <w:sz w:val="20"/>
          <w:szCs w:val="20"/>
          <w:color w:val="auto"/>
        </w:rPr>
      </w:pPr>
    </w:p>
    <w:p>
      <w:pPr>
        <w:ind w:left="720" w:right="240" w:hanging="353"/>
        <w:spacing w:after="0" w:line="278" w:lineRule="auto"/>
        <w:tabs>
          <w:tab w:leader="none" w:pos="720" w:val="left"/>
        </w:tabs>
        <w:numPr>
          <w:ilvl w:val="0"/>
          <w:numId w:val="16"/>
        </w:numPr>
        <w:rPr>
          <w:rFonts w:ascii="Arial" w:cs="Arial" w:eastAsia="Arial" w:hAnsi="Arial"/>
          <w:sz w:val="20"/>
          <w:szCs w:val="20"/>
          <w:color w:val="auto"/>
        </w:rPr>
      </w:pPr>
      <w:r>
        <w:rPr>
          <w:rFonts w:ascii="Times New Roman" w:cs="Times New Roman" w:eastAsia="Times New Roman" w:hAnsi="Times New Roman"/>
          <w:sz w:val="20"/>
          <w:szCs w:val="20"/>
          <w:color w:val="auto"/>
        </w:rPr>
        <w:t>Our results of operations have fluctuated significantly from quarter to quarter in the past and may continue to do so in the future.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Indebtedness</w:t>
      </w:r>
    </w:p>
    <w:p>
      <w:pPr>
        <w:spacing w:after="0" w:line="217" w:lineRule="exact"/>
        <w:rPr>
          <w:sz w:val="20"/>
          <w:szCs w:val="20"/>
          <w:color w:val="auto"/>
        </w:rPr>
      </w:pPr>
    </w:p>
    <w:p>
      <w:pPr>
        <w:ind w:left="720" w:right="100" w:hanging="353"/>
        <w:spacing w:after="0" w:line="246" w:lineRule="auto"/>
        <w:tabs>
          <w:tab w:leader="none" w:pos="720" w:val="left"/>
        </w:tabs>
        <w:numPr>
          <w:ilvl w:val="0"/>
          <w:numId w:val="17"/>
        </w:numPr>
        <w:rPr>
          <w:rFonts w:ascii="Arial" w:cs="Arial" w:eastAsia="Arial" w:hAnsi="Arial"/>
          <w:sz w:val="20"/>
          <w:szCs w:val="20"/>
          <w:color w:val="auto"/>
        </w:rPr>
      </w:pPr>
      <w:r>
        <w:rPr>
          <w:rFonts w:ascii="Times New Roman" w:cs="Times New Roman" w:eastAsia="Times New Roman" w:hAnsi="Times New Roman"/>
          <w:sz w:val="20"/>
          <w:szCs w:val="20"/>
          <w:color w:val="auto"/>
        </w:rPr>
        <w:t>We have incurred substantial debt, which could impair our flexibility and access to capital and adversely affect our financial position.</w:t>
      </w:r>
    </w:p>
    <w:p>
      <w:pPr>
        <w:ind w:left="720" w:right="320" w:hanging="353"/>
        <w:spacing w:after="0" w:line="247" w:lineRule="auto"/>
        <w:tabs>
          <w:tab w:leader="none" w:pos="720" w:val="left"/>
        </w:tabs>
        <w:numPr>
          <w:ilvl w:val="0"/>
          <w:numId w:val="17"/>
        </w:numPr>
        <w:rPr>
          <w:rFonts w:ascii="Arial" w:cs="Arial" w:eastAsia="Arial" w:hAnsi="Arial"/>
          <w:sz w:val="20"/>
          <w:szCs w:val="20"/>
          <w:color w:val="auto"/>
        </w:rPr>
      </w:pPr>
      <w:r>
        <w:rPr>
          <w:rFonts w:ascii="Times New Roman" w:cs="Times New Roman" w:eastAsia="Times New Roman" w:hAnsi="Times New Roman"/>
          <w:sz w:val="20"/>
          <w:szCs w:val="20"/>
          <w:color w:val="auto"/>
        </w:rPr>
        <w:t>Servicing our debt requires a significant amount of cash, and we may not have sufficient cash flow from our business to pay our substantial debt.</w:t>
      </w:r>
    </w:p>
    <w:p>
      <w:pPr>
        <w:spacing w:after="0" w:line="1" w:lineRule="exact"/>
        <w:rPr>
          <w:rFonts w:ascii="Arial" w:cs="Arial" w:eastAsia="Arial" w:hAnsi="Arial"/>
          <w:sz w:val="20"/>
          <w:szCs w:val="20"/>
          <w:color w:val="auto"/>
        </w:rPr>
      </w:pPr>
    </w:p>
    <w:p>
      <w:pPr>
        <w:ind w:left="720" w:right="500" w:hanging="353"/>
        <w:spacing w:after="0" w:line="278" w:lineRule="auto"/>
        <w:tabs>
          <w:tab w:leader="none" w:pos="720" w:val="left"/>
        </w:tabs>
        <w:numPr>
          <w:ilvl w:val="0"/>
          <w:numId w:val="17"/>
        </w:numPr>
        <w:rPr>
          <w:rFonts w:ascii="Arial" w:cs="Arial" w:eastAsia="Arial" w:hAnsi="Arial"/>
          <w:sz w:val="20"/>
          <w:szCs w:val="20"/>
          <w:color w:val="auto"/>
        </w:rPr>
      </w:pPr>
      <w:r>
        <w:rPr>
          <w:rFonts w:ascii="Times New Roman" w:cs="Times New Roman" w:eastAsia="Times New Roman" w:hAnsi="Times New Roman"/>
          <w:sz w:val="20"/>
          <w:szCs w:val="20"/>
          <w:color w:val="auto"/>
        </w:rPr>
        <w:t>Exercise of the warrants issued to the European Investment Bank may dilute the ownership interest of our shareholders or may otherwise depress the market price of our ADSs.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Product Candidates and the Industry in which we Operate</w:t>
      </w:r>
    </w:p>
    <w:p>
      <w:pPr>
        <w:spacing w:after="0" w:line="217" w:lineRule="exact"/>
        <w:rPr>
          <w:sz w:val="20"/>
          <w:szCs w:val="20"/>
          <w:color w:val="auto"/>
        </w:rPr>
      </w:pPr>
    </w:p>
    <w:p>
      <w:pPr>
        <w:ind w:left="720" w:right="600" w:hanging="353"/>
        <w:spacing w:after="0" w:line="247" w:lineRule="auto"/>
        <w:tabs>
          <w:tab w:leader="none" w:pos="720" w:val="left"/>
        </w:tabs>
        <w:numPr>
          <w:ilvl w:val="0"/>
          <w:numId w:val="18"/>
        </w:numPr>
        <w:rPr>
          <w:rFonts w:ascii="Arial" w:cs="Arial" w:eastAsia="Arial" w:hAnsi="Arial"/>
          <w:sz w:val="20"/>
          <w:szCs w:val="20"/>
          <w:color w:val="auto"/>
        </w:rPr>
      </w:pPr>
      <w:r>
        <w:rPr>
          <w:rFonts w:ascii="Times New Roman" w:cs="Times New Roman" w:eastAsia="Times New Roman" w:hAnsi="Times New Roman"/>
          <w:sz w:val="20"/>
          <w:szCs w:val="20"/>
          <w:color w:val="auto"/>
        </w:rPr>
        <w:t>If we do not optimize our sales channels and maintain high product quality, our operating results may be negatively impacted.</w:t>
      </w:r>
    </w:p>
    <w:p>
      <w:pPr>
        <w:spacing w:after="0" w:line="1" w:lineRule="exact"/>
        <w:rPr>
          <w:rFonts w:ascii="Arial" w:cs="Arial" w:eastAsia="Arial" w:hAnsi="Arial"/>
          <w:sz w:val="20"/>
          <w:szCs w:val="20"/>
          <w:color w:val="auto"/>
        </w:rPr>
      </w:pPr>
    </w:p>
    <w:p>
      <w:pPr>
        <w:ind w:left="720" w:hanging="353"/>
        <w:spacing w:after="0"/>
        <w:tabs>
          <w:tab w:leader="none" w:pos="720" w:val="left"/>
        </w:tabs>
        <w:numPr>
          <w:ilvl w:val="0"/>
          <w:numId w:val="18"/>
        </w:numPr>
        <w:rPr>
          <w:rFonts w:ascii="Arial" w:cs="Arial" w:eastAsia="Arial" w:hAnsi="Arial"/>
          <w:sz w:val="20"/>
          <w:szCs w:val="20"/>
          <w:color w:val="auto"/>
        </w:rPr>
      </w:pPr>
      <w:r>
        <w:rPr>
          <w:rFonts w:ascii="Times New Roman" w:cs="Times New Roman" w:eastAsia="Times New Roman" w:hAnsi="Times New Roman"/>
          <w:sz w:val="20"/>
          <w:szCs w:val="20"/>
          <w:color w:val="auto"/>
        </w:rPr>
        <w:t>New device developments and introductions may adversely impact our financial results.</w:t>
      </w:r>
    </w:p>
    <w:p>
      <w:pPr>
        <w:spacing w:after="0" w:line="13" w:lineRule="exact"/>
        <w:rPr>
          <w:rFonts w:ascii="Arial" w:cs="Arial" w:eastAsia="Arial" w:hAnsi="Arial"/>
          <w:sz w:val="20"/>
          <w:szCs w:val="20"/>
          <w:color w:val="auto"/>
        </w:rPr>
      </w:pPr>
    </w:p>
    <w:p>
      <w:pPr>
        <w:ind w:left="720" w:right="620" w:hanging="353"/>
        <w:spacing w:after="0" w:line="246" w:lineRule="auto"/>
        <w:tabs>
          <w:tab w:leader="none" w:pos="720" w:val="left"/>
        </w:tabs>
        <w:numPr>
          <w:ilvl w:val="0"/>
          <w:numId w:val="18"/>
        </w:numPr>
        <w:rPr>
          <w:rFonts w:ascii="Arial" w:cs="Arial" w:eastAsia="Arial" w:hAnsi="Arial"/>
          <w:sz w:val="20"/>
          <w:szCs w:val="20"/>
          <w:color w:val="auto"/>
        </w:rPr>
      </w:pPr>
      <w:r>
        <w:rPr>
          <w:rFonts w:ascii="Times New Roman" w:cs="Times New Roman" w:eastAsia="Times New Roman" w:hAnsi="Times New Roman"/>
          <w:sz w:val="20"/>
          <w:szCs w:val="20"/>
          <w:color w:val="auto"/>
        </w:rPr>
        <w:t>Potential issues in the adoption and use of AI in our product offerings may result in reputational harm or liability.</w:t>
      </w:r>
    </w:p>
    <w:p>
      <w:pPr>
        <w:ind w:left="720" w:hanging="353"/>
        <w:spacing w:after="0"/>
        <w:tabs>
          <w:tab w:leader="none" w:pos="720" w:val="left"/>
        </w:tabs>
        <w:numPr>
          <w:ilvl w:val="0"/>
          <w:numId w:val="18"/>
        </w:numPr>
        <w:rPr>
          <w:rFonts w:ascii="Arial" w:cs="Arial" w:eastAsia="Arial" w:hAnsi="Arial"/>
          <w:sz w:val="20"/>
          <w:szCs w:val="20"/>
          <w:color w:val="auto"/>
        </w:rPr>
      </w:pPr>
      <w:r>
        <w:rPr>
          <w:rFonts w:ascii="Times New Roman" w:cs="Times New Roman" w:eastAsia="Times New Roman" w:hAnsi="Times New Roman"/>
          <w:sz w:val="20"/>
          <w:szCs w:val="20"/>
          <w:color w:val="auto"/>
        </w:rPr>
        <w:t>Our future success depends on obtaining and maintaining government regulatory approval of our products.</w:t>
      </w:r>
    </w:p>
    <w:p>
      <w:pPr>
        <w:spacing w:after="0" w:line="13" w:lineRule="exact"/>
        <w:rPr>
          <w:rFonts w:ascii="Arial" w:cs="Arial" w:eastAsia="Arial" w:hAnsi="Arial"/>
          <w:sz w:val="20"/>
          <w:szCs w:val="20"/>
          <w:color w:val="auto"/>
        </w:rPr>
      </w:pPr>
    </w:p>
    <w:p>
      <w:pPr>
        <w:ind w:left="720" w:hanging="353"/>
        <w:spacing w:after="0"/>
        <w:tabs>
          <w:tab w:leader="none" w:pos="720" w:val="left"/>
        </w:tabs>
        <w:numPr>
          <w:ilvl w:val="0"/>
          <w:numId w:val="18"/>
        </w:numPr>
        <w:rPr>
          <w:rFonts w:ascii="Arial" w:cs="Arial" w:eastAsia="Arial" w:hAnsi="Arial"/>
          <w:sz w:val="20"/>
          <w:szCs w:val="20"/>
          <w:color w:val="auto"/>
        </w:rPr>
      </w:pPr>
      <w:r>
        <w:rPr>
          <w:rFonts w:ascii="Times New Roman" w:cs="Times New Roman" w:eastAsia="Times New Roman" w:hAnsi="Times New Roman"/>
          <w:sz w:val="20"/>
          <w:szCs w:val="20"/>
          <w:color w:val="auto"/>
        </w:rPr>
        <w:t>Our business depends on the success of our clinical trials related to products using HIFU technology.</w:t>
      </w:r>
    </w:p>
    <w:p>
      <w:pPr>
        <w:spacing w:after="0" w:line="13" w:lineRule="exact"/>
        <w:rPr>
          <w:rFonts w:ascii="Arial" w:cs="Arial" w:eastAsia="Arial" w:hAnsi="Arial"/>
          <w:sz w:val="20"/>
          <w:szCs w:val="20"/>
          <w:color w:val="auto"/>
        </w:rPr>
      </w:pPr>
    </w:p>
    <w:p>
      <w:pPr>
        <w:ind w:left="720" w:right="320" w:hanging="354"/>
        <w:spacing w:after="0" w:line="246" w:lineRule="auto"/>
        <w:tabs>
          <w:tab w:leader="none" w:pos="720" w:val="left"/>
        </w:tabs>
        <w:numPr>
          <w:ilvl w:val="0"/>
          <w:numId w:val="18"/>
        </w:numPr>
        <w:rPr>
          <w:rFonts w:ascii="Arial" w:cs="Arial" w:eastAsia="Arial" w:hAnsi="Arial"/>
          <w:sz w:val="20"/>
          <w:szCs w:val="20"/>
          <w:color w:val="auto"/>
        </w:rPr>
      </w:pPr>
      <w:r>
        <w:rPr>
          <w:rFonts w:ascii="Times New Roman" w:cs="Times New Roman" w:eastAsia="Times New Roman" w:hAnsi="Times New Roman"/>
          <w:sz w:val="20"/>
          <w:szCs w:val="20"/>
          <w:color w:val="auto"/>
        </w:rPr>
        <w:t>The commercial success of our products depends on whether our products are eligible for reimbursement by national health authorities and third-party payers.</w:t>
      </w:r>
    </w:p>
    <w:p>
      <w:pPr>
        <w:ind w:left="720" w:right="180" w:hanging="354"/>
        <w:spacing w:after="0" w:line="247" w:lineRule="auto"/>
        <w:tabs>
          <w:tab w:leader="none" w:pos="720" w:val="left"/>
        </w:tabs>
        <w:numPr>
          <w:ilvl w:val="0"/>
          <w:numId w:val="18"/>
        </w:numPr>
        <w:rPr>
          <w:rFonts w:ascii="Arial" w:cs="Arial" w:eastAsia="Arial" w:hAnsi="Arial"/>
          <w:sz w:val="20"/>
          <w:szCs w:val="20"/>
          <w:color w:val="auto"/>
        </w:rPr>
      </w:pPr>
      <w:r>
        <w:rPr>
          <w:rFonts w:ascii="Times New Roman" w:cs="Times New Roman" w:eastAsia="Times New Roman" w:hAnsi="Times New Roman"/>
          <w:sz w:val="20"/>
          <w:szCs w:val="20"/>
          <w:color w:val="auto"/>
        </w:rPr>
        <w:t>HIFU technology may not be widely adopted by the medical community and may never become a standard of care.</w:t>
      </w:r>
    </w:p>
    <w:p>
      <w:pPr>
        <w:spacing w:after="0" w:line="1" w:lineRule="exact"/>
        <w:rPr>
          <w:rFonts w:ascii="Arial" w:cs="Arial" w:eastAsia="Arial" w:hAnsi="Arial"/>
          <w:sz w:val="20"/>
          <w:szCs w:val="20"/>
          <w:color w:val="auto"/>
        </w:rPr>
      </w:pPr>
    </w:p>
    <w:p>
      <w:pPr>
        <w:ind w:left="720" w:hanging="354"/>
        <w:spacing w:after="0"/>
        <w:tabs>
          <w:tab w:leader="none" w:pos="720" w:val="left"/>
        </w:tabs>
        <w:numPr>
          <w:ilvl w:val="0"/>
          <w:numId w:val="18"/>
        </w:numPr>
        <w:rPr>
          <w:rFonts w:ascii="Arial" w:cs="Arial" w:eastAsia="Arial" w:hAnsi="Arial"/>
          <w:sz w:val="20"/>
          <w:szCs w:val="20"/>
          <w:color w:val="auto"/>
        </w:rPr>
      </w:pPr>
      <w:r>
        <w:rPr>
          <w:rFonts w:ascii="Times New Roman" w:cs="Times New Roman" w:eastAsia="Times New Roman" w:hAnsi="Times New Roman"/>
          <w:sz w:val="20"/>
          <w:szCs w:val="20"/>
          <w:color w:val="auto"/>
        </w:rPr>
        <w:t>There is a substantial risk our products or service offerings could become obsolete or uncompetitive.</w:t>
      </w:r>
    </w:p>
    <w:p>
      <w:pPr>
        <w:sectPr>
          <w:pgSz w:w="12240" w:h="15840" w:orient="portrait"/>
          <w:cols w:equalWidth="0" w:num="1">
            <w:col w:w="9700"/>
          </w:cols>
          <w:pgMar w:left="1260" w:top="1247" w:right="1280" w:bottom="72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18</w:t>
      </w:r>
    </w:p>
    <w:p>
      <w:pPr>
        <w:sectPr>
          <w:pgSz w:w="12240" w:h="15840" w:orient="portrait"/>
          <w:cols w:equalWidth="0" w:num="1">
            <w:col w:w="9700"/>
          </w:cols>
          <w:pgMar w:left="1260" w:top="1247" w:right="1280" w:bottom="723"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795655</wp:posOffset>
            </wp:positionH>
            <wp:positionV relativeFrom="page">
              <wp:posOffset>292735</wp:posOffset>
            </wp:positionV>
            <wp:extent cx="929005" cy="1149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0">
                      <a:extLst>
                        <a:ext uri="{28A0092B-C50C-407E-A947-70E740481C1C}"/>
                      </a:extLst>
                    </a:blip>
                    <a:srcRect/>
                    <a:stretch>
                      <a:fillRect/>
                    </a:stretch>
                  </pic:blipFill>
                  <pic:spPr bwMode="auto">
                    <a:xfrm>
                      <a:off x="0" y="0"/>
                      <a:ext cx="929005" cy="114935"/>
                    </a:xfrm>
                    <a:prstGeom prst="rect">
                      <a:avLst/>
                    </a:prstGeom>
                    <a:noFill/>
                  </pic:spPr>
                </pic:pic>
              </a:graphicData>
            </a:graphic>
          </wp:anchor>
        </w:drawing>
        <w:t>Risks Related to our Organization and Operations</w:t>
      </w:r>
    </w:p>
    <w:p>
      <w:pPr>
        <w:spacing w:after="0" w:line="217" w:lineRule="exact"/>
        <w:rPr>
          <w:sz w:val="20"/>
          <w:szCs w:val="20"/>
          <w:color w:val="auto"/>
        </w:rPr>
      </w:pPr>
    </w:p>
    <w:p>
      <w:pPr>
        <w:ind w:left="720" w:right="120" w:hanging="353"/>
        <w:spacing w:after="0" w:line="247" w:lineRule="auto"/>
        <w:tabs>
          <w:tab w:leader="none" w:pos="720" w:val="left"/>
        </w:tabs>
        <w:numPr>
          <w:ilvl w:val="0"/>
          <w:numId w:val="19"/>
        </w:numPr>
        <w:rPr>
          <w:rFonts w:ascii="Arial" w:cs="Arial" w:eastAsia="Arial" w:hAnsi="Arial"/>
          <w:sz w:val="20"/>
          <w:szCs w:val="20"/>
          <w:color w:val="auto"/>
        </w:rPr>
      </w:pPr>
      <w:r>
        <w:rPr>
          <w:rFonts w:ascii="Times New Roman" w:cs="Times New Roman" w:eastAsia="Times New Roman" w:hAnsi="Times New Roman"/>
          <w:sz w:val="20"/>
          <w:szCs w:val="20"/>
          <w:color w:val="auto"/>
        </w:rPr>
        <w:t>Our revenue may be disrupted due to our strategic shift to focus on HIFU activities away from our legacy non-HIFU activities.</w:t>
      </w:r>
    </w:p>
    <w:p>
      <w:pPr>
        <w:spacing w:after="0" w:line="1" w:lineRule="exact"/>
        <w:rPr>
          <w:rFonts w:ascii="Arial" w:cs="Arial" w:eastAsia="Arial" w:hAnsi="Arial"/>
          <w:sz w:val="20"/>
          <w:szCs w:val="20"/>
          <w:color w:val="auto"/>
        </w:rPr>
      </w:pPr>
    </w:p>
    <w:p>
      <w:pPr>
        <w:ind w:left="720" w:hanging="353"/>
        <w:spacing w:after="0"/>
        <w:tabs>
          <w:tab w:leader="none" w:pos="720" w:val="left"/>
        </w:tabs>
        <w:numPr>
          <w:ilvl w:val="0"/>
          <w:numId w:val="19"/>
        </w:numPr>
        <w:rPr>
          <w:rFonts w:ascii="Arial" w:cs="Arial" w:eastAsia="Arial" w:hAnsi="Arial"/>
          <w:sz w:val="20"/>
          <w:szCs w:val="20"/>
          <w:color w:val="auto"/>
        </w:rPr>
      </w:pPr>
      <w:r>
        <w:rPr>
          <w:rFonts w:ascii="Times New Roman" w:cs="Times New Roman" w:eastAsia="Times New Roman" w:hAnsi="Times New Roman"/>
          <w:sz w:val="20"/>
          <w:szCs w:val="20"/>
          <w:color w:val="auto"/>
        </w:rPr>
        <w:t>We may face a significant risk of exposure to product liability claims linked to the misuse of our products.</w:t>
      </w:r>
    </w:p>
    <w:p>
      <w:pPr>
        <w:spacing w:after="0" w:line="11" w:lineRule="exact"/>
        <w:rPr>
          <w:rFonts w:ascii="Arial" w:cs="Arial" w:eastAsia="Arial" w:hAnsi="Arial"/>
          <w:sz w:val="20"/>
          <w:szCs w:val="20"/>
          <w:color w:val="auto"/>
        </w:rPr>
      </w:pPr>
    </w:p>
    <w:p>
      <w:pPr>
        <w:ind w:left="720" w:right="280" w:hanging="353"/>
        <w:spacing w:after="0" w:line="247" w:lineRule="auto"/>
        <w:tabs>
          <w:tab w:leader="none" w:pos="720" w:val="left"/>
        </w:tabs>
        <w:numPr>
          <w:ilvl w:val="0"/>
          <w:numId w:val="19"/>
        </w:numPr>
        <w:rPr>
          <w:rFonts w:ascii="Arial" w:cs="Arial" w:eastAsia="Arial" w:hAnsi="Arial"/>
          <w:sz w:val="20"/>
          <w:szCs w:val="20"/>
          <w:color w:val="auto"/>
        </w:rPr>
      </w:pPr>
      <w:r>
        <w:rPr>
          <w:rFonts w:ascii="Times New Roman" w:cs="Times New Roman" w:eastAsia="Times New Roman" w:hAnsi="Times New Roman"/>
          <w:sz w:val="20"/>
          <w:szCs w:val="20"/>
          <w:color w:val="auto"/>
        </w:rPr>
        <w:t>We depend on a single site to manufacture our products, and any interruption of operations could impact our business.</w:t>
      </w:r>
    </w:p>
    <w:p>
      <w:pPr>
        <w:spacing w:after="0" w:line="1" w:lineRule="exact"/>
        <w:rPr>
          <w:rFonts w:ascii="Arial" w:cs="Arial" w:eastAsia="Arial" w:hAnsi="Arial"/>
          <w:sz w:val="20"/>
          <w:szCs w:val="20"/>
          <w:color w:val="auto"/>
        </w:rPr>
      </w:pPr>
    </w:p>
    <w:p>
      <w:pPr>
        <w:ind w:left="720" w:right="100" w:hanging="353"/>
        <w:spacing w:after="0" w:line="244" w:lineRule="auto"/>
        <w:tabs>
          <w:tab w:leader="none" w:pos="720" w:val="left"/>
        </w:tabs>
        <w:numPr>
          <w:ilvl w:val="0"/>
          <w:numId w:val="19"/>
        </w:numPr>
        <w:rPr>
          <w:rFonts w:ascii="Arial" w:cs="Arial" w:eastAsia="Arial" w:hAnsi="Arial"/>
          <w:sz w:val="20"/>
          <w:szCs w:val="20"/>
          <w:color w:val="auto"/>
        </w:rPr>
      </w:pPr>
      <w:r>
        <w:rPr>
          <w:rFonts w:ascii="Times New Roman" w:cs="Times New Roman" w:eastAsia="Times New Roman" w:hAnsi="Times New Roman"/>
          <w:sz w:val="20"/>
          <w:szCs w:val="20"/>
          <w:color w:val="auto"/>
        </w:rPr>
        <w:t>We depend on a small number of suppliers who may fail to deliver sufficient supplies to us or increase the cost of items supplied, which would interrupt our production processes or negatively impact our results of operations.</w:t>
      </w:r>
    </w:p>
    <w:p>
      <w:pPr>
        <w:spacing w:after="0" w:line="1" w:lineRule="exact"/>
        <w:rPr>
          <w:rFonts w:ascii="Arial" w:cs="Arial" w:eastAsia="Arial" w:hAnsi="Arial"/>
          <w:sz w:val="20"/>
          <w:szCs w:val="20"/>
          <w:color w:val="auto"/>
        </w:rPr>
      </w:pPr>
    </w:p>
    <w:p>
      <w:pPr>
        <w:ind w:left="720" w:hanging="353"/>
        <w:spacing w:after="0"/>
        <w:tabs>
          <w:tab w:leader="none" w:pos="720" w:val="left"/>
        </w:tabs>
        <w:numPr>
          <w:ilvl w:val="0"/>
          <w:numId w:val="19"/>
        </w:numPr>
        <w:rPr>
          <w:rFonts w:ascii="Arial" w:cs="Arial" w:eastAsia="Arial" w:hAnsi="Arial"/>
          <w:sz w:val="19"/>
          <w:szCs w:val="19"/>
          <w:color w:val="auto"/>
        </w:rPr>
      </w:pPr>
      <w:r>
        <w:rPr>
          <w:rFonts w:ascii="Times New Roman" w:cs="Times New Roman" w:eastAsia="Times New Roman" w:hAnsi="Times New Roman"/>
          <w:sz w:val="19"/>
          <w:szCs w:val="19"/>
          <w:color w:val="auto"/>
        </w:rPr>
        <w:t>We utilize distributors for our sales abroad, which subjects us to a number of risks that could harm our business.</w:t>
      </w:r>
    </w:p>
    <w:p>
      <w:pPr>
        <w:spacing w:after="0" w:line="25" w:lineRule="exact"/>
        <w:rPr>
          <w:rFonts w:ascii="Arial" w:cs="Arial" w:eastAsia="Arial" w:hAnsi="Arial"/>
          <w:sz w:val="19"/>
          <w:szCs w:val="19"/>
          <w:color w:val="auto"/>
        </w:rPr>
      </w:pPr>
    </w:p>
    <w:p>
      <w:pPr>
        <w:ind w:left="720" w:right="500" w:hanging="353"/>
        <w:spacing w:after="0" w:line="247" w:lineRule="auto"/>
        <w:tabs>
          <w:tab w:leader="none" w:pos="720" w:val="left"/>
        </w:tabs>
        <w:numPr>
          <w:ilvl w:val="0"/>
          <w:numId w:val="19"/>
        </w:numPr>
        <w:rPr>
          <w:rFonts w:ascii="Arial" w:cs="Arial" w:eastAsia="Arial" w:hAnsi="Arial"/>
          <w:sz w:val="20"/>
          <w:szCs w:val="20"/>
          <w:color w:val="auto"/>
        </w:rPr>
      </w:pPr>
      <w:r>
        <w:rPr>
          <w:rFonts w:ascii="Times New Roman" w:cs="Times New Roman" w:eastAsia="Times New Roman" w:hAnsi="Times New Roman"/>
          <w:sz w:val="20"/>
          <w:szCs w:val="20"/>
          <w:color w:val="auto"/>
        </w:rPr>
        <w:t>We are a relatively small company and sales fluctuations and employee turnover may adversely affect our business.</w:t>
      </w:r>
    </w:p>
    <w:p>
      <w:pPr>
        <w:spacing w:after="0" w:line="1" w:lineRule="exact"/>
        <w:rPr>
          <w:rFonts w:ascii="Arial" w:cs="Arial" w:eastAsia="Arial" w:hAnsi="Arial"/>
          <w:sz w:val="20"/>
          <w:szCs w:val="20"/>
          <w:color w:val="auto"/>
        </w:rPr>
      </w:pPr>
    </w:p>
    <w:p>
      <w:pPr>
        <w:ind w:left="720" w:hanging="353"/>
        <w:spacing w:after="0"/>
        <w:tabs>
          <w:tab w:leader="none" w:pos="720" w:val="left"/>
        </w:tabs>
        <w:numPr>
          <w:ilvl w:val="0"/>
          <w:numId w:val="19"/>
        </w:numPr>
        <w:rPr>
          <w:rFonts w:ascii="Arial" w:cs="Arial" w:eastAsia="Arial" w:hAnsi="Arial"/>
          <w:sz w:val="20"/>
          <w:szCs w:val="20"/>
          <w:color w:val="auto"/>
        </w:rPr>
      </w:pPr>
      <w:r>
        <w:rPr>
          <w:rFonts w:ascii="Times New Roman" w:cs="Times New Roman" w:eastAsia="Times New Roman" w:hAnsi="Times New Roman"/>
          <w:sz w:val="20"/>
          <w:szCs w:val="20"/>
          <w:color w:val="auto"/>
        </w:rPr>
        <w:t>The loss of key members of our executive management team could adversely affect our business.</w:t>
      </w:r>
    </w:p>
    <w:p>
      <w:pPr>
        <w:spacing w:after="0" w:line="13" w:lineRule="exact"/>
        <w:rPr>
          <w:rFonts w:ascii="Arial" w:cs="Arial" w:eastAsia="Arial" w:hAnsi="Arial"/>
          <w:sz w:val="20"/>
          <w:szCs w:val="20"/>
          <w:color w:val="auto"/>
        </w:rPr>
      </w:pPr>
    </w:p>
    <w:p>
      <w:pPr>
        <w:ind w:left="720" w:right="100" w:hanging="353"/>
        <w:spacing w:after="0" w:line="246" w:lineRule="auto"/>
        <w:tabs>
          <w:tab w:leader="none" w:pos="720" w:val="left"/>
        </w:tabs>
        <w:numPr>
          <w:ilvl w:val="0"/>
          <w:numId w:val="19"/>
        </w:numPr>
        <w:rPr>
          <w:rFonts w:ascii="Arial" w:cs="Arial" w:eastAsia="Arial" w:hAnsi="Arial"/>
          <w:sz w:val="20"/>
          <w:szCs w:val="20"/>
          <w:color w:val="auto"/>
        </w:rPr>
      </w:pPr>
      <w:r>
        <w:rPr>
          <w:rFonts w:ascii="Times New Roman" w:cs="Times New Roman" w:eastAsia="Times New Roman" w:hAnsi="Times New Roman"/>
          <w:sz w:val="20"/>
          <w:szCs w:val="20"/>
          <w:color w:val="auto"/>
        </w:rPr>
        <w:t>We may have difficulties in attracting and recruiting highly qualified experts in hardware, software, AI, design and development of high technology devices.</w:t>
      </w:r>
    </w:p>
    <w:p>
      <w:pPr>
        <w:ind w:left="720" w:hanging="353"/>
        <w:spacing w:after="0"/>
        <w:tabs>
          <w:tab w:leader="none" w:pos="720" w:val="left"/>
        </w:tabs>
        <w:numPr>
          <w:ilvl w:val="0"/>
          <w:numId w:val="19"/>
        </w:numPr>
        <w:rPr>
          <w:rFonts w:ascii="Arial" w:cs="Arial" w:eastAsia="Arial" w:hAnsi="Arial"/>
          <w:sz w:val="20"/>
          <w:szCs w:val="20"/>
          <w:color w:val="auto"/>
        </w:rPr>
      </w:pPr>
      <w:r>
        <w:rPr>
          <w:rFonts w:ascii="Times New Roman" w:cs="Times New Roman" w:eastAsia="Times New Roman" w:hAnsi="Times New Roman"/>
          <w:sz w:val="20"/>
          <w:szCs w:val="20"/>
          <w:color w:val="auto"/>
        </w:rPr>
        <w:t>We are exposed to risks related to cybersecurity threats and incidents.</w:t>
      </w:r>
    </w:p>
    <w:p>
      <w:pPr>
        <w:spacing w:after="0" w:line="13" w:lineRule="exact"/>
        <w:rPr>
          <w:rFonts w:ascii="Arial" w:cs="Arial" w:eastAsia="Arial" w:hAnsi="Arial"/>
          <w:sz w:val="20"/>
          <w:szCs w:val="20"/>
          <w:color w:val="auto"/>
        </w:rPr>
      </w:pPr>
    </w:p>
    <w:p>
      <w:pPr>
        <w:ind w:left="720" w:right="320" w:hanging="353"/>
        <w:spacing w:after="0" w:line="278" w:lineRule="auto"/>
        <w:tabs>
          <w:tab w:leader="none" w:pos="720" w:val="left"/>
        </w:tabs>
        <w:numPr>
          <w:ilvl w:val="0"/>
          <w:numId w:val="19"/>
        </w:numPr>
        <w:rPr>
          <w:rFonts w:ascii="Arial" w:cs="Arial" w:eastAsia="Arial" w:hAnsi="Arial"/>
          <w:sz w:val="20"/>
          <w:szCs w:val="20"/>
          <w:color w:val="auto"/>
        </w:rPr>
      </w:pPr>
      <w:r>
        <w:rPr>
          <w:rFonts w:ascii="Times New Roman" w:cs="Times New Roman" w:eastAsia="Times New Roman" w:hAnsi="Times New Roman"/>
          <w:sz w:val="20"/>
          <w:szCs w:val="20"/>
          <w:color w:val="auto"/>
        </w:rPr>
        <w:t>The expansion of social media platforms and new technologies present risks and challenges for our business and reputation.</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Intellectual Property Rights</w:t>
      </w:r>
    </w:p>
    <w:p>
      <w:pPr>
        <w:spacing w:after="0" w:line="217" w:lineRule="exact"/>
        <w:rPr>
          <w:sz w:val="20"/>
          <w:szCs w:val="20"/>
          <w:color w:val="auto"/>
        </w:rPr>
      </w:pPr>
    </w:p>
    <w:p>
      <w:pPr>
        <w:ind w:left="720" w:right="80" w:hanging="353"/>
        <w:spacing w:after="0" w:line="247" w:lineRule="auto"/>
        <w:tabs>
          <w:tab w:leader="none" w:pos="720"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color w:val="auto"/>
        </w:rPr>
        <w:t>Our success largely depends on our ability to establish and protect the intellectual property rights related to our medical devices.</w:t>
      </w:r>
    </w:p>
    <w:p>
      <w:pPr>
        <w:spacing w:after="0" w:line="1" w:lineRule="exact"/>
        <w:rPr>
          <w:rFonts w:ascii="Arial" w:cs="Arial" w:eastAsia="Arial" w:hAnsi="Arial"/>
          <w:sz w:val="20"/>
          <w:szCs w:val="20"/>
          <w:color w:val="auto"/>
        </w:rPr>
      </w:pPr>
    </w:p>
    <w:p>
      <w:pPr>
        <w:ind w:left="720" w:right="660" w:hanging="353"/>
        <w:spacing w:after="0" w:line="246" w:lineRule="auto"/>
        <w:tabs>
          <w:tab w:leader="none" w:pos="720"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color w:val="auto"/>
        </w:rPr>
        <w:t>We may encounter disruption in our intellectual property protections due to expiring patents and lack of updated filings.</w:t>
      </w:r>
    </w:p>
    <w:p>
      <w:pPr>
        <w:ind w:left="720" w:right="60" w:hanging="353"/>
        <w:spacing w:after="0" w:line="247" w:lineRule="auto"/>
        <w:tabs>
          <w:tab w:leader="none" w:pos="720"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color w:val="auto"/>
        </w:rPr>
        <w:t>U.S. laws relating to the patentability of certain inventions in medical technology industry are uncertain and rapidly changing, which may adversely impact our existing patents or our ability to obtain patents in the future.</w:t>
      </w:r>
    </w:p>
    <w:p>
      <w:pPr>
        <w:spacing w:after="0" w:line="1" w:lineRule="exact"/>
        <w:rPr>
          <w:rFonts w:ascii="Arial" w:cs="Arial" w:eastAsia="Arial" w:hAnsi="Arial"/>
          <w:sz w:val="20"/>
          <w:szCs w:val="20"/>
          <w:color w:val="auto"/>
        </w:rPr>
      </w:pPr>
    </w:p>
    <w:p>
      <w:pPr>
        <w:ind w:left="720" w:hanging="353"/>
        <w:spacing w:after="0"/>
        <w:tabs>
          <w:tab w:leader="none" w:pos="720"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color w:val="auto"/>
        </w:rPr>
        <w:t>We may not be able to protect or enforce our intellectual property rights throughout the world.</w:t>
      </w:r>
    </w:p>
    <w:p>
      <w:pPr>
        <w:spacing w:after="0" w:line="13" w:lineRule="exact"/>
        <w:rPr>
          <w:rFonts w:ascii="Arial" w:cs="Arial" w:eastAsia="Arial" w:hAnsi="Arial"/>
          <w:sz w:val="20"/>
          <w:szCs w:val="20"/>
          <w:color w:val="auto"/>
        </w:rPr>
      </w:pPr>
    </w:p>
    <w:p>
      <w:pPr>
        <w:ind w:left="720" w:right="460" w:hanging="353"/>
        <w:spacing w:after="0" w:line="278" w:lineRule="auto"/>
        <w:tabs>
          <w:tab w:leader="none" w:pos="720"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color w:val="auto"/>
        </w:rPr>
        <w:t>Our use of “open source” software could negatively affect our ability to sell our products and subject us to possible litigation.</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Status as a French Company</w:t>
      </w:r>
    </w:p>
    <w:p>
      <w:pPr>
        <w:spacing w:after="0" w:line="217" w:lineRule="exact"/>
        <w:rPr>
          <w:sz w:val="20"/>
          <w:szCs w:val="20"/>
          <w:color w:val="auto"/>
        </w:rPr>
      </w:pPr>
    </w:p>
    <w:p>
      <w:pPr>
        <w:ind w:left="720" w:right="220" w:hanging="353"/>
        <w:spacing w:after="0" w:line="247" w:lineRule="auto"/>
        <w:tabs>
          <w:tab w:leader="none" w:pos="720" w:val="left"/>
        </w:tabs>
        <w:numPr>
          <w:ilvl w:val="0"/>
          <w:numId w:val="21"/>
        </w:numPr>
        <w:rPr>
          <w:rFonts w:ascii="Arial" w:cs="Arial" w:eastAsia="Arial" w:hAnsi="Arial"/>
          <w:sz w:val="20"/>
          <w:szCs w:val="20"/>
          <w:color w:val="auto"/>
        </w:rPr>
      </w:pPr>
      <w:r>
        <w:rPr>
          <w:rFonts w:ascii="Times New Roman" w:cs="Times New Roman" w:eastAsia="Times New Roman" w:hAnsi="Times New Roman"/>
          <w:sz w:val="20"/>
          <w:szCs w:val="20"/>
          <w:color w:val="auto"/>
        </w:rPr>
        <w:t>Our French and international operations expose us to additional costs, legal and regulatory risks, which could have a material adverse effect on our business, financial condition and results of operations.</w:t>
      </w:r>
    </w:p>
    <w:p>
      <w:pPr>
        <w:spacing w:after="0" w:line="1" w:lineRule="exact"/>
        <w:rPr>
          <w:rFonts w:ascii="Arial" w:cs="Arial" w:eastAsia="Arial" w:hAnsi="Arial"/>
          <w:sz w:val="20"/>
          <w:szCs w:val="20"/>
          <w:color w:val="auto"/>
        </w:rPr>
      </w:pPr>
    </w:p>
    <w:p>
      <w:pPr>
        <w:ind w:left="720" w:right="80" w:hanging="353"/>
        <w:spacing w:after="0" w:line="246" w:lineRule="auto"/>
        <w:tabs>
          <w:tab w:leader="none" w:pos="720" w:val="left"/>
        </w:tabs>
        <w:numPr>
          <w:ilvl w:val="0"/>
          <w:numId w:val="21"/>
        </w:numPr>
        <w:rPr>
          <w:rFonts w:ascii="Arial" w:cs="Arial" w:eastAsia="Arial" w:hAnsi="Arial"/>
          <w:sz w:val="20"/>
          <w:szCs w:val="20"/>
          <w:color w:val="auto"/>
        </w:rPr>
      </w:pPr>
      <w:r>
        <w:rPr>
          <w:rFonts w:ascii="Times New Roman" w:cs="Times New Roman" w:eastAsia="Times New Roman" w:hAnsi="Times New Roman"/>
          <w:sz w:val="20"/>
          <w:szCs w:val="20"/>
          <w:color w:val="auto"/>
        </w:rPr>
        <w:t>We sell our products in many parts of the world, as a result, our business is affected by fluctuations in currency exchange rates.</w:t>
      </w:r>
    </w:p>
    <w:p>
      <w:pPr>
        <w:ind w:left="720" w:hanging="353"/>
        <w:spacing w:after="0"/>
        <w:tabs>
          <w:tab w:leader="none" w:pos="720" w:val="left"/>
        </w:tabs>
        <w:numPr>
          <w:ilvl w:val="0"/>
          <w:numId w:val="21"/>
        </w:numPr>
        <w:rPr>
          <w:rFonts w:ascii="Arial" w:cs="Arial" w:eastAsia="Arial" w:hAnsi="Arial"/>
          <w:sz w:val="20"/>
          <w:szCs w:val="20"/>
          <w:color w:val="auto"/>
        </w:rPr>
      </w:pPr>
      <w:r>
        <w:rPr>
          <w:rFonts w:ascii="Times New Roman" w:cs="Times New Roman" w:eastAsia="Times New Roman" w:hAnsi="Times New Roman"/>
          <w:sz w:val="20"/>
          <w:szCs w:val="20"/>
          <w:color w:val="auto"/>
        </w:rPr>
        <w:t>Our by-laws and French corporate law contain provisions that may delay or discourage a takeover attempt.</w:t>
      </w:r>
    </w:p>
    <w:p>
      <w:pPr>
        <w:spacing w:after="0" w:line="13" w:lineRule="exact"/>
        <w:rPr>
          <w:rFonts w:ascii="Arial" w:cs="Arial" w:eastAsia="Arial" w:hAnsi="Arial"/>
          <w:sz w:val="20"/>
          <w:szCs w:val="20"/>
          <w:color w:val="auto"/>
        </w:rPr>
      </w:pPr>
    </w:p>
    <w:p>
      <w:pPr>
        <w:ind w:left="720" w:right="360" w:hanging="353"/>
        <w:spacing w:after="0" w:line="247" w:lineRule="auto"/>
        <w:tabs>
          <w:tab w:leader="none" w:pos="720" w:val="left"/>
        </w:tabs>
        <w:numPr>
          <w:ilvl w:val="0"/>
          <w:numId w:val="21"/>
        </w:numPr>
        <w:rPr>
          <w:rFonts w:ascii="Arial" w:cs="Arial" w:eastAsia="Arial" w:hAnsi="Arial"/>
          <w:sz w:val="20"/>
          <w:szCs w:val="20"/>
          <w:color w:val="auto"/>
        </w:rPr>
      </w:pPr>
      <w:r>
        <w:rPr>
          <w:rFonts w:ascii="Times New Roman" w:cs="Times New Roman" w:eastAsia="Times New Roman" w:hAnsi="Times New Roman"/>
          <w:sz w:val="20"/>
          <w:szCs w:val="20"/>
          <w:color w:val="auto"/>
        </w:rPr>
        <w:t>The rights of shareholders in companies subject to French corporate law differ in material respects from the rights of shareholders of corporations incorporated in the United States or other countries.</w:t>
      </w:r>
    </w:p>
    <w:p>
      <w:pPr>
        <w:spacing w:after="0" w:line="1" w:lineRule="exact"/>
        <w:rPr>
          <w:rFonts w:ascii="Arial" w:cs="Arial" w:eastAsia="Arial" w:hAnsi="Arial"/>
          <w:sz w:val="20"/>
          <w:szCs w:val="20"/>
          <w:color w:val="auto"/>
        </w:rPr>
      </w:pPr>
    </w:p>
    <w:p>
      <w:pPr>
        <w:ind w:left="720" w:right="200" w:hanging="354"/>
        <w:spacing w:after="0" w:line="246" w:lineRule="auto"/>
        <w:tabs>
          <w:tab w:leader="none" w:pos="720" w:val="left"/>
        </w:tabs>
        <w:numPr>
          <w:ilvl w:val="0"/>
          <w:numId w:val="21"/>
        </w:numPr>
        <w:rPr>
          <w:rFonts w:ascii="Arial" w:cs="Arial" w:eastAsia="Arial" w:hAnsi="Arial"/>
          <w:sz w:val="20"/>
          <w:szCs w:val="20"/>
          <w:color w:val="auto"/>
        </w:rPr>
      </w:pPr>
      <w:r>
        <w:rPr>
          <w:rFonts w:ascii="Times New Roman" w:cs="Times New Roman" w:eastAsia="Times New Roman" w:hAnsi="Times New Roman"/>
          <w:sz w:val="20"/>
          <w:szCs w:val="20"/>
          <w:color w:val="auto"/>
        </w:rPr>
        <w:t>French law may limit the amount of dividends we are able to distribute, and we do not currently intend to pay dividends.</w:t>
      </w:r>
    </w:p>
    <w:p>
      <w:pPr>
        <w:ind w:left="720" w:right="320" w:hanging="354"/>
        <w:spacing w:after="0" w:line="278" w:lineRule="auto"/>
        <w:tabs>
          <w:tab w:leader="none" w:pos="720" w:val="left"/>
        </w:tabs>
        <w:numPr>
          <w:ilvl w:val="0"/>
          <w:numId w:val="21"/>
        </w:numPr>
        <w:rPr>
          <w:rFonts w:ascii="Arial" w:cs="Arial" w:eastAsia="Arial" w:hAnsi="Arial"/>
          <w:sz w:val="20"/>
          <w:szCs w:val="20"/>
          <w:color w:val="auto"/>
        </w:rPr>
      </w:pPr>
      <w:r>
        <w:rPr>
          <w:rFonts w:ascii="Times New Roman" w:cs="Times New Roman" w:eastAsia="Times New Roman" w:hAnsi="Times New Roman"/>
          <w:sz w:val="20"/>
          <w:szCs w:val="20"/>
          <w:color w:val="auto"/>
        </w:rPr>
        <w:t>Judgments of U.S. courts, including those predicated on the civil liability provisions of the federal securities laws of the United States, may not be enforceable in French courts.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Ownership of our Ordinary Shares and the ADSs</w:t>
      </w:r>
    </w:p>
    <w:p>
      <w:pPr>
        <w:spacing w:after="0" w:line="217" w:lineRule="exact"/>
        <w:rPr>
          <w:sz w:val="20"/>
          <w:szCs w:val="20"/>
          <w:color w:val="auto"/>
        </w:rPr>
      </w:pPr>
    </w:p>
    <w:p>
      <w:pPr>
        <w:ind w:left="720" w:right="680" w:hanging="353"/>
        <w:spacing w:after="0" w:line="246" w:lineRule="auto"/>
        <w:tabs>
          <w:tab w:leader="none" w:pos="720" w:val="left"/>
        </w:tabs>
        <w:numPr>
          <w:ilvl w:val="0"/>
          <w:numId w:val="22"/>
        </w:numPr>
        <w:rPr>
          <w:rFonts w:ascii="Arial" w:cs="Arial" w:eastAsia="Arial" w:hAnsi="Arial"/>
          <w:sz w:val="20"/>
          <w:szCs w:val="20"/>
          <w:color w:val="auto"/>
        </w:rPr>
      </w:pPr>
      <w:r>
        <w:rPr>
          <w:rFonts w:ascii="Times New Roman" w:cs="Times New Roman" w:eastAsia="Times New Roman" w:hAnsi="Times New Roman"/>
          <w:sz w:val="20"/>
          <w:szCs w:val="20"/>
          <w:color w:val="auto"/>
        </w:rPr>
        <w:t>Our securities may be affected by volume fluctuations, and may fluctuate significantly in price, causing investors to lose some or all of their investment.</w:t>
      </w:r>
    </w:p>
    <w:p>
      <w:pPr>
        <w:ind w:left="720" w:right="520" w:hanging="354"/>
        <w:spacing w:after="0" w:line="247" w:lineRule="auto"/>
        <w:tabs>
          <w:tab w:leader="none" w:pos="720" w:val="left"/>
        </w:tabs>
        <w:numPr>
          <w:ilvl w:val="0"/>
          <w:numId w:val="22"/>
        </w:numPr>
        <w:rPr>
          <w:rFonts w:ascii="Arial" w:cs="Arial" w:eastAsia="Arial" w:hAnsi="Arial"/>
          <w:sz w:val="20"/>
          <w:szCs w:val="20"/>
          <w:color w:val="auto"/>
        </w:rPr>
      </w:pPr>
      <w:r>
        <w:rPr>
          <w:rFonts w:ascii="Times New Roman" w:cs="Times New Roman" w:eastAsia="Times New Roman" w:hAnsi="Times New Roman"/>
          <w:sz w:val="20"/>
          <w:szCs w:val="20"/>
          <w:color w:val="auto"/>
        </w:rPr>
        <w:t>Holders of ADSs have fewer rights than direct shareholders and must act through The Bank of New York Mellon (the “Depositary”) to exercise those rights.</w:t>
      </w:r>
    </w:p>
    <w:p>
      <w:pPr>
        <w:spacing w:after="0" w:line="1" w:lineRule="exact"/>
        <w:rPr>
          <w:rFonts w:ascii="Arial" w:cs="Arial" w:eastAsia="Arial" w:hAnsi="Arial"/>
          <w:sz w:val="20"/>
          <w:szCs w:val="20"/>
          <w:color w:val="auto"/>
        </w:rPr>
      </w:pPr>
    </w:p>
    <w:p>
      <w:pPr>
        <w:ind w:left="720" w:right="240" w:hanging="354"/>
        <w:spacing w:after="0" w:line="278" w:lineRule="auto"/>
        <w:tabs>
          <w:tab w:leader="none" w:pos="720" w:val="left"/>
        </w:tabs>
        <w:numPr>
          <w:ilvl w:val="0"/>
          <w:numId w:val="22"/>
        </w:numPr>
        <w:rPr>
          <w:rFonts w:ascii="Arial" w:cs="Arial" w:eastAsia="Arial" w:hAnsi="Arial"/>
          <w:sz w:val="20"/>
          <w:szCs w:val="20"/>
          <w:color w:val="auto"/>
        </w:rPr>
      </w:pPr>
      <w:r>
        <w:rPr>
          <w:rFonts w:ascii="Times New Roman" w:cs="Times New Roman" w:eastAsia="Times New Roman" w:hAnsi="Times New Roman"/>
          <w:sz w:val="20"/>
          <w:szCs w:val="20"/>
          <w:color w:val="auto"/>
        </w:rPr>
        <w:t>If securities or industry analysts do not publish research, or publish inaccurate or unfavorable research, about our market or business, our ADS price and trading volume could decline.</w:t>
      </w:r>
    </w:p>
    <w:p>
      <w:pPr>
        <w:sectPr>
          <w:pgSz w:w="12240" w:h="15840" w:orient="portrait"/>
          <w:cols w:equalWidth="0" w:num="1">
            <w:col w:w="9700"/>
          </w:cols>
          <w:pgMar w:left="1260" w:top="1243" w:right="1280" w:bottom="723" w:gutter="0" w:footer="0" w:header="0"/>
        </w:sect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19</w:t>
      </w:r>
    </w:p>
    <w:p>
      <w:pPr>
        <w:sectPr>
          <w:pgSz w:w="12240" w:h="15840" w:orient="portrait"/>
          <w:cols w:equalWidth="0" w:num="1">
            <w:col w:w="9700"/>
          </w:cols>
          <w:pgMar w:left="1260" w:top="1243" w:right="1280" w:bottom="723" w:gutter="0" w:footer="0" w:header="0"/>
          <w:type w:val="continuous"/>
        </w:sectPr>
      </w:pPr>
    </w:p>
    <w:bookmarkStart w:id="22" w:name="page23"/>
    <w:bookmarkEnd w:id="22"/>
    <w:p>
      <w:pPr>
        <w:ind w:left="720" w:right="80" w:hanging="353"/>
        <w:spacing w:after="0" w:line="247" w:lineRule="auto"/>
        <w:tabs>
          <w:tab w:leader="none" w:pos="720" w:val="left"/>
        </w:tabs>
        <w:numPr>
          <w:ilvl w:val="0"/>
          <w:numId w:val="23"/>
        </w:numPr>
        <w:rPr>
          <w:rFonts w:ascii="Arial" w:cs="Arial" w:eastAsia="Arial" w:hAnsi="Arial"/>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795655</wp:posOffset>
            </wp:positionH>
            <wp:positionV relativeFrom="page">
              <wp:posOffset>292735</wp:posOffset>
            </wp:positionV>
            <wp:extent cx="929005" cy="1149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1">
                      <a:extLst>
                        <a:ext uri="{28A0092B-C50C-407E-A947-70E740481C1C}"/>
                      </a:extLst>
                    </a:blip>
                    <a:srcRect/>
                    <a:stretch>
                      <a:fillRect/>
                    </a:stretch>
                  </pic:blipFill>
                  <pic:spPr bwMode="auto">
                    <a:xfrm>
                      <a:off x="0" y="0"/>
                      <a:ext cx="929005" cy="114935"/>
                    </a:xfrm>
                    <a:prstGeom prst="rect">
                      <a:avLst/>
                    </a:prstGeom>
                    <a:noFill/>
                  </pic:spPr>
                </pic:pic>
              </a:graphicData>
            </a:graphic>
          </wp:anchor>
        </w:drawing>
        <w:t>We are subject to different corporate disclosure standards that may limit the information available to holders of our ADSs.</w:t>
      </w:r>
    </w:p>
    <w:p>
      <w:pPr>
        <w:spacing w:after="0" w:line="1" w:lineRule="exact"/>
        <w:rPr>
          <w:rFonts w:ascii="Arial" w:cs="Arial" w:eastAsia="Arial" w:hAnsi="Arial"/>
          <w:sz w:val="20"/>
          <w:szCs w:val="20"/>
          <w:color w:val="auto"/>
        </w:rPr>
      </w:pPr>
    </w:p>
    <w:p>
      <w:pPr>
        <w:ind w:left="720" w:hanging="353"/>
        <w:spacing w:after="0"/>
        <w:tabs>
          <w:tab w:leader="none" w:pos="720" w:val="left"/>
        </w:tabs>
        <w:numPr>
          <w:ilvl w:val="0"/>
          <w:numId w:val="23"/>
        </w:numPr>
        <w:rPr>
          <w:rFonts w:ascii="Arial" w:cs="Arial" w:eastAsia="Arial" w:hAnsi="Arial"/>
          <w:sz w:val="20"/>
          <w:szCs w:val="20"/>
          <w:color w:val="auto"/>
        </w:rPr>
      </w:pPr>
      <w:r>
        <w:rPr>
          <w:rFonts w:ascii="Times New Roman" w:cs="Times New Roman" w:eastAsia="Times New Roman" w:hAnsi="Times New Roman"/>
          <w:sz w:val="20"/>
          <w:szCs w:val="20"/>
          <w:color w:val="auto"/>
        </w:rPr>
        <w:t>Preferential subscription rights may not be available for U.S. persons.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General Risk Factors</w:t>
      </w:r>
    </w:p>
    <w:p>
      <w:pPr>
        <w:spacing w:after="0" w:line="217" w:lineRule="exact"/>
        <w:rPr>
          <w:sz w:val="20"/>
          <w:szCs w:val="20"/>
          <w:color w:val="auto"/>
        </w:rPr>
      </w:pPr>
    </w:p>
    <w:p>
      <w:pPr>
        <w:ind w:left="720" w:right="360" w:hanging="353"/>
        <w:spacing w:after="0" w:line="246" w:lineRule="auto"/>
        <w:tabs>
          <w:tab w:leader="none" w:pos="720" w:val="left"/>
        </w:tabs>
        <w:numPr>
          <w:ilvl w:val="0"/>
          <w:numId w:val="24"/>
        </w:numPr>
        <w:rPr>
          <w:rFonts w:ascii="Arial" w:cs="Arial" w:eastAsia="Arial" w:hAnsi="Arial"/>
          <w:sz w:val="20"/>
          <w:szCs w:val="20"/>
          <w:color w:val="auto"/>
        </w:rPr>
      </w:pPr>
      <w:r>
        <w:rPr>
          <w:rFonts w:ascii="Times New Roman" w:cs="Times New Roman" w:eastAsia="Times New Roman" w:hAnsi="Times New Roman"/>
          <w:sz w:val="20"/>
          <w:szCs w:val="20"/>
          <w:color w:val="auto"/>
        </w:rPr>
        <w:t>Our results of operations and financial condition could be adversely affected by adverse economic changes, political, social and geopolitical developments, financial changes, and the impact of climate change.</w:t>
      </w:r>
    </w:p>
    <w:p>
      <w:pPr>
        <w:ind w:left="720" w:right="20" w:hanging="353"/>
        <w:spacing w:after="0" w:line="247" w:lineRule="auto"/>
        <w:tabs>
          <w:tab w:leader="none" w:pos="720" w:val="left"/>
        </w:tabs>
        <w:numPr>
          <w:ilvl w:val="0"/>
          <w:numId w:val="24"/>
        </w:numPr>
        <w:rPr>
          <w:rFonts w:ascii="Arial" w:cs="Arial" w:eastAsia="Arial" w:hAnsi="Arial"/>
          <w:sz w:val="20"/>
          <w:szCs w:val="20"/>
          <w:color w:val="auto"/>
        </w:rPr>
      </w:pPr>
      <w:r>
        <w:rPr>
          <w:rFonts w:ascii="Times New Roman" w:cs="Times New Roman" w:eastAsia="Times New Roman" w:hAnsi="Times New Roman"/>
          <w:sz w:val="20"/>
          <w:szCs w:val="20"/>
          <w:color w:val="auto"/>
        </w:rPr>
        <w:t>Global potential inflation may have a material adverse effect on our business, results of operations and financial condition.</w:t>
      </w:r>
    </w:p>
    <w:p>
      <w:pPr>
        <w:spacing w:after="0" w:line="1" w:lineRule="exact"/>
        <w:rPr>
          <w:rFonts w:ascii="Arial" w:cs="Arial" w:eastAsia="Arial" w:hAnsi="Arial"/>
          <w:sz w:val="20"/>
          <w:szCs w:val="20"/>
          <w:color w:val="auto"/>
        </w:rPr>
      </w:pPr>
    </w:p>
    <w:p>
      <w:pPr>
        <w:ind w:left="720" w:hanging="353"/>
        <w:spacing w:after="0" w:line="247" w:lineRule="auto"/>
        <w:tabs>
          <w:tab w:leader="none" w:pos="720" w:val="left"/>
        </w:tabs>
        <w:numPr>
          <w:ilvl w:val="0"/>
          <w:numId w:val="24"/>
        </w:numPr>
        <w:rPr>
          <w:rFonts w:ascii="Arial" w:cs="Arial" w:eastAsia="Arial" w:hAnsi="Arial"/>
          <w:sz w:val="20"/>
          <w:szCs w:val="20"/>
          <w:color w:val="auto"/>
        </w:rPr>
      </w:pPr>
      <w:r>
        <w:rPr>
          <w:rFonts w:ascii="Times New Roman" w:cs="Times New Roman" w:eastAsia="Times New Roman" w:hAnsi="Times New Roman"/>
          <w:sz w:val="20"/>
          <w:szCs w:val="20"/>
          <w:color w:val="auto"/>
        </w:rPr>
        <w:t>We may issue additional securities that may be dilutive to our existing shareholders, in view of funding our new developments and accelerating our business expansion.</w:t>
      </w:r>
    </w:p>
    <w:p>
      <w:pPr>
        <w:spacing w:after="0" w:line="1" w:lineRule="exact"/>
        <w:rPr>
          <w:rFonts w:ascii="Arial" w:cs="Arial" w:eastAsia="Arial" w:hAnsi="Arial"/>
          <w:sz w:val="20"/>
          <w:szCs w:val="20"/>
          <w:color w:val="auto"/>
        </w:rPr>
      </w:pPr>
    </w:p>
    <w:p>
      <w:pPr>
        <w:ind w:left="720" w:right="180" w:hanging="353"/>
        <w:spacing w:after="0" w:line="278" w:lineRule="auto"/>
        <w:tabs>
          <w:tab w:leader="none" w:pos="720" w:val="left"/>
        </w:tabs>
        <w:numPr>
          <w:ilvl w:val="0"/>
          <w:numId w:val="24"/>
        </w:numPr>
        <w:rPr>
          <w:rFonts w:ascii="Arial" w:cs="Arial" w:eastAsia="Arial" w:hAnsi="Arial"/>
          <w:sz w:val="20"/>
          <w:szCs w:val="20"/>
          <w:color w:val="auto"/>
        </w:rPr>
      </w:pPr>
      <w:r>
        <w:rPr>
          <w:rFonts w:ascii="Times New Roman" w:cs="Times New Roman" w:eastAsia="Times New Roman" w:hAnsi="Times New Roman"/>
          <w:sz w:val="20"/>
          <w:szCs w:val="20"/>
          <w:color w:val="auto"/>
        </w:rPr>
        <w:t>We may in the future be the target of securities class action or other litigation, which could be costly and time consuming to defend.</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Business, Financial Position and Capital Needs</w:t>
      </w:r>
    </w:p>
    <w:p>
      <w:pPr>
        <w:spacing w:after="0" w:line="204"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If we are unable to obtain additional financing when needed, our ability to continue as a company could be adversely affected.</w:t>
      </w:r>
    </w:p>
    <w:p>
      <w:pPr>
        <w:spacing w:after="0" w:line="128"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20"/>
          <w:szCs w:val="20"/>
          <w:color w:val="auto"/>
        </w:rPr>
        <w:t>We have a history of operating losses and expect such losses to continue in the foreseeable future. As of December 31, 2025, we had $20.5 million in cash and cash equivalents, a decrease of $10.5 million from December 31, 2024. We intend to draw down Tranche B of the €36.0 million credit facility agreement (the “Credit Facility”) with European Investment Bank (“EIB”) for €12.0 million in April 2026 on the basis that EDAP believes it has or is able to satisfy to all condition precedents to draw this second tranche at the date this annual report is issued (refer to Notes 1 -24 and 16-1-1 to our consolidated financial statements for further discussion on the Credit Facility and the Company’s debt). With these additional proceeds, we believe we will have sufficient funds to support our operations for at least a period of twelve months from the date of issue of this annual report. We may need to seek additional capital in the future to support the expansion of our business, continued research and development activities, and potential commercialization initiatives. Provided certain operational thresholds have been satisfied, following our draw of the Tranche B borrowings, we will be permitted to make one additional draw of €13 million in Tranche C under the Credit Facility, provided we satisfy the conditions precedent. We may not be able to meet the necessary operational thresholds to draw additional amounts under the Credit Facility or raise additional financing on acceptable terms or at all. Management is exploring various alternatives, including seeking additional funding through the debt and equity capital markets, cost-cutting measures, and restructuring opportunities, but there is no assurance that these efforts will be successful or sufficient to address these liquidity needs. If we are unable to raise capital when needed on acceptable terms, or at all, we may be forced to restructure our business or delay, reduce, or terminate our research and product development programs, future commercialization efforts or other operations.</w:t>
      </w:r>
    </w:p>
    <w:p>
      <w:pPr>
        <w:spacing w:after="0" w:line="168"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Our future revenue and income growth depends, among other things, on implementing our business strategy, which largely depends on the success of our HIFU technology, and our capacity to scale our operations to manage and sustain our future growth.</w:t>
      </w:r>
    </w:p>
    <w:p>
      <w:pPr>
        <w:spacing w:after="0" w:line="144"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Our business strategy depends on the success of our HIFU technology for future revenue growth and net profit generation. We are dependent on the successful development and commercialization of other product lines, such as devices based on HIFU but not limited to the Focal One System, to generate significant additional revenues and to achieve and sustain profitability in the future. To implement our business strategy, we need (among other things) to develop new applications for our HIFU technology, to improve our products and service offerings, and to educate physicians and patients about the clinical and cost benefits of our products, all of which we believe could increase patients’ wellbeing and acceptance of our products. Our focus is to expand our HIFU business in the U.S. and worldwide to accelerate Focal One HIFU adoption and to further grow our HIFU global activity. Although we are particularly dependent on the success of our HIFU technology to grow our business through our HIFU division, other revenues, generated by our ESWL division and our distribution division directly linked to the distribution of other complementary products on behalf of third-party medical companies, contributed to our global revenue in 2024. In 2025, we discontinued new system sales in our ESWL business, while continuing to support and service our existing installed</w:t>
      </w:r>
    </w:p>
    <w:p>
      <w:pPr>
        <w:sectPr>
          <w:pgSz w:w="12240" w:h="15840" w:orient="portrait"/>
          <w:cols w:equalWidth="0" w:num="1">
            <w:col w:w="9700"/>
          </w:cols>
          <w:pgMar w:left="1260" w:top="1261" w:right="1280" w:bottom="723"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20</w:t>
      </w:r>
    </w:p>
    <w:p>
      <w:pPr>
        <w:sectPr>
          <w:pgSz w:w="12240" w:h="15840" w:orient="portrait"/>
          <w:cols w:equalWidth="0" w:num="1">
            <w:col w:w="9700"/>
          </w:cols>
          <w:pgMar w:left="1260" w:top="1261" w:right="1280" w:bottom="723" w:gutter="0" w:footer="0" w:header="0"/>
          <w:type w:val="continuous"/>
        </w:sectPr>
      </w:pPr>
    </w:p>
    <w:bookmarkStart w:id="23" w:name="page24"/>
    <w:bookmarkEnd w:id="23"/>
    <w:p>
      <w:pPr>
        <w:jc w:val="both"/>
        <w:ind w:right="100"/>
        <w:spacing w:after="0" w:line="252"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795655</wp:posOffset>
            </wp:positionH>
            <wp:positionV relativeFrom="page">
              <wp:posOffset>292735</wp:posOffset>
            </wp:positionV>
            <wp:extent cx="929005" cy="1149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2">
                      <a:extLst>
                        <a:ext uri="{28A0092B-C50C-407E-A947-70E740481C1C}"/>
                      </a:extLst>
                    </a:blip>
                    <a:srcRect/>
                    <a:stretch>
                      <a:fillRect/>
                    </a:stretch>
                  </pic:blipFill>
                  <pic:spPr bwMode="auto">
                    <a:xfrm>
                      <a:off x="0" y="0"/>
                      <a:ext cx="929005" cy="114935"/>
                    </a:xfrm>
                    <a:prstGeom prst="rect">
                      <a:avLst/>
                    </a:prstGeom>
                    <a:noFill/>
                  </pic:spPr>
                </pic:pic>
              </a:graphicData>
            </a:graphic>
          </wp:anchor>
        </w:drawing>
        <w:t>base. This strategic decision resulted in a decline in revenue related to ESWL in 2025, which we expect will continue to decline going forward. In addition, some distribution agreements with third parties expired in December 2024 and 2025 and were not renewed; the termination of these commitments from such third parties will have a material adverse effect on our revenue, financial condition and results of operations.</w:t>
      </w:r>
    </w:p>
    <w:p>
      <w:pPr>
        <w:spacing w:after="0" w:line="153" w:lineRule="exact"/>
        <w:rPr>
          <w:sz w:val="20"/>
          <w:szCs w:val="20"/>
          <w:color w:val="auto"/>
        </w:rPr>
      </w:pPr>
    </w:p>
    <w:p>
      <w:pPr>
        <w:ind w:right="80"/>
        <w:spacing w:after="0" w:line="243" w:lineRule="auto"/>
        <w:rPr>
          <w:sz w:val="20"/>
          <w:szCs w:val="20"/>
          <w:color w:val="auto"/>
        </w:rPr>
      </w:pPr>
      <w:r>
        <w:rPr>
          <w:rFonts w:ascii="Times New Roman" w:cs="Times New Roman" w:eastAsia="Times New Roman" w:hAnsi="Times New Roman"/>
          <w:sz w:val="20"/>
          <w:szCs w:val="20"/>
          <w:color w:val="auto"/>
        </w:rPr>
        <w:t>In addition, there can be no assurance that we will be able to manage our future growth efficiently or profitably, and revenue may be less than expected. If we are unable to scale our production capabilities efficiently or maintain pricing, we may fail to achieve expected operating margins, which would have a material and adverse effect on our operating results. Growth may also stress our ability to adequately manage our operations, quality of products, safety, and regulatory compliance. Failure to implement necessary internal quality controls, procedures, equipment, or processes or to hire the necessary personnel in a timely and effective manner could result in higher costs or an inability to meet market demand and could have a material adverse impact on our business, results of operations, financial condition, and prospects. Additionally, our future growth will increase the demands placed on our third-party suppliers, and there is no guarantee that our suppliers will be able to support our anticipated growth. If growth significantly changes, it can negatively impact our cash reserves, and we may be required to obtain additional financing, which may increase indebtedness or result in dilution to shareholders. Further, there can be no assurance that we would be able to obtain additional financing on acceptable terms, if at all.</w:t>
      </w:r>
    </w:p>
    <w:p>
      <w:pPr>
        <w:spacing w:after="0" w:line="168" w:lineRule="exact"/>
        <w:rPr>
          <w:sz w:val="20"/>
          <w:szCs w:val="20"/>
          <w:color w:val="auto"/>
        </w:rPr>
      </w:pPr>
    </w:p>
    <w:p>
      <w:pPr>
        <w:ind w:right="160"/>
        <w:spacing w:after="0" w:line="249" w:lineRule="auto"/>
        <w:rPr>
          <w:sz w:val="20"/>
          <w:szCs w:val="20"/>
          <w:color w:val="auto"/>
        </w:rPr>
      </w:pPr>
      <w:r>
        <w:rPr>
          <w:rFonts w:ascii="Times New Roman" w:cs="Times New Roman" w:eastAsia="Times New Roman" w:hAnsi="Times New Roman"/>
          <w:sz w:val="20"/>
          <w:szCs w:val="20"/>
          <w:color w:val="auto"/>
        </w:rPr>
        <w:t>We incurred operating losses in each of our fiscal years since 2021. We expect that our marketing, selling and R&amp;D expenses will increase as we attempt to further develop and commercialize our HIFU devices. In this respect, we may not generate a sufficient level of revenue to offset these expenses and may not be able to adjust spending in a timely manner to respond to any unanticipated decline in revenue. We cannot guarantee that we will realize sufficient revenue to achieve profitability in the future.</w:t>
      </w:r>
    </w:p>
    <w:p>
      <w:pPr>
        <w:spacing w:after="0" w:line="158"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Changes in U.S. trade policy, including the imposition of tariffs and the resulting consequences, may have a material adverse impact on our business and results of operations.</w:t>
      </w:r>
    </w:p>
    <w:p>
      <w:pPr>
        <w:spacing w:after="0" w:line="128"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20"/>
          <w:szCs w:val="20"/>
          <w:color w:val="auto"/>
        </w:rPr>
        <w:t>As a result of new administration and associated policy changes or shifting proposals by the U.S. government, there may be greater restrictions and economic disincentives on international trade. Changes in U.S. trade policy, including the potential imposition of tariffs or other trade restrictions on imported medical devices or components, could increase the cost of importing our products into the United States. Such measures could adversely affect our cost structure, pricing, demand for our products, and overall financial performance. These tariffs and other changes in U.S. trade policy have in the past and could continue to trigger retaliatory actions by affected countries, and certain foreign governments have instituted or are considering imposing retaliatory measures on certain U.S. goods. Foreign governments may also adopt other protectionist measures that could limit our ability to offer our products and services outside of the U.S. The ultimate impact of any tariffs or restrictions on international trade will depend on various factors, including if any tariffs are ultimately implemented, the timing of implementation, and the amount, scope, nature of the tariffs, and corresponding actions by foreign governments. Our U.S.-based subsidiary imports our systems from our manufacturing site in France and is currently impacted by U.S. tariffs. Therefore, increased tariffs increase the cost of our products and the components and raw materials that go into making them. These increased costs may adversely impact the gross margin that we earn on our products, which could make our products less competitive and reduce consumer demand. As such, the increase of tariffs, the adoption and expansion of trade restrictions, the occurrence of a trade war, or other governmental action related to tariffs or trade agreements or policies has the potential to adversely impact demand for our products, our costs, our customers, our suppliers, and the United States economy, which in turn could have an adverse effect on our business, financial condition and results of operations.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operating cash flow is highly dependent on cyclical demand for our products.</w:t>
      </w:r>
    </w:p>
    <w:p>
      <w:pPr>
        <w:spacing w:after="0" w:line="198"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color w:val="auto"/>
        </w:rPr>
        <w:t>Our operating cash flow has historically been subject to significant fluctuations over the course of any given fiscal year due to cyclical demand for medical devices, in particular with hospital budgets being mostly spent at year-end, and the resulting annual and quarterly fluctuations in trade and other receivables and inventories. This has in the past resulted in significant variations in working capital requirements and operating cash flows. Since, in addition to raising additional funding, we anticipate relying on cash flow from operating activities to meet our liquidity requirements, a decrease in the demand for our products, or the inability of our customers or distributors to meet their financial obligations to us, would reduce the funds available to us. In the future, our liquidity may be constrained, and our cash flows may be uncertain,</w:t>
      </w:r>
    </w:p>
    <w:p>
      <w:pPr>
        <w:sectPr>
          <w:pgSz w:w="12240" w:h="15840" w:orient="portrait"/>
          <w:cols w:equalWidth="0" w:num="1">
            <w:col w:w="9700"/>
          </w:cols>
          <w:pgMar w:left="1260" w:top="1247" w:right="1280" w:bottom="723" w:gutter="0" w:footer="0" w:header="0"/>
        </w:sect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21</w:t>
      </w:r>
    </w:p>
    <w:p>
      <w:pPr>
        <w:sectPr>
          <w:pgSz w:w="12240" w:h="15840" w:orient="portrait"/>
          <w:cols w:equalWidth="0" w:num="1">
            <w:col w:w="9700"/>
          </w:cols>
          <w:pgMar w:left="1260" w:top="1247" w:right="1280" w:bottom="723" w:gutter="0" w:footer="0" w:header="0"/>
          <w:type w:val="continuous"/>
        </w:sectPr>
      </w:pPr>
    </w:p>
    <w:bookmarkStart w:id="24" w:name="page25"/>
    <w:bookmarkEnd w:id="24"/>
    <w:p>
      <w:pPr>
        <w:ind w:right="40"/>
        <w:spacing w:after="0" w:line="252"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795655</wp:posOffset>
            </wp:positionH>
            <wp:positionV relativeFrom="page">
              <wp:posOffset>292735</wp:posOffset>
            </wp:positionV>
            <wp:extent cx="929005" cy="1149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3">
                      <a:extLst>
                        <a:ext uri="{28A0092B-C50C-407E-A947-70E740481C1C}"/>
                      </a:extLst>
                    </a:blip>
                    <a:srcRect/>
                    <a:stretch>
                      <a:fillRect/>
                    </a:stretch>
                  </pic:blipFill>
                  <pic:spPr bwMode="auto">
                    <a:xfrm>
                      <a:off x="0" y="0"/>
                      <a:ext cx="929005" cy="114935"/>
                    </a:xfrm>
                    <a:prstGeom prst="rect">
                      <a:avLst/>
                    </a:prstGeom>
                    <a:noFill/>
                  </pic:spPr>
                </pic:pic>
              </a:graphicData>
            </a:graphic>
          </wp:anchor>
        </w:drawing>
        <w:t>negative or significantly different from period to period. Our cash flow is affected by increased expenses in clinical trials, sales efforts and other market costs related to implementing our expanded U.S. and global strategy, which requires significant additional resources. However, there is no assurance that this will result in an increase in the demand for our products and services.</w:t>
      </w:r>
    </w:p>
    <w:p>
      <w:pPr>
        <w:spacing w:after="0" w:line="154"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Our results of operations have fluctuated significantly from quarter to quarter in the past and may continue to do so in the future as we experience long and variable product sales cycles, which are long and seasonal and are partly dependent on access to sufficient financing.</w:t>
      </w:r>
    </w:p>
    <w:p>
      <w:pPr>
        <w:spacing w:after="0" w:line="144" w:lineRule="exact"/>
        <w:rPr>
          <w:sz w:val="20"/>
          <w:szCs w:val="20"/>
          <w:color w:val="auto"/>
        </w:rPr>
      </w:pPr>
    </w:p>
    <w:p>
      <w:pPr>
        <w:ind w:right="380"/>
        <w:spacing w:after="0" w:line="246" w:lineRule="auto"/>
        <w:rPr>
          <w:sz w:val="20"/>
          <w:szCs w:val="20"/>
          <w:color w:val="auto"/>
        </w:rPr>
      </w:pPr>
      <w:r>
        <w:rPr>
          <w:rFonts w:ascii="Times New Roman" w:cs="Times New Roman" w:eastAsia="Times New Roman" w:hAnsi="Times New Roman"/>
          <w:sz w:val="20"/>
          <w:szCs w:val="20"/>
          <w:color w:val="auto"/>
        </w:rPr>
        <w:t>Our results of operations have fluctuated in the past and may continue to fluctuate from quarter to quarter depending upon numerous factors, including, but not limited to, the timing and results of clinical trials, changes in healthcare reimbursement policies, cyclicality of demand for our products, changes in pricing policies by us or our competitors, new product announcements by us or our competitors, customer order deferrals in anticipation of new or enhanced products offered by us or our competitors, product quality problems and exchange rate fluctuations. Furthermore, because our main products have relatively high unit prices, the amount and timing of individual orders can have a substantial effect on our results of operations in any given quarter.</w:t>
      </w:r>
    </w:p>
    <w:p>
      <w:pPr>
        <w:spacing w:after="0" w:line="160" w:lineRule="exact"/>
        <w:rPr>
          <w:sz w:val="20"/>
          <w:szCs w:val="20"/>
          <w:color w:val="auto"/>
        </w:rPr>
      </w:pPr>
    </w:p>
    <w:p>
      <w:pPr>
        <w:ind w:right="100"/>
        <w:spacing w:after="0" w:line="248" w:lineRule="auto"/>
        <w:rPr>
          <w:sz w:val="20"/>
          <w:szCs w:val="20"/>
          <w:color w:val="auto"/>
        </w:rPr>
      </w:pPr>
      <w:r>
        <w:rPr>
          <w:rFonts w:ascii="Times New Roman" w:cs="Times New Roman" w:eastAsia="Times New Roman" w:hAnsi="Times New Roman"/>
          <w:sz w:val="20"/>
          <w:szCs w:val="20"/>
          <w:color w:val="auto"/>
        </w:rPr>
        <w:t>The sales cycle of our products is lengthy as our products are high value capital items for our customers to purchase and often require the approval of multiple levels of management or boards of hospitals, purchasing groups and, in some cases, government authorities. In addition, some sales are subject to a public tender offer process with many approvals which could be lengthy to obtain, and, as a result, hospitals may delay their purchase orders according to their timelines and budget allocations. It is difficult to predict the exact timing for closing product sales directly linked to the length of capital expenditure cycles.</w:t>
      </w:r>
    </w:p>
    <w:p>
      <w:pPr>
        <w:spacing w:after="0" w:line="156"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In addition, our customers may rely on the credit markets to obtain lease financing to purchase or lease our equipment. Limited availability of such financing may restrict their ability to complete these transactions and may adversely affect our equipment sales. Furthermore, prevailing macroeconomic conditions, including elevated or rising interest rates compared to prior periods, may make lease financing less attractive or more difficult to obtain, further impacting demand for our products.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Indebtedness</w:t>
      </w:r>
    </w:p>
    <w:p>
      <w:pPr>
        <w:spacing w:after="0" w:line="204" w:lineRule="exact"/>
        <w:rPr>
          <w:sz w:val="20"/>
          <w:szCs w:val="20"/>
          <w:color w:val="auto"/>
        </w:rPr>
      </w:pPr>
    </w:p>
    <w:p>
      <w:pPr>
        <w:jc w:val="both"/>
        <w:ind w:right="20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We have incurred substantial debt, which could impair our flexibility and access to capital and adversely affect our financial position, and our business would be adversely affected if we are unable to service our debt obligations and are subject to default.</w:t>
      </w:r>
    </w:p>
    <w:p>
      <w:pPr>
        <w:spacing w:after="0" w:line="144" w:lineRule="exact"/>
        <w:rPr>
          <w:sz w:val="20"/>
          <w:szCs w:val="20"/>
          <w:color w:val="auto"/>
        </w:rPr>
      </w:pPr>
    </w:p>
    <w:p>
      <w:pPr>
        <w:ind w:right="400"/>
        <w:spacing w:after="0" w:line="259" w:lineRule="auto"/>
        <w:rPr>
          <w:sz w:val="20"/>
          <w:szCs w:val="20"/>
          <w:color w:val="auto"/>
        </w:rPr>
      </w:pPr>
      <w:r>
        <w:rPr>
          <w:rFonts w:ascii="Times New Roman" w:cs="Times New Roman" w:eastAsia="Times New Roman" w:hAnsi="Times New Roman"/>
          <w:sz w:val="20"/>
          <w:szCs w:val="20"/>
          <w:color w:val="auto"/>
        </w:rPr>
        <w:t>As of December 31, 2025, we had total indebtedness of $24.5 million, which consists of $6.0 million of short-term borrowings and $18.5 million long-term debt and obligations under the finance lease, which long-term debt includes those amounts outstanding under the Credit Facility. Our substantial indebtedness may:</w:t>
      </w:r>
    </w:p>
    <w:p>
      <w:pPr>
        <w:spacing w:after="0" w:line="160" w:lineRule="exact"/>
        <w:rPr>
          <w:sz w:val="20"/>
          <w:szCs w:val="20"/>
          <w:color w:val="auto"/>
        </w:rPr>
      </w:pPr>
    </w:p>
    <w:p>
      <w:pPr>
        <w:ind w:left="720" w:right="560" w:hanging="353"/>
        <w:spacing w:after="0" w:line="246" w:lineRule="auto"/>
        <w:tabs>
          <w:tab w:leader="none" w:pos="720" w:val="left"/>
        </w:tabs>
        <w:numPr>
          <w:ilvl w:val="0"/>
          <w:numId w:val="25"/>
        </w:numPr>
        <w:rPr>
          <w:rFonts w:ascii="Arial" w:cs="Arial" w:eastAsia="Arial" w:hAnsi="Arial"/>
          <w:sz w:val="20"/>
          <w:szCs w:val="20"/>
          <w:color w:val="auto"/>
        </w:rPr>
      </w:pPr>
      <w:r>
        <w:rPr>
          <w:rFonts w:ascii="Times New Roman" w:cs="Times New Roman" w:eastAsia="Times New Roman" w:hAnsi="Times New Roman"/>
          <w:sz w:val="20"/>
          <w:szCs w:val="20"/>
          <w:color w:val="auto"/>
        </w:rPr>
        <w:t>limit our ability to use our cash flow or borrow additional funds for working capital, capital expenditures, acquisitions, investments or other general business purposes;</w:t>
      </w:r>
    </w:p>
    <w:p>
      <w:pPr>
        <w:ind w:left="720" w:hanging="353"/>
        <w:spacing w:after="0"/>
        <w:tabs>
          <w:tab w:leader="none" w:pos="720" w:val="left"/>
        </w:tabs>
        <w:numPr>
          <w:ilvl w:val="0"/>
          <w:numId w:val="25"/>
        </w:numPr>
        <w:rPr>
          <w:rFonts w:ascii="Arial" w:cs="Arial" w:eastAsia="Arial" w:hAnsi="Arial"/>
          <w:sz w:val="20"/>
          <w:szCs w:val="20"/>
          <w:color w:val="auto"/>
        </w:rPr>
      </w:pPr>
      <w:r>
        <w:rPr>
          <w:rFonts w:ascii="Times New Roman" w:cs="Times New Roman" w:eastAsia="Times New Roman" w:hAnsi="Times New Roman"/>
          <w:sz w:val="20"/>
          <w:szCs w:val="20"/>
          <w:color w:val="auto"/>
        </w:rPr>
        <w:t>require us to use a substantial portion of our cash flow from operations to make debt service payments;</w:t>
      </w:r>
    </w:p>
    <w:p>
      <w:pPr>
        <w:spacing w:after="0" w:line="13" w:lineRule="exact"/>
        <w:rPr>
          <w:rFonts w:ascii="Arial" w:cs="Arial" w:eastAsia="Arial" w:hAnsi="Arial"/>
          <w:sz w:val="20"/>
          <w:szCs w:val="20"/>
          <w:color w:val="auto"/>
        </w:rPr>
      </w:pPr>
    </w:p>
    <w:p>
      <w:pPr>
        <w:ind w:left="720" w:right="120" w:hanging="353"/>
        <w:spacing w:after="0" w:line="247" w:lineRule="auto"/>
        <w:tabs>
          <w:tab w:leader="none" w:pos="720" w:val="left"/>
        </w:tabs>
        <w:numPr>
          <w:ilvl w:val="0"/>
          <w:numId w:val="25"/>
        </w:numPr>
        <w:rPr>
          <w:rFonts w:ascii="Arial" w:cs="Arial" w:eastAsia="Arial" w:hAnsi="Arial"/>
          <w:sz w:val="20"/>
          <w:szCs w:val="20"/>
          <w:color w:val="auto"/>
        </w:rPr>
      </w:pPr>
      <w:r>
        <w:rPr>
          <w:rFonts w:ascii="Times New Roman" w:cs="Times New Roman" w:eastAsia="Times New Roman" w:hAnsi="Times New Roman"/>
          <w:sz w:val="20"/>
          <w:szCs w:val="20"/>
          <w:color w:val="auto"/>
        </w:rPr>
        <w:t>limit our flexibility to plan for, or react to, changes in our business and industry, or our ability to take specified actions to take advantage of certain business opportunities that may be presented to us;</w:t>
      </w:r>
    </w:p>
    <w:p>
      <w:pPr>
        <w:spacing w:after="0" w:line="1" w:lineRule="exact"/>
        <w:rPr>
          <w:rFonts w:ascii="Arial" w:cs="Arial" w:eastAsia="Arial" w:hAnsi="Arial"/>
          <w:sz w:val="20"/>
          <w:szCs w:val="20"/>
          <w:color w:val="auto"/>
        </w:rPr>
      </w:pPr>
    </w:p>
    <w:p>
      <w:pPr>
        <w:ind w:left="720" w:hanging="353"/>
        <w:spacing w:after="0"/>
        <w:tabs>
          <w:tab w:leader="none" w:pos="720" w:val="left"/>
        </w:tabs>
        <w:numPr>
          <w:ilvl w:val="0"/>
          <w:numId w:val="25"/>
        </w:numPr>
        <w:rPr>
          <w:rFonts w:ascii="Arial" w:cs="Arial" w:eastAsia="Arial" w:hAnsi="Arial"/>
          <w:sz w:val="20"/>
          <w:szCs w:val="20"/>
          <w:color w:val="auto"/>
        </w:rPr>
      </w:pPr>
      <w:r>
        <w:rPr>
          <w:rFonts w:ascii="Times New Roman" w:cs="Times New Roman" w:eastAsia="Times New Roman" w:hAnsi="Times New Roman"/>
          <w:sz w:val="20"/>
          <w:szCs w:val="20"/>
          <w:color w:val="auto"/>
        </w:rPr>
        <w:t>place us at a competitive disadvantage compared to our less leveraged competitors; and</w:t>
      </w:r>
    </w:p>
    <w:p>
      <w:pPr>
        <w:spacing w:after="0" w:line="13" w:lineRule="exact"/>
        <w:rPr>
          <w:rFonts w:ascii="Arial" w:cs="Arial" w:eastAsia="Arial" w:hAnsi="Arial"/>
          <w:sz w:val="20"/>
          <w:szCs w:val="20"/>
          <w:color w:val="auto"/>
        </w:rPr>
      </w:pPr>
    </w:p>
    <w:p>
      <w:pPr>
        <w:ind w:left="720" w:hanging="353"/>
        <w:spacing w:after="0"/>
        <w:tabs>
          <w:tab w:leader="none" w:pos="720" w:val="left"/>
        </w:tabs>
        <w:numPr>
          <w:ilvl w:val="0"/>
          <w:numId w:val="25"/>
        </w:numPr>
        <w:rPr>
          <w:rFonts w:ascii="Arial" w:cs="Arial" w:eastAsia="Arial" w:hAnsi="Arial"/>
          <w:sz w:val="20"/>
          <w:szCs w:val="20"/>
          <w:color w:val="auto"/>
        </w:rPr>
      </w:pPr>
      <w:r>
        <w:rPr>
          <w:rFonts w:ascii="Times New Roman" w:cs="Times New Roman" w:eastAsia="Times New Roman" w:hAnsi="Times New Roman"/>
          <w:sz w:val="20"/>
          <w:szCs w:val="20"/>
          <w:color w:val="auto"/>
        </w:rPr>
        <w:t>increase our vulnerability to the impact of adverse economic and industry conditions.</w:t>
      </w:r>
    </w:p>
    <w:p>
      <w:pPr>
        <w:spacing w:after="0" w:line="199"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20"/>
          <w:szCs w:val="20"/>
          <w:color w:val="auto"/>
        </w:rPr>
        <w:t>Our ability to make payments of principal or interest on our indebtedness depends on our future performance, which is subject to economic, financial, competitive and other factors beyond our control. If the assumptions underlying our cash flow guidance are incorrect, our business may not continue to generate cash flow from operations in the future sufficient to service our indebtedness and make necessary capital expenditures. If we are unable to generate cash flow sufficient to service our indebtedness and make necessary capital expenditures, we may be required to adopt one or more alternatives, such as selling assets, restructuring debt or issuing additional equity, equity-linked or debt instruments on terms that may be onerous or highly dilutive.</w:t>
      </w:r>
    </w:p>
    <w:p>
      <w:pPr>
        <w:sectPr>
          <w:pgSz w:w="12240" w:h="15840" w:orient="portrait"/>
          <w:cols w:equalWidth="0" w:num="1">
            <w:col w:w="9720"/>
          </w:cols>
          <w:pgMar w:left="1260" w:top="1247" w:right="1260" w:bottom="723" w:gutter="0" w:footer="0" w:header="0"/>
        </w:sect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w:t>
      </w:r>
    </w:p>
    <w:p>
      <w:pPr>
        <w:sectPr>
          <w:pgSz w:w="12240" w:h="15840" w:orient="portrait"/>
          <w:cols w:equalWidth="0" w:num="1">
            <w:col w:w="9720"/>
          </w:cols>
          <w:pgMar w:left="1260" w:top="1247" w:right="1260" w:bottom="723" w:gutter="0" w:footer="0" w:header="0"/>
          <w:type w:val="continuous"/>
        </w:sectPr>
      </w:pPr>
    </w:p>
    <w:bookmarkStart w:id="25" w:name="page26"/>
    <w:bookmarkEnd w:id="25"/>
    <w:p>
      <w:pPr>
        <w:ind w:right="80"/>
        <w:spacing w:after="0" w:line="244"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795655</wp:posOffset>
            </wp:positionH>
            <wp:positionV relativeFrom="page">
              <wp:posOffset>292735</wp:posOffset>
            </wp:positionV>
            <wp:extent cx="929005" cy="1149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4">
                      <a:extLst>
                        <a:ext uri="{28A0092B-C50C-407E-A947-70E740481C1C}"/>
                      </a:extLst>
                    </a:blip>
                    <a:srcRect/>
                    <a:stretch>
                      <a:fillRect/>
                    </a:stretch>
                  </pic:blipFill>
                  <pic:spPr bwMode="auto">
                    <a:xfrm>
                      <a:off x="0" y="0"/>
                      <a:ext cx="929005" cy="114935"/>
                    </a:xfrm>
                    <a:prstGeom prst="rect">
                      <a:avLst/>
                    </a:prstGeom>
                    <a:noFill/>
                  </pic:spPr>
                </pic:pic>
              </a:graphicData>
            </a:graphic>
          </wp:anchor>
        </w:drawing>
        <w:t>If our cash flows and capital resources are insufficient to fund our debt service obligations, we may be forced to reduce or delay investments and capital expenditures, seek additional capital or restructure or refinance our debt. These alternative measures may not be successful and may not permit us to meet debt service obligations. In the absence of such cash flows and resources, we could face substantial liquidity problems and might be required to dispose of material assets or operations to meet our debt service and other obligations. If we do not make the required payments when due, either at maturity, or at applicable installment payment dates, or if we breach the agreement or become insolvent, the lender could elect to declare all amounts outstanding, together with accrued and unpaid interest, and other payments, to be immediately due and payable. If our indebtedness is accelerated, we cannot assure you that we will have sufficient assets to repay the indebtedness. Any default under our indebtedness would have a material adverse effect on our financial condition and our ability to continue our operations.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ability to access future funds under the Credit Facility is subject to conditions that may not be satisfied.</w:t>
      </w:r>
    </w:p>
    <w:p>
      <w:pPr>
        <w:spacing w:after="0" w:line="196" w:lineRule="exact"/>
        <w:rPr>
          <w:sz w:val="20"/>
          <w:szCs w:val="20"/>
          <w:color w:val="auto"/>
        </w:rPr>
      </w:pPr>
    </w:p>
    <w:p>
      <w:pPr>
        <w:ind w:right="160"/>
        <w:spacing w:after="0" w:line="248" w:lineRule="auto"/>
        <w:rPr>
          <w:sz w:val="20"/>
          <w:szCs w:val="20"/>
          <w:color w:val="auto"/>
        </w:rPr>
      </w:pPr>
      <w:r>
        <w:rPr>
          <w:rFonts w:ascii="Times New Roman" w:cs="Times New Roman" w:eastAsia="Times New Roman" w:hAnsi="Times New Roman"/>
          <w:sz w:val="20"/>
          <w:szCs w:val="20"/>
          <w:color w:val="auto"/>
        </w:rPr>
        <w:t>Our ability to access additional liquidity under the Credit Facility is not committed beyond amounts already drawn. We intend to draw on the Tranche B borrowings, whereupon the Credit Facility will have Tranche C borrowings of €13 million undrawn. Tranche C borrowings are available only if we satisfy specified conditions precedent and ongoing requirements—such as financial or operational milestones, regulatory or project deliverables, representations and covenants, absence of default, and timing within defined availability windows. If we do not meet these conditions, EIB has no obligation to fund, and the Tranche C commitments may lapse.</w:t>
      </w:r>
    </w:p>
    <w:p>
      <w:pPr>
        <w:spacing w:after="0" w:line="156"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0"/>
          <w:szCs w:val="20"/>
          <w:color w:val="auto"/>
        </w:rPr>
        <w:t>Certain conditions also require corporate actions, including issuing warrants to EIB and providing subsidiary guarantees. Failure to complete these actions or remain in compliance when the Tranche C draw is requested would prevent access to that tranche. If we cannot draw when needed, we may have to seek alternative financing on unfavorable terms or delay, reduce, or eliminate planned initiatives. There can be no assurance we will satisfy the conditions for any future disbursement or that funding will be available when required.</w:t>
      </w:r>
    </w:p>
    <w:p>
      <w:pPr>
        <w:spacing w:after="0" w:line="158" w:lineRule="exact"/>
        <w:rPr>
          <w:sz w:val="20"/>
          <w:szCs w:val="20"/>
          <w:color w:val="auto"/>
        </w:rPr>
      </w:pPr>
    </w:p>
    <w:p>
      <w:pPr>
        <w:ind w:right="62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Exercise of the warrants issued to EIB may dilute the ownership interest of our shareholders or may otherwise depress the market price of our ADSs.</w:t>
      </w:r>
    </w:p>
    <w:p>
      <w:pPr>
        <w:spacing w:after="0" w:line="128"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20"/>
          <w:szCs w:val="20"/>
          <w:color w:val="auto"/>
        </w:rPr>
        <w:t>Concurrent with our entrance into the Credit Facility, we entered into a warrant agreement (the “Warrant Agreement”) with EIB, which established the terms of the warrants (the “Warrants”) to be issued to EIB prior to the receipt of borrowings under each tranche of the Credit Facility. The exercise of some or all of the Warrants may dilute the ownership interests of our shareholders and any sales in the public market of our ADSs representing the ordinary shares issuable upon such exercise could adversely affect prevailing market prices of our ADSs.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Product Candidates and the Industry in which we Operate</w:t>
      </w:r>
    </w:p>
    <w:p>
      <w:pPr>
        <w:spacing w:after="0" w:line="204" w:lineRule="exact"/>
        <w:rPr>
          <w:sz w:val="20"/>
          <w:szCs w:val="20"/>
          <w:color w:val="auto"/>
        </w:rPr>
      </w:pPr>
    </w:p>
    <w:p>
      <w:pPr>
        <w:ind w:right="50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If we do not successfully optimize our sales, marketing, and potential future distribution channels or do not effectively expand and update our infrastructure, or maintain high product quality and reliability, our operating results may be negatively impacted.</w:t>
      </w:r>
    </w:p>
    <w:p>
      <w:pPr>
        <w:spacing w:after="0" w:line="144"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If we do not adequately predict market demand or otherwise optimize and operate our sales, marketing and potential future distribution channels successfully, it could result in excess or insufficient inventory or fulfillment capacity, increased costs, or immediate shortages in product or component supply, or harm our business in other ways. In addition, if we do not maintain adequate infrastructure to enable us to, among other things, manage our purchasing and inventory levels, it could negatively impact our cash flow and operating results.</w:t>
      </w:r>
    </w:p>
    <w:p>
      <w:pPr>
        <w:spacing w:after="0" w:line="156"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20"/>
          <w:szCs w:val="20"/>
          <w:color w:val="auto"/>
        </w:rPr>
        <w:t>Moreover, our future success will depend largely on our ability to continue to hire, train, retain and motivate skilled sales representatives or distributors with significant technical and clinical knowledge about our products. New hires require training, supervision and take time to achieve full productivity. If we fail to train and supervise new hires adequately, or if we experience a high turnover in our sales force or trained professionals in the future, we cannot be certain that we will maintain or increase our sales. If we are unable to expand our sales and marketing capabilities, we may not be able to effectively commercialize our HIFU devices or our other products and service offerings in development, which would adversely affect our business, results of operations, and financial condition.</w:t>
      </w:r>
    </w:p>
    <w:p>
      <w:pPr>
        <w:sectPr>
          <w:pgSz w:w="12240" w:h="15840" w:orient="portrait"/>
          <w:cols w:equalWidth="0" w:num="1">
            <w:col w:w="9720"/>
          </w:cols>
          <w:pgMar w:left="1260" w:top="1247" w:right="1260" w:bottom="72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w:t>
      </w:r>
    </w:p>
    <w:p>
      <w:pPr>
        <w:sectPr>
          <w:pgSz w:w="12240" w:h="15840" w:orient="portrait"/>
          <w:cols w:equalWidth="0" w:num="1">
            <w:col w:w="9720"/>
          </w:cols>
          <w:pgMar w:left="1260" w:top="1247" w:right="1260" w:bottom="723" w:gutter="0" w:footer="0" w:header="0"/>
          <w:type w:val="continuous"/>
        </w:sectPr>
      </w:pPr>
    </w:p>
    <w:bookmarkStart w:id="26" w:name="page27"/>
    <w:bookmarkEnd w:id="26"/>
    <w:p>
      <w:pPr>
        <w:spacing w:after="0" w:line="246"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795655</wp:posOffset>
            </wp:positionH>
            <wp:positionV relativeFrom="page">
              <wp:posOffset>292735</wp:posOffset>
            </wp:positionV>
            <wp:extent cx="929005" cy="1149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5">
                      <a:extLst>
                        <a:ext uri="{28A0092B-C50C-407E-A947-70E740481C1C}"/>
                      </a:extLst>
                    </a:blip>
                    <a:srcRect/>
                    <a:stretch>
                      <a:fillRect/>
                    </a:stretch>
                  </pic:blipFill>
                  <pic:spPr bwMode="auto">
                    <a:xfrm>
                      <a:off x="0" y="0"/>
                      <a:ext cx="929005" cy="114935"/>
                    </a:xfrm>
                    <a:prstGeom prst="rect">
                      <a:avLst/>
                    </a:prstGeom>
                    <a:noFill/>
                  </pic:spPr>
                </pic:pic>
              </a:graphicData>
            </a:graphic>
          </wp:anchor>
        </w:drawing>
        <w:t>Our success depends on the quality and reliability of our products. While we subject our devices to stringent quality specifications and processes, our products incorporate mechanical parts, electrical components and computer software, any of which may contain errors or exhibit failures, especially when devices are first introduced. Component failures, manufacturing flaws, design defects, or inadequate disclosure of product-related risks with respect to our products could result in an unsafe condition or injury to, or death of, the patient. In addition, new devices or developments may contain undetected errors or performance problems that, despite testing, are discovered only after commercial placement. Any of the foregoing would adversely affect our business, results of operations, and financial condition.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New device developments and introductions may adversely impact our financial results.</w:t>
      </w:r>
    </w:p>
    <w:p>
      <w:pPr>
        <w:spacing w:after="0" w:line="198"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0"/>
          <w:szCs w:val="20"/>
          <w:color w:val="auto"/>
        </w:rPr>
        <w:t>From time to time, we may develop and introduce new devices, hardware and software, with enhanced features. These developments may extend a product’s capabilities, targeting new clinical applications or improving existing approaches. The success of new device introductions depends on a number of factors including, but not limited to, timely and successful R&amp;D, receipt of regulatory clearances or approvals, pricing, competition, market and consumer acceptance, manufacturing and supply costs, and the risk that new devices may have quality or other defects.</w:t>
      </w:r>
    </w:p>
    <w:p>
      <w:pPr>
        <w:spacing w:after="0" w:line="156"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20"/>
          <w:szCs w:val="20"/>
          <w:color w:val="auto"/>
        </w:rPr>
        <w:t>We invest in various R&amp;D projects to expand our product offerings. Our R&amp;D efforts are critical to our success, and our R&amp;D projects may not be successful. We may be unable to develop and market new products successfully, and the products we invest in and develop may not be well received by customers or meet our expectations. Our R&amp;D investments may not generate significant operating income or contribute to our future operating results for several years, and such contributions may not meet our expectations or even cover the costs of such investments. If we fail to effectively develop new products, obtain regulatory clearances or approvals and manage new product introductions in the future, our business, financial condition, results of operations, or cash flows could be materially and adversely impacted.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Potential issues in the adoption and use of AI in our product offerings may result in reputational harm or liability.</w:t>
      </w:r>
    </w:p>
    <w:p>
      <w:pPr>
        <w:spacing w:after="0" w:line="198"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20"/>
          <w:szCs w:val="20"/>
          <w:color w:val="auto"/>
        </w:rPr>
        <w:t>We are building AI into our future product offerings and we expect this element of our business to be a driver for our future growth. We envision a future in which AI operates in our new devices, hardware and software. As with many disruptive innovations, AI presents risks and challenges that could affect its adoption, and, therefore, our business. Our products and services incorporating AI may not be adopted by our users or customers. AI algorithms may be flawed and datasets may be insufficient or contain biased information. Inappropriate or controversial data practices by us or others could impair the acceptance of our AI products or solutions.</w:t>
      </w:r>
    </w:p>
    <w:p>
      <w:pPr>
        <w:spacing w:after="0" w:line="161" w:lineRule="exact"/>
        <w:rPr>
          <w:sz w:val="20"/>
          <w:szCs w:val="20"/>
          <w:color w:val="auto"/>
        </w:rPr>
      </w:pPr>
    </w:p>
    <w:p>
      <w:pPr>
        <w:jc w:val="both"/>
        <w:ind w:right="6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We operate in a highly regulated industry and our future success depends on obtaining and maintaining government regulatory approval of our products, which we may not receive or be able to maintain or which may be delayed for a significant period of time.</w:t>
      </w:r>
    </w:p>
    <w:p>
      <w:pPr>
        <w:spacing w:after="0" w:line="144"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0"/>
          <w:szCs w:val="20"/>
          <w:color w:val="auto"/>
        </w:rPr>
        <w:t>Government regulation significantly impacts the development and marketing of our products, particularly in the United States, European Union and Japan. We are regulated in each of our major markets with respect to preclinical and clinical testing, manufacturing, labeling, distribution, sale, marketing, advertising and promotion of our products. To market and sell products, we are required to obtain approval or clearance from the relevant regulatory agencies, including the FDA with respect to the United States. The process of applying for regulatory approval or clearance is often lengthy and requires the expenditure of substantial resources. Further, there can be no assurance that we will receive the required approvals or clearance for our products from the required regulatory authorities or, if we do receive the required approvals, that we will receive them on a timely basis, on the conditions and for the indications we seek, or that we will otherwise be able to satisfy the conditions of such approval, if any.</w:t>
      </w:r>
    </w:p>
    <w:p>
      <w:pPr>
        <w:spacing w:after="0" w:line="164"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color w:val="auto"/>
        </w:rPr>
        <w:t>The regulatory agencies may not act favorably or quickly in their review of our submissions, or we may encounter significant difficulties in our efforts to obtain their clearance or approval, or to maintain our existing approvals, all of which could delay or preclude the sale of new or existing products in the related territories. Our manufacturing operations must comply with regulations established by regulatory agencies in the United States, the European Union and other countries, and in particular with the cGMP and other standards for quality assurance and manufacturing process control under applicable regulatory authorities. Such standards may change or evolve, requiring that we change or evolve our manufacturing operations. We may not always comply with all applicable standards and, as a result, would</w:t>
      </w:r>
    </w:p>
    <w:p>
      <w:pPr>
        <w:sectPr>
          <w:pgSz w:w="12240" w:h="15840" w:orient="portrait"/>
          <w:cols w:equalWidth="0" w:num="1">
            <w:col w:w="9680"/>
          </w:cols>
          <w:pgMar w:left="1260" w:top="1247" w:right="1300" w:bottom="72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24</w:t>
      </w:r>
    </w:p>
    <w:p>
      <w:pPr>
        <w:sectPr>
          <w:pgSz w:w="12240" w:h="15840" w:orient="portrait"/>
          <w:cols w:equalWidth="0" w:num="1">
            <w:col w:w="9680"/>
          </w:cols>
          <w:pgMar w:left="1260" w:top="1247" w:right="1300" w:bottom="723" w:gutter="0" w:footer="0" w:header="0"/>
          <w:type w:val="continuous"/>
        </w:sectPr>
      </w:pPr>
    </w:p>
    <w:bookmarkStart w:id="27" w:name="page28"/>
    <w:bookmarkEnd w:id="27"/>
    <w:p>
      <w:pPr>
        <w:ind w:right="220"/>
        <w:spacing w:after="0" w:line="247"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795655</wp:posOffset>
            </wp:positionH>
            <wp:positionV relativeFrom="page">
              <wp:posOffset>292735</wp:posOffset>
            </wp:positionV>
            <wp:extent cx="929005" cy="1149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6">
                      <a:extLst>
                        <a:ext uri="{28A0092B-C50C-407E-A947-70E740481C1C}"/>
                      </a:extLst>
                    </a:blip>
                    <a:srcRect/>
                    <a:stretch>
                      <a:fillRect/>
                    </a:stretch>
                  </pic:blipFill>
                  <pic:spPr bwMode="auto">
                    <a:xfrm>
                      <a:off x="0" y="0"/>
                      <a:ext cx="929005" cy="114935"/>
                    </a:xfrm>
                    <a:prstGeom prst="rect">
                      <a:avLst/>
                    </a:prstGeom>
                    <a:noFill/>
                  </pic:spPr>
                </pic:pic>
              </a:graphicData>
            </a:graphic>
          </wp:anchor>
        </w:drawing>
        <w:t>be unable to manufacture our products for commercial sale or for clinical trial supply. Our manufacturing facilities are subject to inspection by regulatory authorities at any time. If any inspection by the regulatory authorities reveals deficiencies in manufacturing, we could be required to take immediate corrective or remedial actions, suspend production or close the current and future production facilities, which would disrupt our manufacturing processes. Accordingly, failure to comply with these regulations could have a material adverse effect on our business, financial condition and results of operations.</w:t>
      </w:r>
    </w:p>
    <w:p>
      <w:pPr>
        <w:spacing w:after="0" w:line="160" w:lineRule="exact"/>
        <w:rPr>
          <w:sz w:val="20"/>
          <w:szCs w:val="20"/>
          <w:color w:val="auto"/>
        </w:rPr>
      </w:pPr>
    </w:p>
    <w:p>
      <w:pPr>
        <w:ind w:right="100"/>
        <w:spacing w:after="0" w:line="247" w:lineRule="auto"/>
        <w:rPr>
          <w:sz w:val="20"/>
          <w:szCs w:val="20"/>
          <w:color w:val="auto"/>
        </w:rPr>
      </w:pPr>
      <w:r>
        <w:rPr>
          <w:rFonts w:ascii="Times New Roman" w:cs="Times New Roman" w:eastAsia="Times New Roman" w:hAnsi="Times New Roman"/>
          <w:sz w:val="20"/>
          <w:szCs w:val="20"/>
          <w:color w:val="auto"/>
        </w:rPr>
        <w:t>In the European Union, medical devices are regulated under the EU Medical Device Regulation (EU) 2017/745 (“MDR”), which imposes more stringent requirements on the conformity assessment, clinical evidence, post-market surveillance, and commercialization of medical devices. The MDR includes transitional provisions for certain legacy devices, with compliance deadlines that vary depending on device classification and other factors, and may extend to as late as December 31, 2028. The extension of the period during which devices may be placed on the market is subject to certain conditions.</w:t>
      </w:r>
    </w:p>
    <w:p>
      <w:pPr>
        <w:spacing w:after="0" w:line="160"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20"/>
          <w:szCs w:val="20"/>
          <w:color w:val="auto"/>
        </w:rPr>
        <w:t>To continue to market our products in the European Union, we have implemented a quality management system (“QMS”) and are executing an MDR compliance program designed to support compliance with applicable requirements within relevant timelines. We continue to implement operational measures and conduct internal audits to support ongoing compliance and enable distribution of our products in the European and international markets, where applicable. However, evolving regulatory requirements, increased scrutiny from notified bodies, and our ability to maintain ongoing compliance with MDR requirements may adversely affect our business, financial condition, and results of operations.</w:t>
      </w:r>
    </w:p>
    <w:p>
      <w:pPr>
        <w:spacing w:after="0" w:line="156" w:lineRule="exact"/>
        <w:rPr>
          <w:sz w:val="20"/>
          <w:szCs w:val="20"/>
          <w:color w:val="auto"/>
        </w:rPr>
      </w:pPr>
    </w:p>
    <w:p>
      <w:pPr>
        <w:jc w:val="both"/>
        <w:ind w:right="60"/>
        <w:spacing w:after="0" w:line="239" w:lineRule="auto"/>
        <w:rPr>
          <w:sz w:val="20"/>
          <w:szCs w:val="20"/>
          <w:color w:val="auto"/>
        </w:rPr>
      </w:pPr>
      <w:r>
        <w:rPr>
          <w:rFonts w:ascii="Times New Roman" w:cs="Times New Roman" w:eastAsia="Times New Roman" w:hAnsi="Times New Roman"/>
          <w:sz w:val="20"/>
          <w:szCs w:val="20"/>
          <w:color w:val="auto"/>
        </w:rPr>
        <w:t>Even if regulatory approval to market a product is granted, it may include limitations on the indicated uses for which the product may be marketed. Failure to comply with regulatory requirements can result in fines, suspension or withdrawal of regulatory approvals, product recalls, seizure of products, operating restrictions, and criminal prosecutions.</w:t>
      </w:r>
    </w:p>
    <w:p>
      <w:pPr>
        <w:spacing w:after="0" w:line="2"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20"/>
          <w:szCs w:val="20"/>
          <w:color w:val="auto"/>
        </w:rPr>
        <w:t>Regulatory policy may change, and additional government regulations may be established that could prevent or delay regulatory approval of our products. Any delay, failure to receive regulatory approval, or the loss of previously received approvals could have a material adverse effect on our business, financial condition, and results of operations.</w:t>
      </w:r>
    </w:p>
    <w:p>
      <w:pPr>
        <w:spacing w:after="0" w:line="148" w:lineRule="exact"/>
        <w:rPr>
          <w:sz w:val="20"/>
          <w:szCs w:val="20"/>
          <w:color w:val="auto"/>
        </w:rPr>
      </w:pPr>
    </w:p>
    <w:p>
      <w:pPr>
        <w:ind w:right="54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Our clinical trials related to products using HIFU technology may not be successful, and we may not be able to obtain regulatory approvals necessary for commercialization of all of our HIFU products.</w:t>
      </w:r>
    </w:p>
    <w:p>
      <w:pPr>
        <w:spacing w:after="0" w:line="128"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auto"/>
        </w:rPr>
        <w:t>Before obtaining regulatory approvals or clearance for the commercial sale of any of our devices under development, we must demonstrate through preclinical testing and clinical trials that the device is safe and effective in each intended use. Product development, including pre-clinical studies and clinical trials, is a long, expensive and uncertain process, and is subject to delays and failures at any stage. We or the relevant regulatory authorities may suspend or terminate clinical trials at any time and regulating agencies may even refuse to grant exemptions to pursue clinical trials. The results from preclinical testing and early clinical trials may not predict the results that will be obtained in large-scale clinical trials. We could suffer significant setbacks in later-stage clinical trials, even after promising results in earlier trials. Furthermore, data obtained from a trial might be insufficient to demonstrate that our products are safe, and effective. The commencement, continuation or completion of any of our clinical trials may be delayed or halted, or inadequate to support approval of an application to regulatory authorities for numerous reasons including, but not limited to:</w:t>
      </w:r>
    </w:p>
    <w:p>
      <w:pPr>
        <w:spacing w:after="0" w:line="175" w:lineRule="exact"/>
        <w:rPr>
          <w:sz w:val="20"/>
          <w:szCs w:val="20"/>
          <w:color w:val="auto"/>
        </w:rPr>
      </w:pPr>
    </w:p>
    <w:p>
      <w:pPr>
        <w:ind w:left="720" w:right="120" w:hanging="353"/>
        <w:spacing w:after="0" w:line="247" w:lineRule="auto"/>
        <w:tabs>
          <w:tab w:leader="none" w:pos="720" w:val="left"/>
        </w:tabs>
        <w:numPr>
          <w:ilvl w:val="0"/>
          <w:numId w:val="26"/>
        </w:numPr>
        <w:rPr>
          <w:rFonts w:ascii="Arial" w:cs="Arial" w:eastAsia="Arial" w:hAnsi="Arial"/>
          <w:sz w:val="20"/>
          <w:szCs w:val="20"/>
          <w:color w:val="auto"/>
        </w:rPr>
      </w:pPr>
      <w:r>
        <w:rPr>
          <w:rFonts w:ascii="Times New Roman" w:cs="Times New Roman" w:eastAsia="Times New Roman" w:hAnsi="Times New Roman"/>
          <w:sz w:val="20"/>
          <w:szCs w:val="20"/>
          <w:color w:val="auto"/>
        </w:rPr>
        <w:t>that regulatory authorities do not approve a clinical trial protocol or a clinical trial, or place a clinical trial on hold, discussions with regulatory authorities to improve our clinical protocols may prove difficult and lengthy;</w:t>
      </w:r>
    </w:p>
    <w:p>
      <w:pPr>
        <w:spacing w:after="0" w:line="1" w:lineRule="exact"/>
        <w:rPr>
          <w:rFonts w:ascii="Arial" w:cs="Arial" w:eastAsia="Arial" w:hAnsi="Arial"/>
          <w:sz w:val="20"/>
          <w:szCs w:val="20"/>
          <w:color w:val="auto"/>
        </w:rPr>
      </w:pPr>
    </w:p>
    <w:p>
      <w:pPr>
        <w:ind w:left="720" w:hanging="353"/>
        <w:spacing w:after="0"/>
        <w:tabs>
          <w:tab w:leader="none" w:pos="720" w:val="left"/>
        </w:tabs>
        <w:numPr>
          <w:ilvl w:val="0"/>
          <w:numId w:val="26"/>
        </w:numPr>
        <w:rPr>
          <w:rFonts w:ascii="Arial" w:cs="Arial" w:eastAsia="Arial" w:hAnsi="Arial"/>
          <w:sz w:val="20"/>
          <w:szCs w:val="20"/>
          <w:color w:val="auto"/>
        </w:rPr>
      </w:pPr>
      <w:r>
        <w:rPr>
          <w:rFonts w:ascii="Times New Roman" w:cs="Times New Roman" w:eastAsia="Times New Roman" w:hAnsi="Times New Roman"/>
          <w:sz w:val="20"/>
          <w:szCs w:val="20"/>
          <w:color w:val="auto"/>
        </w:rPr>
        <w:t>slower than expected rates of patient recruitment and enrollment;</w:t>
      </w:r>
    </w:p>
    <w:p>
      <w:pPr>
        <w:spacing w:after="0" w:line="13" w:lineRule="exact"/>
        <w:rPr>
          <w:rFonts w:ascii="Arial" w:cs="Arial" w:eastAsia="Arial" w:hAnsi="Arial"/>
          <w:sz w:val="20"/>
          <w:szCs w:val="20"/>
          <w:color w:val="auto"/>
        </w:rPr>
      </w:pPr>
    </w:p>
    <w:p>
      <w:pPr>
        <w:ind w:left="720" w:hanging="353"/>
        <w:spacing w:after="0"/>
        <w:tabs>
          <w:tab w:leader="none" w:pos="720" w:val="left"/>
        </w:tabs>
        <w:numPr>
          <w:ilvl w:val="0"/>
          <w:numId w:val="26"/>
        </w:numPr>
        <w:rPr>
          <w:rFonts w:ascii="Arial" w:cs="Arial" w:eastAsia="Arial" w:hAnsi="Arial"/>
          <w:sz w:val="20"/>
          <w:szCs w:val="20"/>
          <w:color w:val="auto"/>
        </w:rPr>
      </w:pPr>
      <w:r>
        <w:rPr>
          <w:rFonts w:ascii="Times New Roman" w:cs="Times New Roman" w:eastAsia="Times New Roman" w:hAnsi="Times New Roman"/>
          <w:sz w:val="20"/>
          <w:szCs w:val="20"/>
          <w:color w:val="auto"/>
        </w:rPr>
        <w:t>inability to adequately monitor patients during or after treatment;</w:t>
      </w:r>
    </w:p>
    <w:p>
      <w:pPr>
        <w:spacing w:after="0" w:line="13" w:lineRule="exact"/>
        <w:rPr>
          <w:rFonts w:ascii="Arial" w:cs="Arial" w:eastAsia="Arial" w:hAnsi="Arial"/>
          <w:sz w:val="20"/>
          <w:szCs w:val="20"/>
          <w:color w:val="auto"/>
        </w:rPr>
      </w:pPr>
    </w:p>
    <w:p>
      <w:pPr>
        <w:ind w:left="720" w:hanging="353"/>
        <w:spacing w:after="0"/>
        <w:tabs>
          <w:tab w:leader="none" w:pos="720" w:val="left"/>
        </w:tabs>
        <w:numPr>
          <w:ilvl w:val="0"/>
          <w:numId w:val="26"/>
        </w:numPr>
        <w:rPr>
          <w:rFonts w:ascii="Arial" w:cs="Arial" w:eastAsia="Arial" w:hAnsi="Arial"/>
          <w:sz w:val="20"/>
          <w:szCs w:val="20"/>
          <w:color w:val="auto"/>
        </w:rPr>
      </w:pPr>
      <w:r>
        <w:rPr>
          <w:rFonts w:ascii="Times New Roman" w:cs="Times New Roman" w:eastAsia="Times New Roman" w:hAnsi="Times New Roman"/>
          <w:sz w:val="20"/>
          <w:szCs w:val="20"/>
          <w:color w:val="auto"/>
        </w:rPr>
        <w:t>failure of patients to complete the clinical trial;</w:t>
      </w:r>
    </w:p>
    <w:p>
      <w:pPr>
        <w:spacing w:after="0" w:line="11" w:lineRule="exact"/>
        <w:rPr>
          <w:rFonts w:ascii="Arial" w:cs="Arial" w:eastAsia="Arial" w:hAnsi="Arial"/>
          <w:sz w:val="20"/>
          <w:szCs w:val="20"/>
          <w:color w:val="auto"/>
        </w:rPr>
      </w:pPr>
    </w:p>
    <w:p>
      <w:pPr>
        <w:ind w:left="720" w:hanging="353"/>
        <w:spacing w:after="0"/>
        <w:tabs>
          <w:tab w:leader="none" w:pos="720" w:val="left"/>
        </w:tabs>
        <w:numPr>
          <w:ilvl w:val="0"/>
          <w:numId w:val="26"/>
        </w:numPr>
        <w:rPr>
          <w:rFonts w:ascii="Arial" w:cs="Arial" w:eastAsia="Arial" w:hAnsi="Arial"/>
          <w:sz w:val="20"/>
          <w:szCs w:val="20"/>
          <w:color w:val="auto"/>
        </w:rPr>
      </w:pPr>
      <w:r>
        <w:rPr>
          <w:rFonts w:ascii="Times New Roman" w:cs="Times New Roman" w:eastAsia="Times New Roman" w:hAnsi="Times New Roman"/>
          <w:sz w:val="20"/>
          <w:szCs w:val="20"/>
          <w:color w:val="auto"/>
        </w:rPr>
        <w:t>prevalence and severity of adverse events and other unforeseen safety issues;</w:t>
      </w:r>
    </w:p>
    <w:p>
      <w:pPr>
        <w:spacing w:after="0" w:line="13" w:lineRule="exact"/>
        <w:rPr>
          <w:rFonts w:ascii="Arial" w:cs="Arial" w:eastAsia="Arial" w:hAnsi="Arial"/>
          <w:sz w:val="20"/>
          <w:szCs w:val="20"/>
          <w:color w:val="auto"/>
        </w:rPr>
      </w:pPr>
    </w:p>
    <w:p>
      <w:pPr>
        <w:ind w:left="720" w:hanging="353"/>
        <w:spacing w:after="0"/>
        <w:tabs>
          <w:tab w:leader="none" w:pos="720" w:val="left"/>
        </w:tabs>
        <w:numPr>
          <w:ilvl w:val="0"/>
          <w:numId w:val="26"/>
        </w:numPr>
        <w:rPr>
          <w:rFonts w:ascii="Arial" w:cs="Arial" w:eastAsia="Arial" w:hAnsi="Arial"/>
          <w:sz w:val="20"/>
          <w:szCs w:val="20"/>
          <w:color w:val="auto"/>
        </w:rPr>
      </w:pPr>
      <w:r>
        <w:rPr>
          <w:rFonts w:ascii="Times New Roman" w:cs="Times New Roman" w:eastAsia="Times New Roman" w:hAnsi="Times New Roman"/>
          <w:sz w:val="20"/>
          <w:szCs w:val="20"/>
          <w:color w:val="auto"/>
        </w:rPr>
        <w:t>third-party organizations not performing data collection and analysis in a timely and accurate manner;</w:t>
      </w:r>
    </w:p>
    <w:p>
      <w:pPr>
        <w:spacing w:after="0" w:line="13" w:lineRule="exact"/>
        <w:rPr>
          <w:rFonts w:ascii="Arial" w:cs="Arial" w:eastAsia="Arial" w:hAnsi="Arial"/>
          <w:sz w:val="20"/>
          <w:szCs w:val="20"/>
          <w:color w:val="auto"/>
        </w:rPr>
      </w:pPr>
    </w:p>
    <w:p>
      <w:pPr>
        <w:ind w:left="720" w:hanging="353"/>
        <w:spacing w:after="0"/>
        <w:tabs>
          <w:tab w:leader="none" w:pos="720" w:val="left"/>
        </w:tabs>
        <w:numPr>
          <w:ilvl w:val="0"/>
          <w:numId w:val="26"/>
        </w:numPr>
        <w:rPr>
          <w:rFonts w:ascii="Arial" w:cs="Arial" w:eastAsia="Arial" w:hAnsi="Arial"/>
          <w:sz w:val="20"/>
          <w:szCs w:val="20"/>
          <w:color w:val="auto"/>
        </w:rPr>
      </w:pPr>
      <w:r>
        <w:rPr>
          <w:rFonts w:ascii="Times New Roman" w:cs="Times New Roman" w:eastAsia="Times New Roman" w:hAnsi="Times New Roman"/>
          <w:sz w:val="20"/>
          <w:szCs w:val="20"/>
          <w:color w:val="auto"/>
        </w:rPr>
        <w:t>governmental and regulatory delays or changes in regulatory requirements, policies or guidelines; and</w:t>
      </w:r>
    </w:p>
    <w:p>
      <w:pPr>
        <w:spacing w:after="0" w:line="13" w:lineRule="exact"/>
        <w:rPr>
          <w:rFonts w:ascii="Arial" w:cs="Arial" w:eastAsia="Arial" w:hAnsi="Arial"/>
          <w:sz w:val="20"/>
          <w:szCs w:val="20"/>
          <w:color w:val="auto"/>
        </w:rPr>
      </w:pPr>
    </w:p>
    <w:p>
      <w:pPr>
        <w:ind w:left="720" w:hanging="353"/>
        <w:spacing w:after="0"/>
        <w:tabs>
          <w:tab w:leader="none" w:pos="720" w:val="left"/>
        </w:tabs>
        <w:numPr>
          <w:ilvl w:val="0"/>
          <w:numId w:val="26"/>
        </w:numPr>
        <w:rPr>
          <w:rFonts w:ascii="Arial" w:cs="Arial" w:eastAsia="Arial" w:hAnsi="Arial"/>
          <w:sz w:val="20"/>
          <w:szCs w:val="20"/>
          <w:color w:val="auto"/>
        </w:rPr>
      </w:pPr>
      <w:r>
        <w:rPr>
          <w:rFonts w:ascii="Times New Roman" w:cs="Times New Roman" w:eastAsia="Times New Roman" w:hAnsi="Times New Roman"/>
          <w:sz w:val="20"/>
          <w:szCs w:val="20"/>
          <w:color w:val="auto"/>
        </w:rPr>
        <w:t>that regulatory authorities conclude that our trial design is inadequate to demonstrate safety and efficacy.</w:t>
      </w:r>
    </w:p>
    <w:p>
      <w:pPr>
        <w:spacing w:after="0" w:line="199" w:lineRule="exact"/>
        <w:rPr>
          <w:sz w:val="20"/>
          <w:szCs w:val="20"/>
          <w:color w:val="auto"/>
        </w:rPr>
      </w:pPr>
    </w:p>
    <w:p>
      <w:pPr>
        <w:jc w:val="both"/>
        <w:ind w:right="180"/>
        <w:spacing w:after="0" w:line="279" w:lineRule="auto"/>
        <w:rPr>
          <w:sz w:val="20"/>
          <w:szCs w:val="20"/>
          <w:color w:val="auto"/>
        </w:rPr>
      </w:pPr>
      <w:r>
        <w:rPr>
          <w:rFonts w:ascii="Times New Roman" w:cs="Times New Roman" w:eastAsia="Times New Roman" w:hAnsi="Times New Roman"/>
          <w:sz w:val="19"/>
          <w:szCs w:val="19"/>
          <w:color w:val="auto"/>
        </w:rPr>
        <w:t>The data we collect from our preclinical studies, current clinical trials, and other clinical trials may not be sufficient to support requested regulatory approval. Additionally, certain regulatory authorities may disagree with our interpretation of the data from our preclinical studies and clinical trials, or may find the clinical trial design, conduct or results</w:t>
      </w:r>
    </w:p>
    <w:p>
      <w:pPr>
        <w:sectPr>
          <w:pgSz w:w="12240" w:h="15840" w:orient="portrait"/>
          <w:cols w:equalWidth="0" w:num="1">
            <w:col w:w="9700"/>
          </w:cols>
          <w:pgMar w:left="1260" w:top="1247" w:right="1280" w:bottom="723" w:gutter="0" w:footer="0" w:header="0"/>
        </w:sect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25</w:t>
      </w:r>
    </w:p>
    <w:p>
      <w:pPr>
        <w:sectPr>
          <w:pgSz w:w="12240" w:h="15840" w:orient="portrait"/>
          <w:cols w:equalWidth="0" w:num="1">
            <w:col w:w="9700"/>
          </w:cols>
          <w:pgMar w:left="1260" w:top="1247" w:right="1280" w:bottom="723" w:gutter="0" w:footer="0" w:header="0"/>
          <w:type w:val="continuous"/>
        </w:sectPr>
      </w:pPr>
    </w:p>
    <w:bookmarkStart w:id="28" w:name="page29"/>
    <w:bookmarkEnd w:id="28"/>
    <w:p>
      <w:pPr>
        <w:spacing w:after="0" w:line="252"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795655</wp:posOffset>
            </wp:positionH>
            <wp:positionV relativeFrom="page">
              <wp:posOffset>292735</wp:posOffset>
            </wp:positionV>
            <wp:extent cx="929005" cy="1149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37">
                      <a:extLst>
                        <a:ext uri="{28A0092B-C50C-407E-A947-70E740481C1C}"/>
                      </a:extLst>
                    </a:blip>
                    <a:srcRect/>
                    <a:stretch>
                      <a:fillRect/>
                    </a:stretch>
                  </pic:blipFill>
                  <pic:spPr bwMode="auto">
                    <a:xfrm>
                      <a:off x="0" y="0"/>
                      <a:ext cx="929005" cy="114935"/>
                    </a:xfrm>
                    <a:prstGeom prst="rect">
                      <a:avLst/>
                    </a:prstGeom>
                    <a:noFill/>
                  </pic:spPr>
                </pic:pic>
              </a:graphicData>
            </a:graphic>
          </wp:anchor>
        </w:drawing>
        <w:t>inadequate to prove safety or efficacy, and may require us to pursue additional preclinical studies or clinical trials, which would increase costs and could further delay the approval of our products. If we are unable to demonstrate the safety and/or efficacy of our products in our clinical trials, we will be unable to obtain regulatory approval to market our products.</w:t>
      </w:r>
    </w:p>
    <w:p>
      <w:pPr>
        <w:spacing w:after="0" w:line="153"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20"/>
          <w:szCs w:val="20"/>
          <w:color w:val="auto"/>
        </w:rPr>
        <w:t>Moreover, we may also be required to abandon previous strategies for regulatory approval or clearance, despite having made significant financial and time investments, or refocus our efforts on alternative regulatory strategies, resulting in increased costs and efforts from management, without any guarantee of success, which could materially adversely affect our business, financial condition and results of operations.</w:t>
      </w:r>
    </w:p>
    <w:p>
      <w:pPr>
        <w:spacing w:after="0" w:line="153"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The commercial success of our products depends on whether procedures performed using those products are eligible for reimbursement approved by national health authorities and third-party payers.</w:t>
      </w:r>
    </w:p>
    <w:p>
      <w:pPr>
        <w:spacing w:after="0" w:line="128"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color w:val="auto"/>
        </w:rPr>
        <w:t>Our success depends, among other things, on the extent to which reimbursement can be obtained from healthcare payers for procedures performed with our products. In the United States, we are dependent upon favorable coverage and benefit decisions by CMS for Medicare reimbursement, state Medicaid agencies, individual managed care organizations, private insurers and other payers. With the support of the American Urological Association and the American Association of Clinical Urologists, the AMA established a new Category 1 CPT code for the ablation of malignant prostate tissue with HIFU technology, effective January 1, 2021. In late 2022, CMS published its final rules for the calendar year 2023 for APC procedures and physician fee schedule, which established reimbursement rates that recognize both facility or hospital payment and physician professional service payments for HIFU procedures. CMS final rule included a reimbursement level close to surgery, effective on January 1, 2023.</w:t>
      </w:r>
    </w:p>
    <w:p>
      <w:pPr>
        <w:spacing w:after="0" w:line="158"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20"/>
          <w:szCs w:val="20"/>
          <w:color w:val="auto"/>
        </w:rPr>
        <w:t>The 2026 final rule maintained APC 6 payment level. For private insurers, policy coverage decisions supporting coverage and reimbursement related to HIFU procedures are limited given that HIFU is a new technology. With expanded third party coverage decisions, our Focal One HIFU procedure will have broader market access in the United States. However, public or private payors may decide to limit coverage or reimbursement of HIFU technologies that are available to individuals, including potentially modifying existing guidance to further limit available coverage. Changes to coverage decisions, which may be revised from time to time, could positively or negatively impact reimbursement for procedures performed using our devices and may result in a material adverse effect on our business, financial condition and results of operations. Outside the United States, and in particular in the European Union and Japan, third-party reimbursement is generally conditioned upon decisions by national health authorities, and we cannot guarantee that a definitive reimbursement will be granted.</w:t>
      </w:r>
    </w:p>
    <w:p>
      <w:pPr>
        <w:spacing w:after="0" w:line="16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0"/>
          <w:szCs w:val="20"/>
          <w:color w:val="auto"/>
        </w:rPr>
        <w:t>We cannot assure investors that expanded coverage decisions or additional reimbursement approvals will be obtained in the near future, if ever. If payor coverage or reimbursement for procedures related to our products is unavailable, limited in scope or amount, or if certain levels of public or private payor reimbursement or coverage policies change, it could have a material adverse effect on our business, financial condition and results of operations.</w:t>
      </w:r>
    </w:p>
    <w:p>
      <w:pPr>
        <w:spacing w:after="0" w:line="153" w:lineRule="exact"/>
        <w:rPr>
          <w:sz w:val="20"/>
          <w:szCs w:val="20"/>
          <w:color w:val="auto"/>
        </w:rPr>
      </w:pPr>
    </w:p>
    <w:p>
      <w:pPr>
        <w:ind w:right="26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HIFU technology may not be widely adopted by the medical community and may never become a standard of care, and we may be unable to generate sufficient revenue to sustain our business.</w:t>
      </w:r>
    </w:p>
    <w:p>
      <w:pPr>
        <w:spacing w:after="0" w:line="128" w:lineRule="exact"/>
        <w:rPr>
          <w:sz w:val="20"/>
          <w:szCs w:val="20"/>
          <w:color w:val="auto"/>
        </w:rPr>
      </w:pPr>
    </w:p>
    <w:p>
      <w:pPr>
        <w:jc w:val="both"/>
        <w:ind w:right="440"/>
        <w:spacing w:after="0" w:line="252" w:lineRule="auto"/>
        <w:rPr>
          <w:sz w:val="20"/>
          <w:szCs w:val="20"/>
          <w:color w:val="auto"/>
        </w:rPr>
      </w:pPr>
      <w:r>
        <w:rPr>
          <w:rFonts w:ascii="Times New Roman" w:cs="Times New Roman" w:eastAsia="Times New Roman" w:hAnsi="Times New Roman"/>
          <w:sz w:val="19"/>
          <w:szCs w:val="19"/>
          <w:color w:val="auto"/>
        </w:rPr>
        <w:t>Our success depends on the market’s confidence that our HIFU devices can provide reliable, high -quality results or treatments and we believe that physicians are likely to be particularly sensitive to any test defects and errors in our devices. Our robotic HIFU devices represent innovative therapies for the conditions that they are designed to treat.</w:t>
      </w:r>
    </w:p>
    <w:p>
      <w:pPr>
        <w:spacing w:after="0" w:line="1"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color w:val="auto"/>
        </w:rPr>
        <w:t>Notwithstanding any positive clinical results that our HIFU devices may have achieved or may achieve in the future in terms of safety and efficacy and any marketing approvals that we have obtained or may obtain in the future, there can be no assurance that such products will gain adoption by the medical community. Physician adoption depends, among other things, on evidence of the cost effectiveness of a therapy as compared to existing therapies and on adequate coverage policies supporting reimbursement from healthcare payers. Furthermore, acceptance by patients depends in part on physician recommendations, as well as other factors, including the degree of invasiveness, the rate and severity of complications and other side effects associated with the therapy as compared to other therapies.</w:t>
      </w:r>
    </w:p>
    <w:p>
      <w:pPr>
        <w:spacing w:after="0" w:line="162" w:lineRule="exact"/>
        <w:rPr>
          <w:sz w:val="20"/>
          <w:szCs w:val="20"/>
          <w:color w:val="auto"/>
        </w:rPr>
      </w:pPr>
    </w:p>
    <w:p>
      <w:pPr>
        <w:ind w:right="160"/>
        <w:spacing w:after="0" w:line="276" w:lineRule="auto"/>
        <w:rPr>
          <w:sz w:val="20"/>
          <w:szCs w:val="20"/>
          <w:color w:val="auto"/>
        </w:rPr>
      </w:pPr>
      <w:r>
        <w:rPr>
          <w:rFonts w:ascii="Times New Roman" w:cs="Times New Roman" w:eastAsia="Times New Roman" w:hAnsi="Times New Roman"/>
          <w:sz w:val="20"/>
          <w:szCs w:val="20"/>
          <w:color w:val="auto"/>
        </w:rPr>
        <w:t>If our robotic HIFU devices do not achieve an adequate level of acceptance by physicians, patients, health care payers and the medical community and never become a standard of care, we may not generate or maintain positive cash flows</w:t>
      </w:r>
    </w:p>
    <w:p>
      <w:pPr>
        <w:sectPr>
          <w:pgSz w:w="12240" w:h="15840" w:orient="portrait"/>
          <w:cols w:equalWidth="0" w:num="1">
            <w:col w:w="9680"/>
          </w:cols>
          <w:pgMar w:left="1260" w:top="1247" w:right="1300" w:bottom="723" w:gutter="0" w:footer="0" w:header="0"/>
        </w:sectPr>
      </w:pPr>
    </w:p>
    <w:p>
      <w:pPr>
        <w:spacing w:after="0" w:line="200" w:lineRule="exact"/>
        <w:rPr>
          <w:sz w:val="20"/>
          <w:szCs w:val="20"/>
          <w:color w:val="auto"/>
        </w:rPr>
      </w:pPr>
    </w:p>
    <w:p>
      <w:pPr>
        <w:spacing w:after="0" w:line="3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26</w:t>
      </w:r>
    </w:p>
    <w:p>
      <w:pPr>
        <w:sectPr>
          <w:pgSz w:w="12240" w:h="15840" w:orient="portrait"/>
          <w:cols w:equalWidth="0" w:num="1">
            <w:col w:w="9680"/>
          </w:cols>
          <w:pgMar w:left="1260" w:top="1247" w:right="1300" w:bottom="723" w:gutter="0" w:footer="0" w:header="0"/>
          <w:type w:val="continuous"/>
        </w:sectPr>
      </w:pPr>
    </w:p>
    <w:bookmarkStart w:id="29" w:name="page30"/>
    <w:bookmarkEnd w:id="29"/>
    <w:p>
      <w:pPr>
        <w:jc w:val="both"/>
        <w:ind w:right="60"/>
        <w:spacing w:after="0" w:line="259"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795655</wp:posOffset>
            </wp:positionH>
            <wp:positionV relativeFrom="page">
              <wp:posOffset>292735</wp:posOffset>
            </wp:positionV>
            <wp:extent cx="929005" cy="1149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38">
                      <a:extLst>
                        <a:ext uri="{28A0092B-C50C-407E-A947-70E740481C1C}"/>
                      </a:extLst>
                    </a:blip>
                    <a:srcRect/>
                    <a:stretch>
                      <a:fillRect/>
                    </a:stretch>
                  </pic:blipFill>
                  <pic:spPr bwMode="auto">
                    <a:xfrm>
                      <a:off x="0" y="0"/>
                      <a:ext cx="929005" cy="114935"/>
                    </a:xfrm>
                    <a:prstGeom prst="rect">
                      <a:avLst/>
                    </a:prstGeom>
                    <a:noFill/>
                  </pic:spPr>
                </pic:pic>
              </a:graphicData>
            </a:graphic>
          </wp:anchor>
        </w:drawing>
        <w:t>and we may not become profitable or be able to sustain profitability. The failure of our current HIFU devices to perform as expected would significantly impair our reputation. If we do achieve market acceptance of our products, we may not be able to sustain it or otherwise achieve it to a degree which would support the ongoing viability of our operations.</w:t>
      </w:r>
    </w:p>
    <w:p>
      <w:pPr>
        <w:spacing w:after="0" w:line="148" w:lineRule="exact"/>
        <w:rPr>
          <w:sz w:val="20"/>
          <w:szCs w:val="20"/>
          <w:color w:val="auto"/>
        </w:rPr>
      </w:pPr>
    </w:p>
    <w:p>
      <w:pPr>
        <w:ind w:right="38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Competition in the markets in which we operate is intense and is expected to increase in the future, and there is a substantial risk our products or service offerings could become obsolete or uncompetitive.</w:t>
      </w:r>
    </w:p>
    <w:p>
      <w:pPr>
        <w:spacing w:after="0" w:line="128" w:lineRule="exact"/>
        <w:rPr>
          <w:sz w:val="20"/>
          <w:szCs w:val="20"/>
          <w:color w:val="auto"/>
        </w:rPr>
      </w:pPr>
    </w:p>
    <w:p>
      <w:pPr>
        <w:ind w:right="160"/>
        <w:spacing w:after="0" w:line="252" w:lineRule="auto"/>
        <w:rPr>
          <w:sz w:val="20"/>
          <w:szCs w:val="20"/>
          <w:color w:val="auto"/>
        </w:rPr>
      </w:pPr>
      <w:r>
        <w:rPr>
          <w:rFonts w:ascii="Times New Roman" w:cs="Times New Roman" w:eastAsia="Times New Roman" w:hAnsi="Times New Roman"/>
          <w:sz w:val="20"/>
          <w:szCs w:val="20"/>
          <w:color w:val="auto"/>
        </w:rPr>
        <w:t>Competition in the markets in which we operate is intense and is expected to increase in the future. In each of our main businesses, we face competition both directly from other manufacturers of medical devices that apply the same technologies that we use, as well as indirectly from existing or emerging therapies for the treatment of urological disorders.</w:t>
      </w:r>
    </w:p>
    <w:p>
      <w:pPr>
        <w:spacing w:after="0" w:line="153" w:lineRule="exact"/>
        <w:rPr>
          <w:sz w:val="20"/>
          <w:szCs w:val="20"/>
          <w:color w:val="auto"/>
        </w:rPr>
      </w:pPr>
    </w:p>
    <w:p>
      <w:pPr>
        <w:ind w:right="260"/>
        <w:spacing w:after="0" w:line="253" w:lineRule="auto"/>
        <w:rPr>
          <w:sz w:val="20"/>
          <w:szCs w:val="20"/>
          <w:color w:val="auto"/>
        </w:rPr>
      </w:pPr>
      <w:r>
        <w:rPr>
          <w:rFonts w:ascii="Times New Roman" w:cs="Times New Roman" w:eastAsia="Times New Roman" w:hAnsi="Times New Roman"/>
          <w:sz w:val="20"/>
          <w:szCs w:val="20"/>
          <w:color w:val="auto"/>
        </w:rPr>
        <w:t>In the markets that we target for our robotic HIFU products, competition comes from new market entrants and alternative therapies, as well as from current manufacturers of robotic medical devices. In the HIFU market, the Focal One system competes with all current treatments for localized tumors, including surgery, external beam radiotherapy, brachytherapy, irreversible electroporation and cryotherapy.</w:t>
      </w:r>
    </w:p>
    <w:p>
      <w:pPr>
        <w:spacing w:after="0" w:line="151"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20"/>
          <w:szCs w:val="20"/>
          <w:color w:val="auto"/>
        </w:rPr>
        <w:t>Many of our competitors have significantly greater financial, technical, research, marketing, sales, distribution and other resources than we have and may have more experience in developing, manufacturing, marketing and supporting new medical devices. In addition, our future success will depend in large part on our ability to maintain a leading position in technological innovation, and we cannot assure investors that we will be able to develop new products or enhance our current ones to compete successfully with new or existing technologies. Rapid technological development by competitors may result in our products becoming obsolete before we recover a significant portion of the research, development and commercialization expenses incurred with respect to those products.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Organization and Operations</w:t>
      </w:r>
    </w:p>
    <w:p>
      <w:pPr>
        <w:spacing w:after="0" w:line="204" w:lineRule="exact"/>
        <w:rPr>
          <w:sz w:val="20"/>
          <w:szCs w:val="20"/>
          <w:color w:val="auto"/>
        </w:rPr>
      </w:pPr>
    </w:p>
    <w:p>
      <w:pPr>
        <w:ind w:right="28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may experience revenue disruption due to our strategic shift to focus on HIFU activities and away from legacy non-HIFU activities.</w:t>
      </w:r>
    </w:p>
    <w:p>
      <w:pPr>
        <w:spacing w:after="0" w:line="12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0"/>
          <w:szCs w:val="20"/>
          <w:color w:val="auto"/>
        </w:rPr>
        <w:t>We recently made a strategic shift to increase investments in our core proprietary growth HIFU activities and place less emphasis on our non-HIFU distribution and ESWL business activities. As part of this strategy, certain existing distribution agreements with third- party partners have been terminated or may not be renewed. While this strategy aligns with our long-term strategic goals, it carries inherent risks, including:</w:t>
      </w:r>
    </w:p>
    <w:p>
      <w:pPr>
        <w:spacing w:after="0" w:line="166" w:lineRule="exact"/>
        <w:rPr>
          <w:sz w:val="20"/>
          <w:szCs w:val="20"/>
          <w:color w:val="auto"/>
        </w:rPr>
      </w:pPr>
    </w:p>
    <w:p>
      <w:pPr>
        <w:ind w:left="720" w:hanging="353"/>
        <w:spacing w:after="0"/>
        <w:tabs>
          <w:tab w:leader="none" w:pos="720" w:val="left"/>
        </w:tabs>
        <w:numPr>
          <w:ilvl w:val="0"/>
          <w:numId w:val="27"/>
        </w:numPr>
        <w:rPr>
          <w:rFonts w:ascii="Arial" w:cs="Arial" w:eastAsia="Arial" w:hAnsi="Arial"/>
          <w:sz w:val="20"/>
          <w:szCs w:val="20"/>
          <w:color w:val="auto"/>
        </w:rPr>
      </w:pPr>
      <w:r>
        <w:rPr>
          <w:rFonts w:ascii="Times New Roman" w:cs="Times New Roman" w:eastAsia="Times New Roman" w:hAnsi="Times New Roman"/>
          <w:sz w:val="20"/>
          <w:szCs w:val="20"/>
          <w:color w:val="auto"/>
        </w:rPr>
        <w:t>a potential reduction in our global near-term revenue as we scale back our distribution activities;</w:t>
      </w:r>
    </w:p>
    <w:p>
      <w:pPr>
        <w:spacing w:after="0" w:line="11" w:lineRule="exact"/>
        <w:rPr>
          <w:rFonts w:ascii="Arial" w:cs="Arial" w:eastAsia="Arial" w:hAnsi="Arial"/>
          <w:sz w:val="20"/>
          <w:szCs w:val="20"/>
          <w:color w:val="auto"/>
        </w:rPr>
      </w:pPr>
    </w:p>
    <w:p>
      <w:pPr>
        <w:ind w:left="720" w:right="20" w:hanging="353"/>
        <w:spacing w:after="0" w:line="245" w:lineRule="auto"/>
        <w:tabs>
          <w:tab w:leader="none" w:pos="720" w:val="left"/>
        </w:tabs>
        <w:numPr>
          <w:ilvl w:val="0"/>
          <w:numId w:val="27"/>
        </w:numPr>
        <w:rPr>
          <w:rFonts w:ascii="Arial" w:cs="Arial" w:eastAsia="Arial" w:hAnsi="Arial"/>
          <w:sz w:val="20"/>
          <w:szCs w:val="20"/>
          <w:color w:val="auto"/>
        </w:rPr>
      </w:pPr>
      <w:r>
        <w:rPr>
          <w:rFonts w:ascii="Times New Roman" w:cs="Times New Roman" w:eastAsia="Times New Roman" w:hAnsi="Times New Roman"/>
          <w:sz w:val="20"/>
          <w:szCs w:val="20"/>
          <w:color w:val="auto"/>
        </w:rPr>
        <w:t>a possible decline in stock price, particularly if investors perceive the shift as a risk to short-term revenues, if investors do not agree with the strategic change, or if the transition does not proceed as smoothly as anticipated; and</w:t>
      </w:r>
    </w:p>
    <w:p>
      <w:pPr>
        <w:ind w:left="720" w:right="180" w:hanging="353"/>
        <w:spacing w:after="0" w:line="259" w:lineRule="auto"/>
        <w:tabs>
          <w:tab w:leader="none" w:pos="720" w:val="left"/>
        </w:tabs>
        <w:numPr>
          <w:ilvl w:val="0"/>
          <w:numId w:val="27"/>
        </w:numPr>
        <w:rPr>
          <w:rFonts w:ascii="Arial" w:cs="Arial" w:eastAsia="Arial" w:hAnsi="Arial"/>
          <w:sz w:val="20"/>
          <w:szCs w:val="20"/>
          <w:color w:val="auto"/>
        </w:rPr>
      </w:pPr>
      <w:r>
        <w:rPr>
          <w:rFonts w:ascii="Times New Roman" w:cs="Times New Roman" w:eastAsia="Times New Roman" w:hAnsi="Times New Roman"/>
          <w:sz w:val="20"/>
          <w:szCs w:val="20"/>
          <w:color w:val="auto"/>
        </w:rPr>
        <w:t>strained relationships with investors and stakeholders who may be concerned about the potential negative financial and reputational impact of this strategic change, including the potential loss of revenue streams from non-HIFU activities.</w:t>
      </w:r>
    </w:p>
    <w:p>
      <w:pPr>
        <w:spacing w:after="0" w:line="145"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20"/>
          <w:szCs w:val="20"/>
          <w:color w:val="auto"/>
        </w:rPr>
        <w:t>While we believe that this strategic focus will position us for stronger, sustainable growth, the execution of this transition may involve significant risks that could materially impact our financial performance and shareholder value in the short term.</w:t>
      </w:r>
    </w:p>
    <w:p>
      <w:pPr>
        <w:spacing w:after="0" w:line="148" w:lineRule="exact"/>
        <w:rPr>
          <w:sz w:val="20"/>
          <w:szCs w:val="20"/>
          <w:color w:val="auto"/>
        </w:rPr>
      </w:pPr>
    </w:p>
    <w:p>
      <w:pPr>
        <w:ind w:right="30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face a significant risk of exposure to product liability claims in the event that the use of our products results in personal injury or death and our insurance coverage may be inadequate.</w:t>
      </w:r>
    </w:p>
    <w:p>
      <w:pPr>
        <w:spacing w:after="0" w:line="128"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0"/>
          <w:szCs w:val="20"/>
          <w:color w:val="auto"/>
        </w:rPr>
        <w:t>Our products are designed to be used safely in the treatment of severe afflictions and conditions. Despite the use of our products, patients may suffer personal injury or death, and we may, as a result, face significant product liability claims. We maintain separate product liability insurance policies for the United States and Canada and for the other markets in which we sell our products. Product liability insurance is expensive and there can be no assurance that it will continue to be available on commercially reasonable terms or at all. In addition, our insurance may not cover certain product liability claims or our liability for any claims may exceed our coverage limits. A product liability claim or series of claims</w:t>
      </w:r>
    </w:p>
    <w:p>
      <w:pPr>
        <w:sectPr>
          <w:pgSz w:w="12240" w:h="15840" w:orient="portrait"/>
          <w:cols w:equalWidth="0" w:num="1">
            <w:col w:w="9700"/>
          </w:cols>
          <w:pgMar w:left="1260" w:top="1247" w:right="1280" w:bottom="723" w:gutter="0" w:footer="0" w:header="0"/>
        </w:sect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27</w:t>
      </w:r>
    </w:p>
    <w:p>
      <w:pPr>
        <w:sectPr>
          <w:pgSz w:w="12240" w:h="15840" w:orient="portrait"/>
          <w:cols w:equalWidth="0" w:num="1">
            <w:col w:w="9700"/>
          </w:cols>
          <w:pgMar w:left="1260" w:top="1247" w:right="1280" w:bottom="723" w:gutter="0" w:footer="0" w:header="0"/>
          <w:type w:val="continuous"/>
        </w:sectPr>
      </w:pPr>
    </w:p>
    <w:bookmarkStart w:id="30" w:name="page31"/>
    <w:bookmarkEnd w:id="30"/>
    <w:p>
      <w:pPr>
        <w:ind w:right="280"/>
        <w:spacing w:after="0" w:line="249"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795655</wp:posOffset>
            </wp:positionH>
            <wp:positionV relativeFrom="page">
              <wp:posOffset>292735</wp:posOffset>
            </wp:positionV>
            <wp:extent cx="929005" cy="1149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39">
                      <a:extLst>
                        <a:ext uri="{28A0092B-C50C-407E-A947-70E740481C1C}"/>
                      </a:extLst>
                    </a:blip>
                    <a:srcRect/>
                    <a:stretch>
                      <a:fillRect/>
                    </a:stretch>
                  </pic:blipFill>
                  <pic:spPr bwMode="auto">
                    <a:xfrm>
                      <a:off x="0" y="0"/>
                      <a:ext cx="929005" cy="114935"/>
                    </a:xfrm>
                    <a:prstGeom prst="rect">
                      <a:avLst/>
                    </a:prstGeom>
                    <a:noFill/>
                  </pic:spPr>
                </pic:pic>
              </a:graphicData>
            </a:graphic>
          </wp:anchor>
        </w:drawing>
        <w:t>brought against us with respect to uninsured liabilities or in excess of our insurance coverage, or any claim or product recall that results in significant cost to or adverse publicity against us could have a material adverse effect on our business, financial condition and results of operations. Also, if any of our products prove to be defective, we may be required to recall or redesign the product which could result in costly corrective actions and harm to our business reputation, which could materially affect our business, financial condition and results of operations.</w:t>
      </w:r>
    </w:p>
    <w:p>
      <w:pPr>
        <w:spacing w:after="0" w:line="158" w:lineRule="exact"/>
        <w:rPr>
          <w:sz w:val="20"/>
          <w:szCs w:val="20"/>
          <w:color w:val="auto"/>
        </w:rPr>
      </w:pPr>
    </w:p>
    <w:p>
      <w:pPr>
        <w:ind w:right="30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depend on a single site to manufacture our products, and any interruption of operations could have a material adverse effect on our business.</w:t>
      </w:r>
    </w:p>
    <w:p>
      <w:pPr>
        <w:spacing w:after="0" w:line="128"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color w:val="auto"/>
        </w:rPr>
        <w:t>Most of our manufacturing currently takes place in a single facility located in Vaulx-en-Velin, near Lyon, France. Our facility is GMP certified. In the event of a significant interruption in the operations of our sole facility for any reason, such as fire, cyber attack, supply disruption on a critical component, weather conditions, or other natural disasters or potential future pandemics, or a failure to obtain or maintain required regulatory approvals, we would have no other means of manufacturing our products until we would be able to restore the manufacturing capabilities at our facility or develop alternative facilities, which could take considerable time and resources and have a material adverse effect on our business, financial condition and results of operations.</w:t>
      </w:r>
    </w:p>
    <w:p>
      <w:pPr>
        <w:spacing w:after="0" w:line="162"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For certain components or services, we depend on a small number of suppliers who, due to events beyond our control may fail to deliver sufficient supplies to us or may increase the cost of items supplied, which would interrupt our production processes or negatively impact our results of operations.</w:t>
      </w:r>
    </w:p>
    <w:p>
      <w:pPr>
        <w:spacing w:after="0" w:line="144"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9"/>
          <w:szCs w:val="19"/>
          <w:color w:val="auto"/>
        </w:rPr>
        <w:t>We purchase most of the components used in our products from a number of suppliers but rely on a small number of suppliers or even one single supplier for some key components. In addition, we rely on a small number of suppliers for certain services. If the supply of these components or services were interrupted for any reason, including geopolitical tensions or instability, global supply chain failures, weather conditions, large-scale cyberattack or infrastructure disruption, a pandemic and implied restrictions, our manufacturing and marketing of the affected products would be delayed. Certain of these key suppliers may be exposed to variations in the costs of raw materials and components, and, consequently, may suffer issues or delays in sourcing these components, which would harm their business and operations. These delays could be extensive, especially in situations where a component substitution would require regulatory approval. In addition, such suppliers could decide unilaterally to increase the price of supplied items for any reason, including higher energy, raw material or component prices, therefore causing additional charges for us and impacting our margins. We expect to continue to depend upon our suppliers for the foreseeable future, while we explore new sourcing alternatives. Failure to obtain adequate supplies of components or services in a timely manner and at an acceptable price could have a material adverse effect on our business, financial condition and results of operations.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utilize distributors for our sales abroad, which subjects us to a number of risks that could harm our business.</w:t>
      </w:r>
    </w:p>
    <w:p>
      <w:pPr>
        <w:spacing w:after="0" w:line="198"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We have developed strategic relationships with a number of distributors for sales and service of our devices in certain foreign countries where we are not directly represented by a subsidiary. If these relationships are terminated and not replaced, our revenues and/or ability to market or service our devices in the related territories could be adversely affected. Our distributors’ actions may affect our ability to effectively market our devices in certain foreign countries if, for example, a distributor holds the regulatory authorizations in such countries and causes, by action or inaction, the suspension of such regulatory authorizations or sanctions for non-compliance. It may be difficult, expensive, and time-consuming for us to re -establish reputation, market access or regulatory compliance in such cases. Moreover, our distributors must be in compliance with all anti-corruption laws and applicable sanctions, such as the U.S. Foreign Corrupt Practices Act (“FCPA”), sanctions imposed by the U.S. Department of the Treasury’s Office of Foreign Assets Control, the European Union, His Majesty’s Treasury, or other governmental or supranational entities, and other local laws prohibiting improper payments to governmental officials or to customers and we may not be able to trace or be kept informed of such improper payments. In addition, we may be named as a defendant in lawsuits against our distributors related to sales or service of our devices performed by these distributors.</w:t>
      </w:r>
    </w:p>
    <w:p>
      <w:pPr>
        <w:sectPr>
          <w:pgSz w:w="12240" w:h="15840" w:orient="portrait"/>
          <w:cols w:equalWidth="0" w:num="1">
            <w:col w:w="9700"/>
          </w:cols>
          <w:pgMar w:left="1260" w:top="1247" w:right="1280" w:bottom="72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28</w:t>
      </w:r>
    </w:p>
    <w:p>
      <w:pPr>
        <w:sectPr>
          <w:pgSz w:w="12240" w:h="15840" w:orient="portrait"/>
          <w:cols w:equalWidth="0" w:num="1">
            <w:col w:w="9700"/>
          </w:cols>
          <w:pgMar w:left="1260" w:top="1247" w:right="1280" w:bottom="723" w:gutter="0" w:footer="0" w:header="0"/>
          <w:type w:val="continuous"/>
        </w:sectPr>
      </w:pPr>
    </w:p>
    <w:bookmarkStart w:id="31" w:name="page32"/>
    <w:bookmarkEnd w:id="31"/>
    <w:p>
      <w:pPr>
        <w:ind w:right="48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drawing>
          <wp:anchor simplePos="0" relativeHeight="251657728" behindDoc="1" locked="0" layoutInCell="0" allowOverlap="1">
            <wp:simplePos x="0" y="0"/>
            <wp:positionH relativeFrom="page">
              <wp:posOffset>795655</wp:posOffset>
            </wp:positionH>
            <wp:positionV relativeFrom="page">
              <wp:posOffset>292735</wp:posOffset>
            </wp:positionV>
            <wp:extent cx="929005" cy="1149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0">
                      <a:extLst>
                        <a:ext uri="{28A0092B-C50C-407E-A947-70E740481C1C}"/>
                      </a:extLst>
                    </a:blip>
                    <a:srcRect/>
                    <a:stretch>
                      <a:fillRect/>
                    </a:stretch>
                  </pic:blipFill>
                  <pic:spPr bwMode="auto">
                    <a:xfrm>
                      <a:off x="0" y="0"/>
                      <a:ext cx="929005" cy="114935"/>
                    </a:xfrm>
                    <a:prstGeom prst="rect">
                      <a:avLst/>
                    </a:prstGeom>
                    <a:noFill/>
                  </pic:spPr>
                </pic:pic>
              </a:graphicData>
            </a:graphic>
          </wp:anchor>
        </w:drawing>
        <w:t>We are a relatively small company with a limited number of products and staff. Sales fluctuations and employee turnover may adversely affect our business.</w:t>
      </w:r>
    </w:p>
    <w:p>
      <w:pPr>
        <w:spacing w:after="0" w:line="128" w:lineRule="exact"/>
        <w:rPr>
          <w:sz w:val="20"/>
          <w:szCs w:val="20"/>
          <w:color w:val="auto"/>
        </w:rPr>
      </w:pPr>
    </w:p>
    <w:p>
      <w:pPr>
        <w:ind w:right="20" w:firstLine="1"/>
        <w:spacing w:after="0" w:line="245" w:lineRule="auto"/>
        <w:rPr>
          <w:sz w:val="20"/>
          <w:szCs w:val="20"/>
          <w:color w:val="auto"/>
        </w:rPr>
      </w:pPr>
      <w:r>
        <w:rPr>
          <w:rFonts w:ascii="Times New Roman" w:cs="Times New Roman" w:eastAsia="Times New Roman" w:hAnsi="Times New Roman"/>
          <w:sz w:val="20"/>
          <w:szCs w:val="20"/>
          <w:color w:val="auto"/>
        </w:rPr>
        <w:t>We are a relatively small company. Consequently, compared to larger companies, sales fluctuations could have a greater impact on our revenue and profitability on a quarter-to-quarter and year-to-year basis and delays in customer orders could cause our operating results to vary significantly from quarter-to-quarter and year-to-year. In addition, as a small company we have limited staff and are heavily reliant on certain key personnel to operate our business. If a key employee were to leave our company it could have a material impact on our business and the results of operations as we might not have sufficient depth in our staffing to fill the role that was previously being performed. A delay in filling the vacated position could put a strain on existing personnel or result in a failure to satisfy our contractual obligations or to effectively implement our internal controls and materially harm our business.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The loss of key members of our executive management team could adversely affect our business.</w:t>
      </w:r>
    </w:p>
    <w:p>
      <w:pPr>
        <w:spacing w:after="0" w:line="198"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color w:val="auto"/>
        </w:rPr>
        <w:t>Our success in implementing our business strategy depends largely on the skills, experience and performance of key members of our executive management team and others in key management positions. The collective efforts of each of these people, and others collaborating with them as a team, are critical to us. As a result of the difficulty in locating qualified personnel and new management, the loss or incapacity of existing members of our executive management team could adversely affect our operations. If we were to lose one or more of these key employees, we could experience difficulties in finding qualified successors, competing effectively, developing our technologies and implementing our business strategy.</w:t>
      </w:r>
    </w:p>
    <w:p>
      <w:pPr>
        <w:spacing w:after="0" w:line="160" w:lineRule="exact"/>
        <w:rPr>
          <w:sz w:val="20"/>
          <w:szCs w:val="20"/>
          <w:color w:val="auto"/>
        </w:rPr>
      </w:pPr>
    </w:p>
    <w:p>
      <w:pPr>
        <w:ind w:right="200"/>
        <w:spacing w:after="0" w:line="253" w:lineRule="auto"/>
        <w:rPr>
          <w:sz w:val="20"/>
          <w:szCs w:val="20"/>
          <w:color w:val="auto"/>
        </w:rPr>
      </w:pPr>
      <w:r>
        <w:rPr>
          <w:rFonts w:ascii="Times New Roman" w:cs="Times New Roman" w:eastAsia="Times New Roman" w:hAnsi="Times New Roman"/>
          <w:sz w:val="20"/>
          <w:szCs w:val="20"/>
          <w:color w:val="auto"/>
        </w:rPr>
        <w:t>In addition, we rely on collaborators, consultants and advisors, including scientific and clinical advisors, to assist us in formulating our R&amp;D and commercialization strategy. Our collaborators, consultants and advisors are generally employed by employers other than us and may have commitments, or conflict of interest, or be subject to other agreements with other entities that may limit their availability to us.</w:t>
      </w:r>
    </w:p>
    <w:p>
      <w:pPr>
        <w:spacing w:after="0" w:line="153" w:lineRule="exact"/>
        <w:rPr>
          <w:sz w:val="20"/>
          <w:szCs w:val="20"/>
          <w:color w:val="auto"/>
        </w:rPr>
      </w:pPr>
    </w:p>
    <w:p>
      <w:pPr>
        <w:ind w:right="18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may have difficulties in attracting and recruiting highly qualified experts in hardware, software, AI, design and development of high technology devices.</w:t>
      </w:r>
    </w:p>
    <w:p>
      <w:pPr>
        <w:spacing w:after="0" w:line="128"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0"/>
          <w:szCs w:val="20"/>
          <w:color w:val="auto"/>
        </w:rPr>
        <w:t>Our devices require highly qualified individuals with a high level of expertise and experience in design, software, AI, mechanics and electronics. We are highly dependent on our ability to attract and retain qualified personnel and engineers to develop our devices. In addition, the learning curve required to master our systems is lengthy and, if we do not find qualified experts and engineers, we may not be able to meet our development schedule and obtain market approval in due time, which in time may delay market introduction of new products. Failure to recruit and attract experts in a timely manner may have a material adverse effect on our development, business, financial condition and results of operations.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are exposed to risks related to cybersecurity threats and incidents.</w:t>
      </w:r>
    </w:p>
    <w:p>
      <w:pPr>
        <w:spacing w:after="0" w:line="198"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In the conduct of our business, we collect, use, transmit and store data on information technology systems. This data includes confidential information belonging to some of our customers and business partners, as well as personally identifiable information of individuals. We also store data related to our clinical trials on our information technology systems. We also rely in part on the reliability of certain tested third parties’ cybersecurity measures, including firewalls, virus solutions and backup solutions. Cybersecurity incidents, such as breaches of data security, disruptions of information technology systems and cyber threats, may result in business disruption, the misappropriation, corruption or loss of confidential information and critical data (ours or that of third parties), reputational damage, litigation with third parties, diminution in the value of our investment in R&amp;D, data privacy issues and increased cybersecurity protection and remediation costs. Like many companies, we have experienced nonmaterial cybersecurity incidents in the past and may in the future experience some of these incidents given that the external cyberattack threat continues to grow in part due to a perceived increased vulnerability associated with partly remote working conditions. While we have protocols in place to protect against such threats, we may fail to identify all threats like fraudulent payment requests that we may receive in the future and may inadvertently provide payment in connection with such requests, which may have a material adverse effect on our business, financial condition or results of operations.</w:t>
      </w:r>
    </w:p>
    <w:p>
      <w:pPr>
        <w:sectPr>
          <w:pgSz w:w="12240" w:h="15840" w:orient="portrait"/>
          <w:cols w:equalWidth="0" w:num="1">
            <w:col w:w="9680"/>
          </w:cols>
          <w:pgMar w:left="1260" w:top="1248" w:right="1300" w:bottom="72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29</w:t>
      </w:r>
    </w:p>
    <w:p>
      <w:pPr>
        <w:sectPr>
          <w:pgSz w:w="12240" w:h="15840" w:orient="portrait"/>
          <w:cols w:equalWidth="0" w:num="1">
            <w:col w:w="9680"/>
          </w:cols>
          <w:pgMar w:left="1260" w:top="1248" w:right="1300" w:bottom="723" w:gutter="0" w:footer="0" w:header="0"/>
          <w:type w:val="continuous"/>
        </w:sectPr>
      </w:pPr>
    </w:p>
    <w:bookmarkStart w:id="32" w:name="page33"/>
    <w:bookmarkEnd w:id="32"/>
    <w:p>
      <w:pPr>
        <w:spacing w:after="0" w:line="249"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795655</wp:posOffset>
            </wp:positionH>
            <wp:positionV relativeFrom="page">
              <wp:posOffset>292735</wp:posOffset>
            </wp:positionV>
            <wp:extent cx="929005" cy="1149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1">
                      <a:extLst>
                        <a:ext uri="{28A0092B-C50C-407E-A947-70E740481C1C}"/>
                      </a:extLst>
                    </a:blip>
                    <a:srcRect/>
                    <a:stretch>
                      <a:fillRect/>
                    </a:stretch>
                  </pic:blipFill>
                  <pic:spPr bwMode="auto">
                    <a:xfrm>
                      <a:off x="0" y="0"/>
                      <a:ext cx="929005" cy="114935"/>
                    </a:xfrm>
                    <a:prstGeom prst="rect">
                      <a:avLst/>
                    </a:prstGeom>
                    <a:noFill/>
                  </pic:spPr>
                </pic:pic>
              </a:graphicData>
            </a:graphic>
          </wp:anchor>
        </w:drawing>
        <w:t>We devote significant resources to network security, data encryption and other measures to protect our systems and data from unauthorized access or misuse, including meeting certain information security standards that may be required by our customers, all of which increases cybersecurity protection costs. As these threats and incidents, and government and regulatory oversight of associated risks, continue to grow, we may be required to expend additional resources to enhance or expand upon the security measures we currently maintain.</w:t>
      </w:r>
    </w:p>
    <w:p>
      <w:pPr>
        <w:spacing w:after="0" w:line="156" w:lineRule="exact"/>
        <w:rPr>
          <w:sz w:val="20"/>
          <w:szCs w:val="20"/>
          <w:color w:val="auto"/>
        </w:rPr>
      </w:pPr>
    </w:p>
    <w:p>
      <w:pPr>
        <w:ind w:right="120"/>
        <w:spacing w:after="0" w:line="246" w:lineRule="auto"/>
        <w:rPr>
          <w:sz w:val="20"/>
          <w:szCs w:val="20"/>
          <w:color w:val="auto"/>
        </w:rPr>
      </w:pPr>
      <w:r>
        <w:rPr>
          <w:rFonts w:ascii="Times New Roman" w:cs="Times New Roman" w:eastAsia="Times New Roman" w:hAnsi="Times New Roman"/>
          <w:sz w:val="20"/>
          <w:szCs w:val="20"/>
          <w:color w:val="auto"/>
        </w:rPr>
        <w:t>There can be no assurance that our efforts or those of our third-party service providers to implement adequate security and control measures would be sufficient to protect against breakdowns, service disruption, data deterioration or loss in the event of a system malfunction, or prevent data from being stolen or corrupted in the event of a cyberattack, security breach, industrial espionage attacks or insider threat attacks which could result in financial, legal, business or reputational harm. Future cybersecurity breaches or incidents or further increases in cybersecurity protection costs may have a material adverse effect on our business, financial condition or results of operations. In this context, we have a cyber insurance policy at a group level with coverage to mitigate some of our cyber security risks.</w:t>
      </w:r>
    </w:p>
    <w:p>
      <w:pPr>
        <w:spacing w:after="0" w:line="162" w:lineRule="exact"/>
        <w:rPr>
          <w:sz w:val="20"/>
          <w:szCs w:val="20"/>
          <w:color w:val="auto"/>
        </w:rPr>
      </w:pPr>
    </w:p>
    <w:p>
      <w:pPr>
        <w:ind w:right="38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The expansion of social media platforms and new technologies present risks and challenges for our business and reputation.</w:t>
      </w:r>
    </w:p>
    <w:p>
      <w:pPr>
        <w:spacing w:after="0" w:line="128"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auto"/>
        </w:rPr>
        <w:t>We increasingly rely on social media and new technologies to communicate about our products and technologies. The use of these media requires specific attention. Unauthorized communications, such as press releases or posts on social media, purported to be issued by the Company, may contain information that is false or otherwise damaging and could have an adverse impact on our stock price. Negative or inaccurate posts or comments about the Company, our business, directors or officers on any social networking website could seriously damage our reputation. In addition, our employees and partners may use social media and mobile technologies inappropriately, which may give rise to liability for the Company, or which could lead to breaches of data security, loss of trade secrets or other intellectual property or public disclosure of sensitive information, including information about our employees, clinical trials or customers. Such uses of social media, mobile technologies, or information technology more generally could have a material adverse effect on our reputation, business, financial condition and results of operations.</w:t>
      </w:r>
    </w:p>
    <w:p>
      <w:pPr>
        <w:sectPr>
          <w:pgSz w:w="12240" w:h="15840" w:orient="portrait"/>
          <w:cols w:equalWidth="0" w:num="1">
            <w:col w:w="9680"/>
          </w:cols>
          <w:pgMar w:left="1260" w:top="1247" w:right="1300" w:bottom="72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30</w:t>
      </w:r>
    </w:p>
    <w:p>
      <w:pPr>
        <w:sectPr>
          <w:pgSz w:w="12240" w:h="15840" w:orient="portrait"/>
          <w:cols w:equalWidth="0" w:num="1">
            <w:col w:w="9680"/>
          </w:cols>
          <w:pgMar w:left="1260" w:top="1247" w:right="1300" w:bottom="723" w:gutter="0" w:footer="0" w:header="0"/>
          <w:type w:val="continuous"/>
        </w:sectPr>
      </w:pPr>
    </w:p>
    <w:bookmarkStart w:id="33" w:name="page34"/>
    <w:bookmarkEnd w:id="33"/>
    <w:p>
      <w:pPr>
        <w:ind w:right="6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drawing>
          <wp:anchor simplePos="0" relativeHeight="251657728" behindDoc="1" locked="0" layoutInCell="0" allowOverlap="1">
            <wp:simplePos x="0" y="0"/>
            <wp:positionH relativeFrom="page">
              <wp:posOffset>795655</wp:posOffset>
            </wp:positionH>
            <wp:positionV relativeFrom="page">
              <wp:posOffset>292735</wp:posOffset>
            </wp:positionV>
            <wp:extent cx="929005" cy="1149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2">
                      <a:extLst>
                        <a:ext uri="{28A0092B-C50C-407E-A947-70E740481C1C}"/>
                      </a:extLst>
                    </a:blip>
                    <a:srcRect/>
                    <a:stretch>
                      <a:fillRect/>
                    </a:stretch>
                  </pic:blipFill>
                  <pic:spPr bwMode="auto">
                    <a:xfrm>
                      <a:off x="0" y="0"/>
                      <a:ext cx="929005" cy="114935"/>
                    </a:xfrm>
                    <a:prstGeom prst="rect">
                      <a:avLst/>
                    </a:prstGeom>
                    <a:noFill/>
                  </pic:spPr>
                </pic:pic>
              </a:graphicData>
            </a:graphic>
          </wp:anchor>
        </w:drawing>
        <w:t>In prior periods we have identified material weaknesses in our internal control over financial reporting with respect to our U.S. subsidiary. If we experience additional material weaknesses in the future or otherwise fail to maintain an effective system of internal controls, we may not be able to report our financial results accurately or timely. In addition, the trading price of our securities may be adversely affected.</w:t>
      </w:r>
    </w:p>
    <w:p>
      <w:pPr>
        <w:spacing w:after="0" w:line="151"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0"/>
          <w:szCs w:val="20"/>
          <w:color w:val="auto"/>
        </w:rPr>
        <w:t>As a publicly traded company, we are subject to the reporting requirements of the Exchange Act and the Sarbanes- Oxley Act of 2002. We have incurred, and expect to continue to incur, significant continuing costs, including accounting fees and staffing costs, to maintain compliance with the internal control requirements of the Sarbanes-Oxley Act of 2002. Although we have not identified any material weaknesses in our internal control over financial reporting as of December 31, 2025 we have identified material weaknesses in prior periods, which have since been remediated.</w:t>
      </w:r>
    </w:p>
    <w:p>
      <w:pPr>
        <w:spacing w:after="0" w:line="15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0"/>
          <w:szCs w:val="20"/>
          <w:color w:val="auto"/>
        </w:rPr>
        <w:t>The ongoing requirements of the Sarbanes-Oxley Act may place a strain on our systems and resources. Our management is required to evaluate the effectiveness of our internal control over financial reporting as of each year-end, and we are required to disclose management’s assessment of the effectiveness of our internal control over financial reporting, including any material weakness in our internal control over financial reporting.</w:t>
      </w:r>
    </w:p>
    <w:p>
      <w:pPr>
        <w:spacing w:after="0" w:line="153"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20"/>
          <w:szCs w:val="20"/>
          <w:color w:val="auto"/>
        </w:rPr>
        <w:t>Our internal control over financial reporting has been designed to provide our management and Board of Directors with reasonable assurance regarding the preparation and fair presentation of our consolidated financial statements. On an on-going basis, we are reviewing, documenting and testing our internal control procedures. To maintain and improve the effectiveness of our disclosure controls and procedures and internal control over financial reporting, and as our business develops, additional resources and management oversight may be required.</w:t>
      </w:r>
    </w:p>
    <w:p>
      <w:pPr>
        <w:spacing w:after="0" w:line="154"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20"/>
          <w:szCs w:val="20"/>
          <w:color w:val="auto"/>
        </w:rPr>
        <w:t>Any failure to complete our assessment of our internal control over financial reporting, to remediate any material weaknesses that we identify in the future, and any failure to implement new or improved controls, or difficulties encountered in their implementation, could harm our operating results, cause us to fail to meet our reporting obligations or result in material misstatements in our financial statements. Any failure to maintain adequate internal controls over financial reporting and provide accurate financial statements may subject us to litigation, render future financings more difficult or expensive, and could cause the trading price of our securities to decrease substantially. Inferior controls and procedures could cause investors to lose confidence in our reported financial information, which may give rise to securities claims and have a negative effect on the value of our securities. Any such failure could also adversely affect the results of the periodic management evaluations of our internal controls.</w:t>
      </w:r>
    </w:p>
    <w:p>
      <w:pPr>
        <w:spacing w:after="0" w:line="158" w:lineRule="exact"/>
        <w:rPr>
          <w:sz w:val="20"/>
          <w:szCs w:val="20"/>
          <w:color w:val="auto"/>
        </w:rPr>
      </w:pPr>
    </w:p>
    <w:p>
      <w:pPr>
        <w:ind w:right="660"/>
        <w:spacing w:after="0" w:line="279" w:lineRule="auto"/>
        <w:rPr>
          <w:sz w:val="20"/>
          <w:szCs w:val="20"/>
          <w:color w:val="auto"/>
        </w:rPr>
      </w:pPr>
      <w:r>
        <w:rPr>
          <w:rFonts w:ascii="Times New Roman" w:cs="Times New Roman" w:eastAsia="Times New Roman" w:hAnsi="Times New Roman"/>
          <w:sz w:val="20"/>
          <w:szCs w:val="20"/>
          <w:color w:val="auto"/>
        </w:rPr>
        <w:t>Based on the remediation activities performed and the results of the testing conducted during 2025, management concluded that the previously identified material weaknesses were remediated as of December 31, 2025.</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Intellectual Property Rights</w:t>
      </w:r>
    </w:p>
    <w:p>
      <w:pPr>
        <w:spacing w:after="0" w:line="204"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Our success largely depends on our ability to establish and protect the intellectual property rights related to our medical devices, and any dispute with respect to these rights could be costly and have an uncertain outcome and may prevent or delay our development and commercialization efforts.</w:t>
      </w:r>
    </w:p>
    <w:p>
      <w:pPr>
        <w:spacing w:after="0" w:line="144"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 xml:space="preserve">Our success depends in large part on our ability to develop proprietary products and technologies and to establish and protect the related intellectual property rights, without infringing the intellectual property rights of third parties. We or our licensors may be subject to claims that former employees, collaborators or other third parties have an interest in our owned or in-licensed patents, trade secrets or other intellectual property as an inventor or co-inventor. The validity and scope of claims covered in medical technology patents involve complex legal and factual questions and, therefore, the outcome of such claims may be highly uncertain. The medical device industry has been characterized by extensive patents and other intellectual property rights litigation. We may receive letters from third parties drawing our attention to their patent rights, or patent grant contestations may be filed. Third parties also may challenge our patents before administrative bodies in the United States or abroad. Such mechanisms include re-examination, post-grant review, </w:t>
      </w:r>
      <w:r>
        <w:rPr>
          <w:rFonts w:ascii="Times New Roman" w:cs="Times New Roman" w:eastAsia="Times New Roman" w:hAnsi="Times New Roman"/>
          <w:sz w:val="20"/>
          <w:szCs w:val="20"/>
          <w:i w:val="1"/>
          <w:iCs w:val="1"/>
          <w:color w:val="auto"/>
        </w:rPr>
        <w:t>inter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partes </w:t>
      </w:r>
      <w:r>
        <w:rPr>
          <w:rFonts w:ascii="Times New Roman" w:cs="Times New Roman" w:eastAsia="Times New Roman" w:hAnsi="Times New Roman"/>
          <w:sz w:val="20"/>
          <w:szCs w:val="20"/>
          <w:color w:val="auto"/>
        </w:rPr>
        <w:t>review, interference proceedings, derivation proceedings, and equivalent proceedings in foreign jurisdictions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(e.g., opposition proceedings). Such proceedings could result in the revocation or cancellation or amendment to our patents in such a way that they no longer cover our product candidates and existing products or provide any competitive</w:t>
      </w:r>
    </w:p>
    <w:p>
      <w:pPr>
        <w:sectPr>
          <w:pgSz w:w="12240" w:h="15840" w:orient="portrait"/>
          <w:cols w:equalWidth="0" w:num="1">
            <w:col w:w="9680"/>
          </w:cols>
          <w:pgMar w:left="1260" w:top="1248" w:right="1300" w:bottom="72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31</w:t>
      </w:r>
    </w:p>
    <w:p>
      <w:pPr>
        <w:sectPr>
          <w:pgSz w:w="12240" w:h="15840" w:orient="portrait"/>
          <w:cols w:equalWidth="0" w:num="1">
            <w:col w:w="9680"/>
          </w:cols>
          <w:pgMar w:left="1260" w:top="1248" w:right="1300" w:bottom="723" w:gutter="0" w:footer="0" w:header="0"/>
          <w:type w:val="continuous"/>
        </w:sectPr>
      </w:pPr>
    </w:p>
    <w:bookmarkStart w:id="34" w:name="page35"/>
    <w:bookmarkEnd w:id="34"/>
    <w:p>
      <w:pPr>
        <w:ind w:right="660"/>
        <w:spacing w:after="0" w:line="279"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795655</wp:posOffset>
            </wp:positionH>
            <wp:positionV relativeFrom="page">
              <wp:posOffset>292735</wp:posOffset>
            </wp:positionV>
            <wp:extent cx="929005" cy="1149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3">
                      <a:extLst>
                        <a:ext uri="{28A0092B-C50C-407E-A947-70E740481C1C}"/>
                      </a:extLst>
                    </a:blip>
                    <a:srcRect/>
                    <a:stretch>
                      <a:fillRect/>
                    </a:stretch>
                  </pic:blipFill>
                  <pic:spPr bwMode="auto">
                    <a:xfrm>
                      <a:off x="0" y="0"/>
                      <a:ext cx="929005" cy="114935"/>
                    </a:xfrm>
                    <a:prstGeom prst="rect">
                      <a:avLst/>
                    </a:prstGeom>
                    <a:noFill/>
                  </pic:spPr>
                </pic:pic>
              </a:graphicData>
            </a:graphic>
          </wp:anchor>
        </w:drawing>
        <w:t>advantage. The outcome of future such challenges is unpredictable, and the loss of patent protection could have a material adverse impact on our business, financial condition and results of operations.</w:t>
      </w:r>
    </w:p>
    <w:p>
      <w:pPr>
        <w:spacing w:after="0" w:line="125"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20"/>
          <w:szCs w:val="20"/>
          <w:color w:val="auto"/>
        </w:rPr>
        <w:t>If third parties, including our competitors, believe that our products or technologies infringe, misappropriate or otherwise violate their intellectual property rights, such third parties may seek to enforce against us their intellectual property rights, including patent rights, by filing against us an intellectual property-related lawsuit, including a patent infringement lawsuit. Even if we believe third-party intellectual property claims are without merit, there is no assurance that a court would find in our favor on questions of infringement, validity, enforceability, or priority. If any third parties were to assert these or any other patents against us and we are unable to successfully defend against any such assertions, we may be required, including by court order, to cease the development and commercialization of the infringing products or technology and we may be required to redesign such products and technologies so they do not infringe such patents, which may not be possible or may require substantial monetary expenditures and time.</w:t>
      </w:r>
    </w:p>
    <w:p>
      <w:pPr>
        <w:spacing w:after="0" w:line="156"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20"/>
          <w:szCs w:val="20"/>
          <w:color w:val="auto"/>
        </w:rPr>
        <w:t>We could also be required to pay damages, which could be significant, including treble damages and attorneys’ fees if we are found to have willfully infringed such patents. We could also be required to obtain a license for such patents to continue the development and commercialization of the infringing product or technology. However, such a license may not be available on commercially reasonable terms or at all, including because certain of these patents may be held by or exclusively licensed to our competitors. Even if such a license were available, it may require substantial payments or cross-licenses under our intellectual property rights, and it may only be available on a nonexclusive basis, in which case third parties, including our competitors, could use the same licensed intellectual property to compete with us. Any of the foregoing could have a material adverse effect on our business, financial condition, results of operation and prospects.</w:t>
      </w:r>
    </w:p>
    <w:p>
      <w:pPr>
        <w:spacing w:after="0" w:line="162" w:lineRule="exact"/>
        <w:rPr>
          <w:sz w:val="20"/>
          <w:szCs w:val="20"/>
          <w:color w:val="auto"/>
        </w:rPr>
      </w:pPr>
    </w:p>
    <w:p>
      <w:pPr>
        <w:ind w:right="160"/>
        <w:spacing w:after="0" w:line="248" w:lineRule="auto"/>
        <w:rPr>
          <w:sz w:val="20"/>
          <w:szCs w:val="20"/>
          <w:color w:val="auto"/>
        </w:rPr>
      </w:pPr>
      <w:r>
        <w:rPr>
          <w:rFonts w:ascii="Times New Roman" w:cs="Times New Roman" w:eastAsia="Times New Roman" w:hAnsi="Times New Roman"/>
          <w:sz w:val="20"/>
          <w:szCs w:val="20"/>
          <w:color w:val="auto"/>
        </w:rPr>
        <w:t>Our products, including our HIFU devices, may be subject to litigation involving claims of patent infringement or violation of other intellectual property rights of third parties. The defense and prosecution of intellectual property suits, patent opposition proceedings and related legal and administrative proceedings are both costly and time consuming and may result in a significant diversion of effort and resources by our technical and management personnel. In addition to being costly, drawn -out litigation to defend or prosecute intellectual property rights could cause our customers or potential customers to defer or limit their purchase or use of our products until the litigation is resolved.</w:t>
      </w:r>
    </w:p>
    <w:p>
      <w:pPr>
        <w:spacing w:after="0" w:line="156"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We own or co -own patents covering several of our technologies and have additional patent applications pending in the United States, the European Union, Japan and elsewhere. The process of seeking patent protection can be long and expensive and there can be no assurance that our patent applications will result in the issuance of patents. We also cannot assure investors that our current or future patents are or will be sufficient to provide meaningful protection or commercial advantage to us. Our patents or patent applications could be challenged, invalidated or circumvented in the future. Failure to maintain or obtain necessary patents, licenses or other intellectual property rights from third parties on acceptable terms or the invalidation or cancellation of material patents could have a material adverse effect on our business, financial condition or results of operations. Litigation may be necessary to enforce patents issued to us or to determine the enforceability, scope and validity of the proprietary rights of others. Our competitors, many of which have substantial resources and have made substantial investments in competing technologies, may apply for and obtain patents that will interfere with our ability to make, use or sell certain products, either in the United States or in foreign markets.</w:t>
      </w:r>
    </w:p>
    <w:p>
      <w:pPr>
        <w:spacing w:after="0" w:line="399"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20"/>
          <w:szCs w:val="20"/>
          <w:color w:val="auto"/>
        </w:rPr>
        <w:t>Patents have a limited lifespan. In the United States, if all maintenance fees are timely paid, the natural expiration of a utility patent is generally 20 years from its earliest U.S. non-provisional filing date. While extensions may be available, the life of a patent, and the protection it affords, is limited, and certain of our patents may also expire and fall into the public domain, as has already occurred with certain patents in the HIFU division’s patent portfolio.</w:t>
      </w:r>
    </w:p>
    <w:p>
      <w:pPr>
        <w:spacing w:after="0" w:line="151" w:lineRule="exact"/>
        <w:rPr>
          <w:sz w:val="20"/>
          <w:szCs w:val="20"/>
          <w:color w:val="auto"/>
        </w:rPr>
      </w:pPr>
    </w:p>
    <w:p>
      <w:pPr>
        <w:ind w:right="240"/>
        <w:spacing w:after="0" w:line="246" w:lineRule="auto"/>
        <w:rPr>
          <w:sz w:val="20"/>
          <w:szCs w:val="20"/>
          <w:color w:val="auto"/>
        </w:rPr>
      </w:pPr>
      <w:r>
        <w:rPr>
          <w:rFonts w:ascii="Times New Roman" w:cs="Times New Roman" w:eastAsia="Times New Roman" w:hAnsi="Times New Roman"/>
          <w:sz w:val="20"/>
          <w:szCs w:val="20"/>
          <w:color w:val="auto"/>
        </w:rPr>
        <w:t>As is common in the life sciences and medical industry, we engage the services of consultants and independent contractors to assist us in the development of our products. We rely on trade secrets and proprietary know-how, which we seek to protect through non-disclosure agreements with employees, consultants and other parties. It is possible, however, that those non-disclosure agreements will be breached, that we will not have adequate remedies for any such breach, or that our trade secrets will become known to, or independently developed by, competitors. We also rely on copyright protection. Litigation may be necessary to protect trade secrets, know-how or copyrights owned by us. In addition, effective copyright and trade secret protection may be unavailable or limited in certain countries.</w:t>
      </w:r>
    </w:p>
    <w:p>
      <w:pPr>
        <w:sectPr>
          <w:pgSz w:w="12240" w:h="15840" w:orient="portrait"/>
          <w:cols w:equalWidth="0" w:num="1">
            <w:col w:w="9720"/>
          </w:cols>
          <w:pgMar w:left="1260" w:top="1247" w:right="1260" w:bottom="72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32</w:t>
      </w:r>
    </w:p>
    <w:p>
      <w:pPr>
        <w:sectPr>
          <w:pgSz w:w="12240" w:h="15840" w:orient="portrait"/>
          <w:cols w:equalWidth="0" w:num="1">
            <w:col w:w="9720"/>
          </w:cols>
          <w:pgMar w:left="1260" w:top="1247" w:right="1260" w:bottom="723" w:gutter="0" w:footer="0" w:header="0"/>
          <w:type w:val="continuous"/>
        </w:sectPr>
      </w:pPr>
    </w:p>
    <w:bookmarkStart w:id="35" w:name="page36"/>
    <w:bookmarkEnd w:id="35"/>
    <w:p>
      <w:pPr>
        <w:ind w:right="380"/>
        <w:spacing w:after="0" w:line="279"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795655</wp:posOffset>
            </wp:positionH>
            <wp:positionV relativeFrom="page">
              <wp:posOffset>292735</wp:posOffset>
            </wp:positionV>
            <wp:extent cx="929005" cy="1149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4">
                      <a:extLst>
                        <a:ext uri="{28A0092B-C50C-407E-A947-70E740481C1C}"/>
                      </a:extLst>
                    </a:blip>
                    <a:srcRect/>
                    <a:stretch>
                      <a:fillRect/>
                    </a:stretch>
                  </pic:blipFill>
                  <pic:spPr bwMode="auto">
                    <a:xfrm>
                      <a:off x="0" y="0"/>
                      <a:ext cx="929005" cy="114935"/>
                    </a:xfrm>
                    <a:prstGeom prst="rect">
                      <a:avLst/>
                    </a:prstGeom>
                    <a:noFill/>
                  </pic:spPr>
                </pic:pic>
              </a:graphicData>
            </a:graphic>
          </wp:anchor>
        </w:drawing>
        <w:t>The occurrence of any of the foregoing could have a material adverse effect on our business, financial condition and results of operations.</w:t>
      </w:r>
    </w:p>
    <w:p>
      <w:pPr>
        <w:spacing w:after="0" w:line="127" w:lineRule="exact"/>
        <w:rPr>
          <w:sz w:val="20"/>
          <w:szCs w:val="20"/>
          <w:color w:val="auto"/>
        </w:rPr>
      </w:pPr>
    </w:p>
    <w:p>
      <w:pPr>
        <w:ind w:right="44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may encounter disruption in our Intellectual Property protection due to expiring patents and lack of updated filings.</w:t>
      </w:r>
    </w:p>
    <w:p>
      <w:pPr>
        <w:spacing w:after="0" w:line="128"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20"/>
          <w:szCs w:val="20"/>
          <w:color w:val="auto"/>
        </w:rPr>
        <w:t>Our intellectual property portfolio, including patents, is critical to our competitive position. Certain key global patents included in the HIFU division’s patent portfolio are set to expire in the near future, which could expose us to increased competition or the risk of similar products entering the market. Moreover, our ability to maintain a competitive edge is strengthened by our capacity to file new patent applications and keep our existing patent protection up to date. A lapse in our patent coverage or a failure to secure new patents could impact our ability to prevent competitors from copying our current HIFU technology and to maintain or enhance our market position. While we continuously evaluate opportunities for Intellectual Property protection, the failure to timely update or extend our patent coverage could significantly affect our business.</w:t>
      </w:r>
    </w:p>
    <w:p>
      <w:pPr>
        <w:spacing w:after="0" w:line="162" w:lineRule="exact"/>
        <w:rPr>
          <w:sz w:val="20"/>
          <w:szCs w:val="20"/>
          <w:color w:val="auto"/>
        </w:rPr>
      </w:pPr>
    </w:p>
    <w:p>
      <w:pPr>
        <w:ind w:right="100"/>
        <w:spacing w:after="0" w:line="247" w:lineRule="auto"/>
        <w:rPr>
          <w:sz w:val="20"/>
          <w:szCs w:val="20"/>
          <w:color w:val="auto"/>
        </w:rPr>
      </w:pPr>
      <w:r>
        <w:rPr>
          <w:rFonts w:ascii="Times New Roman" w:cs="Times New Roman" w:eastAsia="Times New Roman" w:hAnsi="Times New Roman"/>
          <w:sz w:val="20"/>
          <w:szCs w:val="20"/>
          <w:color w:val="auto"/>
        </w:rPr>
        <w:t>In addition, the disclosure and management of sensitive intellectual property matters, including pending or expired patents, requires careful consideration to avoid unintentionally exposing possible vulnerabilities or weaknesses in our patent portfolio. We rely on our outside Intellectual Property legal counsel and other third-party service providers to assist in navigating these risks and ensure that any filings, updates, or communications related to our patents are strategically crafted and properly implemented. However, there can be no assurance that our current patent strategy will adequately mitigate these risks or that we will be able to secure new patent protections as needed.</w:t>
      </w:r>
    </w:p>
    <w:p>
      <w:pPr>
        <w:spacing w:after="0" w:line="161" w:lineRule="exact"/>
        <w:rPr>
          <w:sz w:val="20"/>
          <w:szCs w:val="20"/>
          <w:color w:val="auto"/>
        </w:rPr>
      </w:pPr>
    </w:p>
    <w:p>
      <w:pPr>
        <w:jc w:val="both"/>
        <w:ind w:right="22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U.S. laws relating to the patentability of certain inventions in the life sciences and medical technology industry are uncertain and rapidly changing, which may adversely impact our existing patents or our ability to obtain patents in the future.</w:t>
      </w:r>
    </w:p>
    <w:p>
      <w:pPr>
        <w:spacing w:after="0" w:line="144"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20"/>
          <w:szCs w:val="20"/>
          <w:color w:val="auto"/>
        </w:rPr>
        <w:t>Changes in either the patent laws or interpretation of the patent laws in the United States or in other jurisdictions could increase the uncertainties and costs surrounding the prosecution of patent applications and the enforcement or defense of issued patents. For instance, under the Leahy-Smith America Invents Act (the “America Invents Act”), enacted in September 2011, the United States transitioned to a first inventor to file system in which, assuming that other requirements for patentability are met, the first inventor to file a patent application is entitled to the patent on an invention regardless of whether a third party was the first to invent the claimed invention. These changes include allowing third-party submission of prior art to the United States Patent and Trademark Office (“USPTO”) during patent prosecution and additional procedures to challenge the validity of a patent through USPTO administered post-grant proceedings, including post-grant review, inter partes review, and derivation proceedings.</w:t>
      </w:r>
    </w:p>
    <w:p>
      <w:pPr>
        <w:spacing w:after="0" w:line="156"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color w:val="auto"/>
        </w:rPr>
        <w:t>Various courts, including the U.S. Supreme Court, have rendered decisions that impact the scope of patentability of certain inventions or discoveries relating to life sciences and medical technology. Specifically, these decisions stand for the proposition that patent claims that recite laws of nature, natural phenomena, and abstract ideas are not themselves patentable unless those patent claims have sufficient additional features that provide practical assurance that the processes are genuine inventive applications of those laws, phenomena, and abstract ideas. What constitutes a “sufficient” additional feature is somewhat uncertain. Furthermore, in view of these decisions, since December 2014, the USPTO has published and continues to publish revised guidelines for patent examiners to apply when examining process claims for patent eligibility.</w:t>
      </w:r>
    </w:p>
    <w:p>
      <w:pPr>
        <w:spacing w:after="0" w:line="162"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20"/>
          <w:szCs w:val="20"/>
          <w:color w:val="auto"/>
        </w:rPr>
        <w:t>In addition, U.S. Supreme Court rulings have narrowed the scope of patent protection available in certain circumstances and weakened the rights of patent owners in certain situations. In addition to some degree of uncertainty with regard to the Company’s ability to obtain patents in the future, this combination of events has created a degree of uncertainty with respect to the value of patents, once obtained. Depending on relevant laws enacted by the U.S. Congress, and decisions by the federal courts and the USPTO, the laws and regulations governing patents could change in unpredictable ways that may have a material adverse effect on our ability to obtain new patents and to defend and enforce our existing patents and patents that we might obtain in the future.</w:t>
      </w:r>
    </w:p>
    <w:p>
      <w:pPr>
        <w:spacing w:after="0" w:line="162" w:lineRule="exact"/>
        <w:rPr>
          <w:sz w:val="20"/>
          <w:szCs w:val="20"/>
          <w:color w:val="auto"/>
        </w:rPr>
      </w:pPr>
    </w:p>
    <w:p>
      <w:pPr>
        <w:ind w:right="160"/>
        <w:spacing w:after="0" w:line="276" w:lineRule="auto"/>
        <w:rPr>
          <w:sz w:val="20"/>
          <w:szCs w:val="20"/>
          <w:color w:val="auto"/>
        </w:rPr>
      </w:pPr>
      <w:r>
        <w:rPr>
          <w:rFonts w:ascii="Times New Roman" w:cs="Times New Roman" w:eastAsia="Times New Roman" w:hAnsi="Times New Roman"/>
          <w:sz w:val="20"/>
          <w:szCs w:val="20"/>
          <w:color w:val="auto"/>
        </w:rPr>
        <w:t>Our patent portfolio may be negatively impacted by current uncertainties in the state of the law, new court rulings or changes in guidance or procedures issued by the USPTO or other similar patent offices around the world. From time to</w:t>
      </w:r>
    </w:p>
    <w:p>
      <w:pPr>
        <w:sectPr>
          <w:pgSz w:w="12240" w:h="15840" w:orient="portrait"/>
          <w:cols w:equalWidth="0" w:num="1">
            <w:col w:w="9700"/>
          </w:cols>
          <w:pgMar w:left="1260" w:top="1247" w:right="1280" w:bottom="723" w:gutter="0" w:footer="0" w:header="0"/>
        </w:sect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33</w:t>
      </w:r>
    </w:p>
    <w:p>
      <w:pPr>
        <w:sectPr>
          <w:pgSz w:w="12240" w:h="15840" w:orient="portrait"/>
          <w:cols w:equalWidth="0" w:num="1">
            <w:col w:w="9700"/>
          </w:cols>
          <w:pgMar w:left="1260" w:top="1247" w:right="1280" w:bottom="723" w:gutter="0" w:footer="0" w:header="0"/>
          <w:type w:val="continuous"/>
        </w:sectPr>
      </w:pPr>
    </w:p>
    <w:bookmarkStart w:id="36" w:name="page37"/>
    <w:bookmarkEnd w:id="36"/>
    <w:p>
      <w:pPr>
        <w:ind w:right="80"/>
        <w:spacing w:after="0" w:line="252"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795655</wp:posOffset>
            </wp:positionH>
            <wp:positionV relativeFrom="page">
              <wp:posOffset>292735</wp:posOffset>
            </wp:positionV>
            <wp:extent cx="929005" cy="1149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45">
                      <a:extLst>
                        <a:ext uri="{28A0092B-C50C-407E-A947-70E740481C1C}"/>
                      </a:extLst>
                    </a:blip>
                    <a:srcRect/>
                    <a:stretch>
                      <a:fillRect/>
                    </a:stretch>
                  </pic:blipFill>
                  <pic:spPr bwMode="auto">
                    <a:xfrm>
                      <a:off x="0" y="0"/>
                      <a:ext cx="929005" cy="114935"/>
                    </a:xfrm>
                    <a:prstGeom prst="rect">
                      <a:avLst/>
                    </a:prstGeom>
                    <a:noFill/>
                  </pic:spPr>
                </pic:pic>
              </a:graphicData>
            </a:graphic>
          </wp:anchor>
        </w:drawing>
        <w:t>time, the U.S. Supreme Court, other federal courts, the U.S. Congress or the USPTO may change the standards of patentability, scope and validity of patents within the life sciences and medical technology and any such changes, or any similar adverse changes in the patent laws of other jurisdictions, could have a negative impact on our business, financial condition, prospects and results of operations.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may not be able to protect or enforce our intellectual property rights throughout the world.</w:t>
      </w:r>
    </w:p>
    <w:p>
      <w:pPr>
        <w:spacing w:after="0" w:line="198"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20"/>
          <w:szCs w:val="20"/>
          <w:color w:val="auto"/>
        </w:rPr>
        <w:t>Filing, prosecuting and defending patents and trademarks on all of our current or our planned products throughout the world would be prohibitively expensive to us. Competitors may use our technologies in jurisdictions where we have not obtained patent protection to develop their own products and, further, may export otherwise infringing products to territories where we have patent protection but where enforcement is not as strong as in the U.S. or France. These products may compete with our products in jurisdictions where we do not have any issued patents, and our patent claims or other intellectual property rights may not be effective or sufficient to prevent them from competing. 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the healthcare sector, which could make it difficult for us to stop the infringement of our patents or marketing of competing products in violation of our patents or other intellectual property. Proceedings to enforce our patent rights in foreign jurisdictions could result in substantial costs and divert our efforts and attention from other aspects of our business.</w:t>
      </w:r>
    </w:p>
    <w:p>
      <w:pPr>
        <w:spacing w:after="0" w:line="167" w:lineRule="exact"/>
        <w:rPr>
          <w:sz w:val="20"/>
          <w:szCs w:val="20"/>
          <w:color w:val="auto"/>
        </w:rPr>
      </w:pPr>
    </w:p>
    <w:p>
      <w:pPr>
        <w:ind w:right="24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Our use of “open-source” software could negatively affect our ability to sell our products and subject us to possible litigation.</w:t>
      </w:r>
    </w:p>
    <w:p>
      <w:pPr>
        <w:spacing w:after="0" w:line="128"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20"/>
          <w:szCs w:val="20"/>
          <w:color w:val="auto"/>
        </w:rPr>
        <w:t>Our products incorporate so-called “open-source” software, and we may incorporate additional open-source software in the future. Open-source software is generally licensed by its authors or other third parties under open-source licenses. According to certain of these licenses, we may be subject to certain conditions, including requirements that we offer our products that incorporate the open source software for no cost, that we make available source code for modifications or derivative works we create based upon, incorporating or using the open source software and/or that we license such modifications or derivative works under the terms of the particular open source license. If an author or other third party that distributes such open source software were to allege that we had not complied with the conditions of one or more of these licenses, we could be required to incur significant legal expenses defending against such allegations and could be subject to significant damages, enjoined from the sale of our products that contained the open source software and required to comply with the foregoing conditions, which could disrupt the distribution and sale of our products.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Being a French Company</w:t>
      </w:r>
    </w:p>
    <w:p>
      <w:pPr>
        <w:spacing w:after="0" w:line="202"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Our French and international operations expose us to additional costs, legal and regulatory risks, which could have a material adverse effect on our business, financial condition and results of operations.</w:t>
      </w:r>
    </w:p>
    <w:p>
      <w:pPr>
        <w:spacing w:after="0" w:line="128"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We have significant French and international operations. We have direct distribution channels in almost fifty countries outside of France, our country of incorporation, and through our foreign subsidiaries. Compliance with complex foreign and French laws and regulations that apply to our international operations increases our cost of doing business. These regulations include, among others, U.S. laws such as FCPA and other U.S. federal laws and regulations established by the Office of Foreign Asset Control, laws such as the UK Bribery Act 2010 or other local laws, which prohibit improper payments to governmental officials or certain payments or remunerations to customers. We have adopted a Code of Ethics that requires employees to comply with applicable laws and regulations and particularly with the applicable provisions of the French law known as the Sapin II law, and the related implementing decrees, and notably the requirements of Article 8 of the law, which requires the establishment of a whistle-blowing policy. EDAP employees can raise any issue by reporting on our hotline at alerteprofessionnelle@edap-tms.com. These numerous and sometimes conflicting laws and regulations include, among others, data privacy requirements, labor relations laws, tax laws, anti-competition regulations, “Know Your Customer” requirements, import and trade restrictions and export requirements.</w:t>
      </w:r>
    </w:p>
    <w:p>
      <w:pPr>
        <w:spacing w:after="0" w:line="168"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20"/>
          <w:szCs w:val="20"/>
          <w:color w:val="auto"/>
        </w:rPr>
        <w:t>We are also subject to healthcare laws and regulations pertaining to physician payment transparency, privacy, and data protection regulations. These regulations include, but are not limited to (i) HIPAA, as amended by the Health Information Technology for Economic and Clinical Health Act, which governs the conduct of certain electronic</w:t>
      </w:r>
    </w:p>
    <w:p>
      <w:pPr>
        <w:sectPr>
          <w:pgSz w:w="12240" w:h="15840" w:orient="portrait"/>
          <w:cols w:equalWidth="0" w:num="1">
            <w:col w:w="9720"/>
          </w:cols>
          <w:pgMar w:left="1260" w:top="1247" w:right="1260" w:bottom="72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34</w:t>
      </w:r>
    </w:p>
    <w:p>
      <w:pPr>
        <w:sectPr>
          <w:pgSz w:w="12240" w:h="15840" w:orient="portrait"/>
          <w:cols w:equalWidth="0" w:num="1">
            <w:col w:w="9720"/>
          </w:cols>
          <w:pgMar w:left="1260" w:top="1247" w:right="1260" w:bottom="723" w:gutter="0" w:footer="0" w:header="0"/>
          <w:type w:val="continuous"/>
        </w:sectPr>
      </w:pPr>
    </w:p>
    <w:bookmarkStart w:id="37" w:name="page38"/>
    <w:bookmarkEnd w:id="37"/>
    <w:p>
      <w:pPr>
        <w:spacing w:after="0" w:line="245"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795655</wp:posOffset>
            </wp:positionH>
            <wp:positionV relativeFrom="page">
              <wp:posOffset>292735</wp:posOffset>
            </wp:positionV>
            <wp:extent cx="929005" cy="1149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46">
                      <a:extLst>
                        <a:ext uri="{28A0092B-C50C-407E-A947-70E740481C1C}"/>
                      </a:extLst>
                    </a:blip>
                    <a:srcRect/>
                    <a:stretch>
                      <a:fillRect/>
                    </a:stretch>
                  </pic:blipFill>
                  <pic:spPr bwMode="auto">
                    <a:xfrm>
                      <a:off x="0" y="0"/>
                      <a:ext cx="929005" cy="114935"/>
                    </a:xfrm>
                    <a:prstGeom prst="rect">
                      <a:avLst/>
                    </a:prstGeom>
                    <a:noFill/>
                  </pic:spPr>
                </pic:pic>
              </a:graphicData>
            </a:graphic>
          </wp:anchor>
        </w:drawing>
        <w:t>healthcare transactions and protects the security and privacy of protected health information; (ii) the Sunshine Act, which requires manufacturers of medical devices for which payment is available under Medicare, Medicaid, to report annually to the CMS information related to payments or other “transfers of value” made to physicians, (iii) two main sets of laws enacted in France about transparency requirements: “The French Anti-Gift Law,” which regulates the provision of gifts, discounts and other incentives to physicians and the “Bertrand law,” which imposes disclosure obligations on companies relating to benefits and remunerations granted to, and agreements concluded with, physicians and (iv) the provisions of the French Public Health Code relating to the processing and/or hosting of health-related personal data. Any failure to comply with these regulations may have a material adverse effect on our business, financial condition and results of operations.</w:t>
      </w:r>
    </w:p>
    <w:p>
      <w:pPr>
        <w:spacing w:after="0" w:line="158"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20"/>
          <w:szCs w:val="20"/>
          <w:color w:val="auto"/>
        </w:rPr>
        <w:t>Furthermore, in addition to HIPAA we are subject to other data privacy and protection laws and regulations that apply to the collection, transmission, storage and use of personally identifying information, which, among other things, impose certain requirements relating to the privacy, security and transmission of personal information. The legislative and regulatory landscape for privacy and data protection continues to evolve in jurisdictions worldwide, and there has been an increasing focus on privacy and data protection issues with the potential to affect our business. There are numerous European, French, U.S. federal and U.S. state laws and regulations related to the privacy and security of personal information. For example, in the European Union, the collection and use of personal data is governed by the provisions of the General Data Protection Regulation (“GDPR”), which took effect in May 2018. GDPR significantly increases the level of data protection and imposes a greater compliance burden on companies. In particular, it treats clinical data as personal data, requiring us or our subcontractors to implement more extensive procedures in the collection and processing of clinical trial data. Furthermore, the GDPR significantly increases the level of sanctions for non-compliance. The European Union data protection authorities have the power to impose administrative fines of up to a maximum of €20 million or 4% of our consolidated revenues for the preceding fiscal year, whichever is higher. GDPR is also supplemented by the provisions of the French data protection act (Law No. 78-17 of January 6, 1978), in particular in respect of the processing of personal data in the field of healthcare.</w:t>
      </w:r>
    </w:p>
    <w:p>
      <w:pPr>
        <w:spacing w:after="0" w:line="171" w:lineRule="exact"/>
        <w:rPr>
          <w:sz w:val="20"/>
          <w:szCs w:val="20"/>
          <w:color w:val="auto"/>
        </w:rPr>
      </w:pPr>
    </w:p>
    <w:p>
      <w:pPr>
        <w:ind w:right="240"/>
        <w:spacing w:after="0" w:line="246" w:lineRule="auto"/>
        <w:rPr>
          <w:sz w:val="20"/>
          <w:szCs w:val="20"/>
          <w:color w:val="auto"/>
        </w:rPr>
      </w:pPr>
      <w:r>
        <w:rPr>
          <w:rFonts w:ascii="Times New Roman" w:cs="Times New Roman" w:eastAsia="Times New Roman" w:hAnsi="Times New Roman"/>
          <w:sz w:val="20"/>
          <w:szCs w:val="20"/>
          <w:color w:val="auto"/>
        </w:rPr>
        <w:t>Given the high level of complexity of these laws, and the fact that we do business in regions where regulatory compliance is less robust, including in Russia and parts of Asia, there is a risk that we may inadvertently breach some provisions, for example, through fraudulent or negligent behavior of individual employees or business partners, our failure to comply with certain formal documentation requirements, or otherwise. Our success depends, in part, on our ability to anticipate these risks and manage these challenges. We have a decentralized international sales organization, and this structure may make it more difficult for us to ensure that our international selling operations comply with our global policies and procedures.</w:t>
      </w:r>
    </w:p>
    <w:p>
      <w:pPr>
        <w:spacing w:after="0" w:line="160" w:lineRule="exact"/>
        <w:rPr>
          <w:sz w:val="20"/>
          <w:szCs w:val="20"/>
          <w:color w:val="auto"/>
        </w:rPr>
      </w:pPr>
    </w:p>
    <w:p>
      <w:pPr>
        <w:ind w:right="240"/>
        <w:spacing w:after="0" w:line="248" w:lineRule="auto"/>
        <w:rPr>
          <w:sz w:val="20"/>
          <w:szCs w:val="20"/>
          <w:color w:val="auto"/>
        </w:rPr>
      </w:pPr>
      <w:r>
        <w:rPr>
          <w:rFonts w:ascii="Times New Roman" w:cs="Times New Roman" w:eastAsia="Times New Roman" w:hAnsi="Times New Roman"/>
          <w:sz w:val="20"/>
          <w:szCs w:val="20"/>
          <w:color w:val="auto"/>
        </w:rPr>
        <w:t>Violations of these laws and regulations could result in fines, criminal sanctions against us, our officers or our employees, requirements to obtain export licenses, cessation of business activities in sanctioned countries and prohibitions on the conduct of our business. Violations of laws and regulations also could result in prohibitions on our ability to offer our products in one or more countries and could materially damage our reputation, our brand, our international expansion efforts, our ability to attract and retain employees, or our business, results of operations and financial condition.</w:t>
      </w:r>
    </w:p>
    <w:p>
      <w:pPr>
        <w:spacing w:after="0" w:line="158" w:lineRule="exact"/>
        <w:rPr>
          <w:sz w:val="20"/>
          <w:szCs w:val="20"/>
          <w:color w:val="auto"/>
        </w:rPr>
      </w:pPr>
    </w:p>
    <w:p>
      <w:pPr>
        <w:ind w:right="16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sell our products in many parts of the world and, as a result, our business is affected by fluctuations in currency exchange rates.</w:t>
      </w:r>
    </w:p>
    <w:p>
      <w:pPr>
        <w:spacing w:after="0" w:line="128"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20"/>
          <w:szCs w:val="20"/>
          <w:color w:val="auto"/>
        </w:rPr>
        <w:t>We are exposed to foreign currency exchange rate risk because the mix of currencies in which our costs are denominated differs from the mix of currencies in which we earn revenue. Our operating profitability could be materially adversely affected by large fluctuations in the rate of exchange between the euro and other currencies, particularly the U.S. dollar and the Japanese yen. While we periodically enter into foreign exchange forward contracts to hedge against these fluctuations, there can be no assurance that such hedging activities will limit the effect of exchange rate movements on our results of operations. Exchange rate fluctuations will also affect the U.S. dollar equivalent of any euro- denominated dividends received by holders of ADSs. For more information concerning our exchange rate exposure, see Item 7A, “</w:t>
      </w:r>
      <w:r>
        <w:rPr>
          <w:rFonts w:ascii="Times New Roman" w:cs="Times New Roman" w:eastAsia="Times New Roman" w:hAnsi="Times New Roman"/>
          <w:sz w:val="20"/>
          <w:szCs w:val="20"/>
          <w:i w:val="1"/>
          <w:iCs w:val="1"/>
          <w:color w:val="auto"/>
        </w:rPr>
        <w:t>Quantitative and Qualitative Disclosures About Market Risk</w:t>
      </w:r>
      <w:r>
        <w:rPr>
          <w:rFonts w:ascii="Times New Roman" w:cs="Times New Roman" w:eastAsia="Times New Roman" w:hAnsi="Times New Roman"/>
          <w:sz w:val="20"/>
          <w:szCs w:val="20"/>
          <w:color w:val="auto"/>
        </w:rPr>
        <w:t>.”</w:t>
      </w:r>
    </w:p>
    <w:p>
      <w:pPr>
        <w:sectPr>
          <w:pgSz w:w="12240" w:h="15840" w:orient="portrait"/>
          <w:cols w:equalWidth="0" w:num="1">
            <w:col w:w="9700"/>
          </w:cols>
          <w:pgMar w:left="1260" w:top="1247" w:right="1280" w:bottom="72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35</w:t>
      </w:r>
    </w:p>
    <w:p>
      <w:pPr>
        <w:sectPr>
          <w:pgSz w:w="12240" w:h="15840" w:orient="portrait"/>
          <w:cols w:equalWidth="0" w:num="1">
            <w:col w:w="9700"/>
          </w:cols>
          <w:pgMar w:left="1260" w:top="1247" w:right="1280" w:bottom="723"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20"/>
          <w:szCs w:val="20"/>
          <w:b w:val="1"/>
          <w:bCs w:val="1"/>
          <w:i w:val="1"/>
          <w:iCs w:val="1"/>
          <w:color w:val="auto"/>
        </w:rPr>
        <w:drawing>
          <wp:anchor simplePos="0" relativeHeight="251657728" behindDoc="1" locked="0" layoutInCell="0" allowOverlap="1">
            <wp:simplePos x="0" y="0"/>
            <wp:positionH relativeFrom="page">
              <wp:posOffset>795655</wp:posOffset>
            </wp:positionH>
            <wp:positionV relativeFrom="page">
              <wp:posOffset>292735</wp:posOffset>
            </wp:positionV>
            <wp:extent cx="929005" cy="1149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47">
                      <a:extLst>
                        <a:ext uri="{28A0092B-C50C-407E-A947-70E740481C1C}"/>
                      </a:extLst>
                    </a:blip>
                    <a:srcRect/>
                    <a:stretch>
                      <a:fillRect/>
                    </a:stretch>
                  </pic:blipFill>
                  <pic:spPr bwMode="auto">
                    <a:xfrm>
                      <a:off x="0" y="0"/>
                      <a:ext cx="929005" cy="114935"/>
                    </a:xfrm>
                    <a:prstGeom prst="rect">
                      <a:avLst/>
                    </a:prstGeom>
                    <a:noFill/>
                  </pic:spPr>
                </pic:pic>
              </a:graphicData>
            </a:graphic>
          </wp:anchor>
        </w:drawing>
        <w:t>Our by-laws and French corporate law contain provisions that may delay or discourage a takeover attempt.</w:t>
      </w:r>
    </w:p>
    <w:p>
      <w:pPr>
        <w:spacing w:after="0" w:line="19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Provisions contained in our bylaws and French corporate law could make it more difficult for a third party to acquire our company, even if doing so might be beneficial to its shareholders. In addition, provisions of its bylaws impose various procedural and other requirements, which could make it more difficult for shareholders to affect certain corporate actions. These provisions include the following:</w:t>
      </w:r>
    </w:p>
    <w:p>
      <w:pPr>
        <w:spacing w:after="0" w:line="166" w:lineRule="exact"/>
        <w:rPr>
          <w:sz w:val="20"/>
          <w:szCs w:val="20"/>
          <w:color w:val="auto"/>
        </w:rPr>
      </w:pPr>
    </w:p>
    <w:p>
      <w:pPr>
        <w:ind w:left="720" w:right="80" w:hanging="353"/>
        <w:spacing w:after="0" w:line="242" w:lineRule="auto"/>
        <w:tabs>
          <w:tab w:leader="none" w:pos="720" w:val="left"/>
        </w:tabs>
        <w:numPr>
          <w:ilvl w:val="0"/>
          <w:numId w:val="28"/>
        </w:numPr>
        <w:rPr>
          <w:rFonts w:ascii="Arial" w:cs="Arial" w:eastAsia="Arial" w:hAnsi="Arial"/>
          <w:sz w:val="20"/>
          <w:szCs w:val="20"/>
          <w:color w:val="auto"/>
        </w:rPr>
      </w:pPr>
      <w:r>
        <w:rPr>
          <w:rFonts w:ascii="Times New Roman" w:cs="Times New Roman" w:eastAsia="Times New Roman" w:hAnsi="Times New Roman"/>
          <w:sz w:val="20"/>
          <w:szCs w:val="20"/>
          <w:color w:val="auto"/>
        </w:rPr>
        <w:t>under French law, a non-resident of France, as well as any French entity controlled by non-residents of France, may have to file a declaration for statistical purposes with the Bank of France (</w:t>
      </w:r>
      <w:r>
        <w:rPr>
          <w:rFonts w:ascii="Times New Roman" w:cs="Times New Roman" w:eastAsia="Times New Roman" w:hAnsi="Times New Roman"/>
          <w:sz w:val="20"/>
          <w:szCs w:val="20"/>
          <w:i w:val="1"/>
          <w:iCs w:val="1"/>
          <w:color w:val="auto"/>
        </w:rPr>
        <w:t>Banque de France</w:t>
      </w:r>
      <w:r>
        <w:rPr>
          <w:rFonts w:ascii="Times New Roman" w:cs="Times New Roman" w:eastAsia="Times New Roman" w:hAnsi="Times New Roman"/>
          <w:sz w:val="20"/>
          <w:szCs w:val="20"/>
          <w:color w:val="auto"/>
        </w:rPr>
        <w:t>) within 20 working days following the date of certain direct foreign investments in us, including any purchase of our ADSs. Such filings are required in connection with investments exceeding €15,000,000 that lead to the acquisition of at least 10% of our share capital or voting rights or cross such 10% threshold;</w:t>
      </w:r>
    </w:p>
    <w:p>
      <w:pPr>
        <w:spacing w:after="0" w:line="3" w:lineRule="exact"/>
        <w:rPr>
          <w:rFonts w:ascii="Arial" w:cs="Arial" w:eastAsia="Arial" w:hAnsi="Arial"/>
          <w:sz w:val="20"/>
          <w:szCs w:val="20"/>
          <w:color w:val="auto"/>
        </w:rPr>
      </w:pPr>
    </w:p>
    <w:p>
      <w:pPr>
        <w:ind w:left="720" w:right="100" w:hanging="353"/>
        <w:spacing w:after="0" w:line="244" w:lineRule="auto"/>
        <w:tabs>
          <w:tab w:leader="none" w:pos="720" w:val="left"/>
        </w:tabs>
        <w:numPr>
          <w:ilvl w:val="0"/>
          <w:numId w:val="28"/>
        </w:numPr>
        <w:rPr>
          <w:rFonts w:ascii="Arial" w:cs="Arial" w:eastAsia="Arial" w:hAnsi="Arial"/>
          <w:sz w:val="20"/>
          <w:szCs w:val="20"/>
          <w:color w:val="auto"/>
        </w:rPr>
      </w:pPr>
      <w:r>
        <w:rPr>
          <w:rFonts w:ascii="Times New Roman" w:cs="Times New Roman" w:eastAsia="Times New Roman" w:hAnsi="Times New Roman"/>
          <w:sz w:val="20"/>
          <w:szCs w:val="20"/>
          <w:color w:val="auto"/>
        </w:rPr>
        <w:t>under French law, certain investments in a French company relating to certain strategic industries by individuals or entities not residents in a Member State of the European Union are subject to prior authorization of the Ministry of Economy;</w:t>
      </w:r>
    </w:p>
    <w:p>
      <w:pPr>
        <w:spacing w:after="0" w:line="1" w:lineRule="exact"/>
        <w:rPr>
          <w:rFonts w:ascii="Arial" w:cs="Arial" w:eastAsia="Arial" w:hAnsi="Arial"/>
          <w:sz w:val="20"/>
          <w:szCs w:val="20"/>
          <w:color w:val="auto"/>
        </w:rPr>
      </w:pPr>
    </w:p>
    <w:p>
      <w:pPr>
        <w:ind w:left="720" w:hanging="353"/>
        <w:spacing w:after="0" w:line="242" w:lineRule="auto"/>
        <w:tabs>
          <w:tab w:leader="none" w:pos="720" w:val="left"/>
        </w:tabs>
        <w:numPr>
          <w:ilvl w:val="0"/>
          <w:numId w:val="28"/>
        </w:numPr>
        <w:rPr>
          <w:rFonts w:ascii="Arial" w:cs="Arial" w:eastAsia="Arial" w:hAnsi="Arial"/>
          <w:sz w:val="20"/>
          <w:szCs w:val="20"/>
          <w:color w:val="auto"/>
        </w:rPr>
      </w:pPr>
      <w:r>
        <w:rPr>
          <w:rFonts w:ascii="Times New Roman" w:cs="Times New Roman" w:eastAsia="Times New Roman" w:hAnsi="Times New Roman"/>
          <w:sz w:val="20"/>
          <w:szCs w:val="20"/>
          <w:color w:val="auto"/>
        </w:rPr>
        <w:t>a merger (i.e., in a French law context, a share for share exchange following which our company would be dissolved into the acquiring entity and our shareholders would become shareholders of the acquiring entity) of our company into a company incorporated in the European Union would require the approval of the Company’s Board of Directors, as well as a two-thirds majority of the votes held by the shareholders present, represented by proxy or voting by mail at the relevant meeting;</w:t>
      </w:r>
    </w:p>
    <w:p>
      <w:pPr>
        <w:spacing w:after="0" w:line="3" w:lineRule="exact"/>
        <w:rPr>
          <w:rFonts w:ascii="Arial" w:cs="Arial" w:eastAsia="Arial" w:hAnsi="Arial"/>
          <w:sz w:val="20"/>
          <w:szCs w:val="20"/>
          <w:color w:val="auto"/>
        </w:rPr>
      </w:pPr>
    </w:p>
    <w:p>
      <w:pPr>
        <w:ind w:left="720" w:right="180" w:hanging="353"/>
        <w:spacing w:after="0" w:line="247" w:lineRule="auto"/>
        <w:tabs>
          <w:tab w:leader="none" w:pos="720" w:val="left"/>
        </w:tabs>
        <w:numPr>
          <w:ilvl w:val="0"/>
          <w:numId w:val="28"/>
        </w:numPr>
        <w:rPr>
          <w:rFonts w:ascii="Arial" w:cs="Arial" w:eastAsia="Arial" w:hAnsi="Arial"/>
          <w:sz w:val="20"/>
          <w:szCs w:val="20"/>
          <w:color w:val="auto"/>
        </w:rPr>
      </w:pPr>
      <w:r>
        <w:rPr>
          <w:rFonts w:ascii="Times New Roman" w:cs="Times New Roman" w:eastAsia="Times New Roman" w:hAnsi="Times New Roman"/>
          <w:sz w:val="20"/>
          <w:szCs w:val="20"/>
          <w:color w:val="auto"/>
        </w:rPr>
        <w:t>a merger of our company into a company incorporated outside of the European Union would require 100% of our shareholders to approve it;</w:t>
      </w:r>
    </w:p>
    <w:p>
      <w:pPr>
        <w:spacing w:after="0" w:line="1" w:lineRule="exact"/>
        <w:rPr>
          <w:rFonts w:ascii="Arial" w:cs="Arial" w:eastAsia="Arial" w:hAnsi="Arial"/>
          <w:sz w:val="20"/>
          <w:szCs w:val="20"/>
          <w:color w:val="auto"/>
        </w:rPr>
      </w:pPr>
    </w:p>
    <w:p>
      <w:pPr>
        <w:ind w:left="720" w:right="880" w:hanging="353"/>
        <w:spacing w:after="0" w:line="246" w:lineRule="auto"/>
        <w:tabs>
          <w:tab w:leader="none" w:pos="720" w:val="left"/>
        </w:tabs>
        <w:numPr>
          <w:ilvl w:val="0"/>
          <w:numId w:val="28"/>
        </w:numPr>
        <w:rPr>
          <w:rFonts w:ascii="Arial" w:cs="Arial" w:eastAsia="Arial" w:hAnsi="Arial"/>
          <w:sz w:val="20"/>
          <w:szCs w:val="20"/>
          <w:color w:val="auto"/>
        </w:rPr>
      </w:pPr>
      <w:r>
        <w:rPr>
          <w:rFonts w:ascii="Times New Roman" w:cs="Times New Roman" w:eastAsia="Times New Roman" w:hAnsi="Times New Roman"/>
          <w:sz w:val="20"/>
          <w:szCs w:val="20"/>
          <w:color w:val="auto"/>
        </w:rPr>
        <w:t>under French law, a cash merger is treated as a share purchase and would require the consent of each participating shareholder;</w:t>
      </w:r>
    </w:p>
    <w:p>
      <w:pPr>
        <w:ind w:left="720" w:right="80" w:hanging="353"/>
        <w:spacing w:after="0" w:line="244" w:lineRule="auto"/>
        <w:tabs>
          <w:tab w:leader="none" w:pos="720" w:val="left"/>
        </w:tabs>
        <w:numPr>
          <w:ilvl w:val="0"/>
          <w:numId w:val="28"/>
        </w:numPr>
        <w:rPr>
          <w:rFonts w:ascii="Arial" w:cs="Arial" w:eastAsia="Arial" w:hAnsi="Arial"/>
          <w:sz w:val="20"/>
          <w:szCs w:val="20"/>
          <w:color w:val="auto"/>
        </w:rPr>
      </w:pPr>
      <w:r>
        <w:rPr>
          <w:rFonts w:ascii="Times New Roman" w:cs="Times New Roman" w:eastAsia="Times New Roman" w:hAnsi="Times New Roman"/>
          <w:sz w:val="20"/>
          <w:szCs w:val="20"/>
          <w:color w:val="auto"/>
        </w:rPr>
        <w:t>our shareholders may in the future grant our Board of Directors broad authorizations to increase our share capital or to issue additional ordinary shares or other securities (for example, warrants) to our shareholders, the public or qualified investors, including as a possible defense following the launching of a tender offer for our ordinary shares;</w:t>
      </w:r>
    </w:p>
    <w:p>
      <w:pPr>
        <w:ind w:left="720" w:hanging="353"/>
        <w:spacing w:after="0" w:line="243" w:lineRule="auto"/>
        <w:tabs>
          <w:tab w:leader="none" w:pos="720" w:val="left"/>
        </w:tabs>
        <w:numPr>
          <w:ilvl w:val="0"/>
          <w:numId w:val="28"/>
        </w:numPr>
        <w:rPr>
          <w:rFonts w:ascii="Arial" w:cs="Arial" w:eastAsia="Arial" w:hAnsi="Arial"/>
          <w:sz w:val="20"/>
          <w:szCs w:val="20"/>
          <w:color w:val="auto"/>
        </w:rPr>
      </w:pPr>
      <w:r>
        <w:rPr>
          <w:rFonts w:ascii="Times New Roman" w:cs="Times New Roman" w:eastAsia="Times New Roman" w:hAnsi="Times New Roman"/>
          <w:sz w:val="20"/>
          <w:szCs w:val="20"/>
          <w:color w:val="auto"/>
        </w:rPr>
        <w:t>our shareholders have preferential subscription rights proportional to their shareholding in our company on the issuance by us of any additional shares or securities giving the right, immediately or in the future, to new shares for cash or a set-off of cash debts, which rights may only be waived by the extraordinary general meeting (by a two-thirds majority vote) of our shareholders or on an individual basis by each shareholder;</w:t>
      </w:r>
    </w:p>
    <w:p>
      <w:pPr>
        <w:spacing w:after="0" w:line="1" w:lineRule="exact"/>
        <w:rPr>
          <w:rFonts w:ascii="Arial" w:cs="Arial" w:eastAsia="Arial" w:hAnsi="Arial"/>
          <w:sz w:val="20"/>
          <w:szCs w:val="20"/>
          <w:color w:val="auto"/>
        </w:rPr>
      </w:pPr>
    </w:p>
    <w:p>
      <w:pPr>
        <w:ind w:left="720" w:right="300" w:hanging="353"/>
        <w:spacing w:after="0" w:line="247" w:lineRule="auto"/>
        <w:tabs>
          <w:tab w:leader="none" w:pos="720" w:val="left"/>
        </w:tabs>
        <w:numPr>
          <w:ilvl w:val="0"/>
          <w:numId w:val="28"/>
        </w:numPr>
        <w:rPr>
          <w:rFonts w:ascii="Arial" w:cs="Arial" w:eastAsia="Arial" w:hAnsi="Arial"/>
          <w:sz w:val="20"/>
          <w:szCs w:val="20"/>
          <w:color w:val="auto"/>
        </w:rPr>
      </w:pPr>
      <w:r>
        <w:rPr>
          <w:rFonts w:ascii="Times New Roman" w:cs="Times New Roman" w:eastAsia="Times New Roman" w:hAnsi="Times New Roman"/>
          <w:sz w:val="20"/>
          <w:szCs w:val="20"/>
          <w:color w:val="auto"/>
        </w:rPr>
        <w:t>our Board of Directors can only be convened by its chair or, when no Board meeting has been held for more than two consecutive months, by directors representing at least one-third of the total number of directors;</w:t>
      </w:r>
    </w:p>
    <w:p>
      <w:pPr>
        <w:spacing w:after="0" w:line="1" w:lineRule="exact"/>
        <w:rPr>
          <w:rFonts w:ascii="Arial" w:cs="Arial" w:eastAsia="Arial" w:hAnsi="Arial"/>
          <w:sz w:val="20"/>
          <w:szCs w:val="20"/>
          <w:color w:val="auto"/>
        </w:rPr>
      </w:pPr>
    </w:p>
    <w:p>
      <w:pPr>
        <w:ind w:left="720" w:right="60" w:hanging="353"/>
        <w:spacing w:after="0" w:line="243" w:lineRule="auto"/>
        <w:tabs>
          <w:tab w:leader="none" w:pos="720" w:val="left"/>
        </w:tabs>
        <w:numPr>
          <w:ilvl w:val="0"/>
          <w:numId w:val="28"/>
        </w:numPr>
        <w:rPr>
          <w:rFonts w:ascii="Arial" w:cs="Arial" w:eastAsia="Arial" w:hAnsi="Arial"/>
          <w:sz w:val="20"/>
          <w:szCs w:val="20"/>
          <w:color w:val="auto"/>
        </w:rPr>
      </w:pPr>
      <w:r>
        <w:rPr>
          <w:rFonts w:ascii="Times New Roman" w:cs="Times New Roman" w:eastAsia="Times New Roman" w:hAnsi="Times New Roman"/>
          <w:sz w:val="20"/>
          <w:szCs w:val="20"/>
          <w:color w:val="auto"/>
        </w:rPr>
        <w:t>our Board of Directors has the right to appoint members to fill a vacancy created by the resignation or death of a member of the Board for the remaining duration of such member’s term of office, and subject to the approval by the shareholders of such appointment at the next shareholders’ meeting, which prevents shareholders from having the sole right to fill vacancies on our Board of Directors;</w:t>
      </w:r>
    </w:p>
    <w:p>
      <w:pPr>
        <w:spacing w:after="0" w:line="1" w:lineRule="exact"/>
        <w:rPr>
          <w:rFonts w:ascii="Arial" w:cs="Arial" w:eastAsia="Arial" w:hAnsi="Arial"/>
          <w:sz w:val="20"/>
          <w:szCs w:val="20"/>
          <w:color w:val="auto"/>
        </w:rPr>
      </w:pPr>
    </w:p>
    <w:p>
      <w:pPr>
        <w:ind w:left="720" w:right="240" w:hanging="353"/>
        <w:spacing w:after="0" w:line="244" w:lineRule="auto"/>
        <w:tabs>
          <w:tab w:leader="none" w:pos="720" w:val="left"/>
        </w:tabs>
        <w:numPr>
          <w:ilvl w:val="0"/>
          <w:numId w:val="28"/>
        </w:numPr>
        <w:rPr>
          <w:rFonts w:ascii="Arial" w:cs="Arial" w:eastAsia="Arial" w:hAnsi="Arial"/>
          <w:sz w:val="20"/>
          <w:szCs w:val="20"/>
          <w:color w:val="auto"/>
        </w:rPr>
      </w:pPr>
      <w:r>
        <w:rPr>
          <w:rFonts w:ascii="Times New Roman" w:cs="Times New Roman" w:eastAsia="Times New Roman" w:hAnsi="Times New Roman"/>
          <w:sz w:val="20"/>
          <w:szCs w:val="20"/>
          <w:color w:val="auto"/>
        </w:rPr>
        <w:t>approval of at least a majority of the votes held by shareholders present, represented by a proxy, or voting by mail at the relevant ordinary shareholders’ general meeting is required to remove members of the Board of Directors with or without cause;</w:t>
      </w:r>
    </w:p>
    <w:p>
      <w:pPr>
        <w:spacing w:after="0" w:line="1" w:lineRule="exact"/>
        <w:rPr>
          <w:rFonts w:ascii="Arial" w:cs="Arial" w:eastAsia="Arial" w:hAnsi="Arial"/>
          <w:sz w:val="20"/>
          <w:szCs w:val="20"/>
          <w:color w:val="auto"/>
        </w:rPr>
      </w:pPr>
    </w:p>
    <w:p>
      <w:pPr>
        <w:ind w:left="720" w:right="20" w:hanging="353"/>
        <w:spacing w:after="0" w:line="253" w:lineRule="auto"/>
        <w:tabs>
          <w:tab w:leader="none" w:pos="720" w:val="left"/>
        </w:tabs>
        <w:numPr>
          <w:ilvl w:val="0"/>
          <w:numId w:val="28"/>
        </w:numPr>
        <w:rPr>
          <w:rFonts w:ascii="Arial" w:cs="Arial" w:eastAsia="Arial" w:hAnsi="Arial"/>
          <w:sz w:val="20"/>
          <w:szCs w:val="20"/>
          <w:color w:val="auto"/>
        </w:rPr>
      </w:pPr>
      <w:r>
        <w:rPr>
          <w:rFonts w:ascii="Times New Roman" w:cs="Times New Roman" w:eastAsia="Times New Roman" w:hAnsi="Times New Roman"/>
          <w:sz w:val="20"/>
          <w:szCs w:val="20"/>
          <w:color w:val="auto"/>
        </w:rPr>
        <w:t>pursuant to French law, our by-laws, including the sections relating to the number of members of the Board of Directors, and election and removal of members of the Board of Directors from office may only be modified by a resolution adopted by two-thirds of the votes of our shareholders present, represented by a proxy or voting by mail at the meeting.</w:t>
      </w:r>
    </w:p>
    <w:p>
      <w:pPr>
        <w:spacing w:after="0" w:line="152"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The rights of shareholders in companies subject to French corporate law differ in material respects from the rights of shareholders of corporations incorporated in the United States.</w:t>
      </w:r>
    </w:p>
    <w:p>
      <w:pPr>
        <w:spacing w:after="0" w:line="128" w:lineRule="exact"/>
        <w:rPr>
          <w:sz w:val="20"/>
          <w:szCs w:val="20"/>
          <w:color w:val="auto"/>
        </w:rPr>
      </w:pPr>
    </w:p>
    <w:p>
      <w:pPr>
        <w:ind w:right="120"/>
        <w:spacing w:after="0" w:line="249" w:lineRule="auto"/>
        <w:rPr>
          <w:sz w:val="20"/>
          <w:szCs w:val="20"/>
          <w:color w:val="auto"/>
        </w:rPr>
      </w:pPr>
      <w:r>
        <w:rPr>
          <w:rFonts w:ascii="Times New Roman" w:cs="Times New Roman" w:eastAsia="Times New Roman" w:hAnsi="Times New Roman"/>
          <w:sz w:val="20"/>
          <w:szCs w:val="20"/>
          <w:color w:val="auto"/>
        </w:rPr>
        <w:t>We are a French company with limited liability. Our corporate affairs are governed by our by-laws and by the laws governing companies incorporated in France. The rights of shareholders and the responsibilities of members of our Board are in many ways different from the rights and obligations of shareholders in companies governed by the laws of U.S. jurisdictions. For example, in the performance of its duties, our Board of Directors is required by French law to consider the interests of our company, our shareholders, our employees and other stakeholders, rather than solely our</w:t>
      </w:r>
    </w:p>
    <w:p>
      <w:pPr>
        <w:sectPr>
          <w:pgSz w:w="12240" w:h="15840" w:orient="portrait"/>
          <w:cols w:equalWidth="0" w:num="1">
            <w:col w:w="9680"/>
          </w:cols>
          <w:pgMar w:left="1260" w:top="1248" w:right="1300" w:bottom="723" w:gutter="0" w:footer="0" w:header="0"/>
        </w:sectPr>
      </w:pPr>
    </w:p>
    <w:p>
      <w:pPr>
        <w:spacing w:after="0" w:line="200" w:lineRule="exact"/>
        <w:rPr>
          <w:sz w:val="20"/>
          <w:szCs w:val="20"/>
          <w:color w:val="auto"/>
        </w:rPr>
      </w:pPr>
    </w:p>
    <w:p>
      <w:pPr>
        <w:spacing w:after="0" w:line="3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36</w:t>
      </w:r>
    </w:p>
    <w:p>
      <w:pPr>
        <w:sectPr>
          <w:pgSz w:w="12240" w:h="15840" w:orient="portrait"/>
          <w:cols w:equalWidth="0" w:num="1">
            <w:col w:w="9680"/>
          </w:cols>
          <w:pgMar w:left="1260" w:top="1248" w:right="1300" w:bottom="723" w:gutter="0" w:footer="0" w:header="0"/>
          <w:type w:val="continuous"/>
        </w:sectPr>
      </w:pPr>
    </w:p>
    <w:bookmarkStart w:id="39" w:name="page40"/>
    <w:bookmarkEnd w:id="39"/>
    <w:p>
      <w:pPr>
        <w:ind w:right="360"/>
        <w:spacing w:after="0" w:line="279"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795655</wp:posOffset>
            </wp:positionH>
            <wp:positionV relativeFrom="page">
              <wp:posOffset>292735</wp:posOffset>
            </wp:positionV>
            <wp:extent cx="929005" cy="1149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48">
                      <a:extLst>
                        <a:ext uri="{28A0092B-C50C-407E-A947-70E740481C1C}"/>
                      </a:extLst>
                    </a:blip>
                    <a:srcRect/>
                    <a:stretch>
                      <a:fillRect/>
                    </a:stretch>
                  </pic:blipFill>
                  <pic:spPr bwMode="auto">
                    <a:xfrm>
                      <a:off x="0" y="0"/>
                      <a:ext cx="929005" cy="114935"/>
                    </a:xfrm>
                    <a:prstGeom prst="rect">
                      <a:avLst/>
                    </a:prstGeom>
                    <a:noFill/>
                  </pic:spPr>
                </pic:pic>
              </a:graphicData>
            </a:graphic>
          </wp:anchor>
        </w:drawing>
        <w:t>shareholders and/or creditors. It is possible that some of these parties will have interests that are different from, or in addition to, the interests of our shareholders.</w:t>
      </w:r>
    </w:p>
    <w:p>
      <w:pPr>
        <w:spacing w:after="0" w:line="127" w:lineRule="exact"/>
        <w:rPr>
          <w:sz w:val="20"/>
          <w:szCs w:val="20"/>
          <w:color w:val="auto"/>
        </w:rPr>
      </w:pPr>
    </w:p>
    <w:p>
      <w:pPr>
        <w:ind w:right="22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French law may limit the amount of dividends we are able to distribute, and we do not intend to pay cash dividends for the foreseeable future.</w:t>
      </w:r>
    </w:p>
    <w:p>
      <w:pPr>
        <w:spacing w:after="0" w:line="128"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20"/>
          <w:szCs w:val="20"/>
          <w:color w:val="auto"/>
        </w:rPr>
        <w:t>We currently intend to retain our future earnings, if any, to finance the further development and expansion of our business and do not intend to pay cash dividends in the foreseeable future. Any future determination to pay dividends will be at the discretion of our Board of Directors and will depend on our financial condition, results of operations, capital requirements, and future agreements and financing instruments, business prospects and such other factors as our Board of Directors deems relevant.</w:t>
      </w:r>
    </w:p>
    <w:p>
      <w:pPr>
        <w:spacing w:after="0" w:line="156"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20"/>
          <w:szCs w:val="20"/>
          <w:color w:val="auto"/>
        </w:rPr>
        <w:t>Further, under French law, the determination of whether we have been sufficiently profitable to pay dividends is made based on our statutory financial statements prepared and presented in accordance with applicable French regulations. Moreover, pursuant to French law, we must allocate 5% of our unconsolidated net profit for each year, if any, to our legal reserve fund before dividends until the amount in the legal reserve is equal to 10% of the aggregate nominal value of our issued and outstanding share capital. Therefore, we may be more restricted in our ability to declare dividends than companies not based in France. Finally, payment of such dividends may subject us to additional taxes.</w:t>
      </w:r>
    </w:p>
    <w:p>
      <w:pPr>
        <w:spacing w:after="0" w:line="161" w:lineRule="exact"/>
        <w:rPr>
          <w:sz w:val="20"/>
          <w:szCs w:val="20"/>
          <w:color w:val="auto"/>
        </w:rPr>
      </w:pPr>
    </w:p>
    <w:p>
      <w:pPr>
        <w:ind w:right="18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became a U.S. Domestic Issuer and a smaller reporting company on January 1, 2026, which will likely result in significant additional costs and expenses.</w:t>
      </w:r>
    </w:p>
    <w:p>
      <w:pPr>
        <w:spacing w:after="0" w:line="128"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20"/>
          <w:szCs w:val="20"/>
          <w:color w:val="auto"/>
        </w:rPr>
        <w:t>As of June 30, 2025, we no longer qualified as a foreign private issuer and, as a result, are required to comply with the reporting requirements applicable to U.S. domestic issuers beginning January 1, 2026. The regulatory and compliance obligations and costs to us under U.S. securities laws as a U.S. domestic issuer will likely be significantly more than the obligations and costs we previoulsy incurred as a foreign private issuer. We are now required to file periodic reports, including quarterly reports on Form 10 -Q, and registration statements on U.S. domestic issuer forms with the SEC, which are more detailed and extensive in certain respects than the forms available to a foreign private issuer. We were required under current SEC and Nasdaq rules to modify certain of our policies to comply with corporate governance practices associated with U.S. domestic issuers. In addition, we lost our ability to rely upon exemptions from certain corporate governance requirements on U.S. stock exchanges that are available to foreign private issuers and exemptions from procedural requirements related to the solicitation of proxies.</w:t>
      </w:r>
    </w:p>
    <w:p>
      <w:pPr>
        <w:spacing w:after="0" w:line="195"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In addition, we now qualify as a “smaller reporting company” under Rule 12b-2 of the Exchange Act and will remain a smaller reporting company until we have (i) a non-affiliate public float of at least $250 million and annual revenues of at least $100 million or (ii) a non- affiliate public float of at least $700 million, each as determined on an annual basis. As a smaller reporting company, we are not required to include a compensation discussion and analysis section and we will provide only two years of audited financial statements. We also will have other “scaled” disclosure requirements that are less comprehensive than issuers that are not smaller reporting companies. Because we will be subject to ongoing public reporting requirements that are less rigorous than Exchange Act rules for companies that are not smaller reporting companies, our shareholders could receive less information than they might expect to receive from other U.S. domestic public companies. We cannot predict if investors will find our ADSs less attractive if we elect to rely on these exemptions, or if taking advantage of these exemptions would result in less active trading or more volatility in the market price of our ADSs.</w:t>
      </w:r>
    </w:p>
    <w:p>
      <w:pPr>
        <w:spacing w:after="0" w:line="199" w:lineRule="exact"/>
        <w:rPr>
          <w:sz w:val="20"/>
          <w:szCs w:val="20"/>
          <w:color w:val="auto"/>
        </w:rPr>
      </w:pPr>
    </w:p>
    <w:p>
      <w:pPr>
        <w:ind w:right="18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Judgments of U.S. courts, including those predicated on the civil liability provisions of the federal securities laws of the United States, may not be enforceable in French courts.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 investor in the United States may find it difficult to:</w:t>
      </w:r>
    </w:p>
    <w:p>
      <w:pPr>
        <w:spacing w:after="0" w:line="214" w:lineRule="exact"/>
        <w:rPr>
          <w:sz w:val="20"/>
          <w:szCs w:val="20"/>
          <w:color w:val="auto"/>
        </w:rPr>
      </w:pPr>
    </w:p>
    <w:p>
      <w:pPr>
        <w:ind w:left="720" w:right="260" w:hanging="353"/>
        <w:spacing w:after="0" w:line="246" w:lineRule="auto"/>
        <w:tabs>
          <w:tab w:leader="none" w:pos="720" w:val="left"/>
        </w:tabs>
        <w:numPr>
          <w:ilvl w:val="0"/>
          <w:numId w:val="29"/>
        </w:numPr>
        <w:rPr>
          <w:rFonts w:ascii="Arial" w:cs="Arial" w:eastAsia="Arial" w:hAnsi="Arial"/>
          <w:sz w:val="20"/>
          <w:szCs w:val="20"/>
          <w:color w:val="auto"/>
        </w:rPr>
      </w:pPr>
      <w:r>
        <w:rPr>
          <w:rFonts w:ascii="Times New Roman" w:cs="Times New Roman" w:eastAsia="Times New Roman" w:hAnsi="Times New Roman"/>
          <w:sz w:val="20"/>
          <w:szCs w:val="20"/>
          <w:color w:val="auto"/>
        </w:rPr>
        <w:t>effect service of process upon or obtain jurisdiction over us or our non-U.S. resident directors and officers in the United States;</w:t>
      </w:r>
    </w:p>
    <w:p>
      <w:pPr>
        <w:ind w:left="720" w:right="40" w:hanging="353"/>
        <w:spacing w:after="0" w:line="278" w:lineRule="auto"/>
        <w:tabs>
          <w:tab w:leader="none" w:pos="720" w:val="left"/>
        </w:tabs>
        <w:numPr>
          <w:ilvl w:val="0"/>
          <w:numId w:val="29"/>
        </w:numPr>
        <w:rPr>
          <w:rFonts w:ascii="Arial" w:cs="Arial" w:eastAsia="Arial" w:hAnsi="Arial"/>
          <w:sz w:val="20"/>
          <w:szCs w:val="20"/>
          <w:color w:val="auto"/>
        </w:rPr>
      </w:pPr>
      <w:r>
        <w:rPr>
          <w:rFonts w:ascii="Times New Roman" w:cs="Times New Roman" w:eastAsia="Times New Roman" w:hAnsi="Times New Roman"/>
          <w:sz w:val="20"/>
          <w:szCs w:val="20"/>
          <w:color w:val="auto"/>
        </w:rPr>
        <w:t>enforce U.S. court judgments based upon the civil liability provisions of the U.S. federal securities laws against us and our non-U.S. resident directors and officers in France or the United States; or</w:t>
      </w:r>
    </w:p>
    <w:p>
      <w:pPr>
        <w:sectPr>
          <w:pgSz w:w="12240" w:h="15840" w:orient="portrait"/>
          <w:cols w:equalWidth="0" w:num="1">
            <w:col w:w="9680"/>
          </w:cols>
          <w:pgMar w:left="1260" w:top="1247" w:right="1300" w:bottom="72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37</w:t>
      </w:r>
    </w:p>
    <w:p>
      <w:pPr>
        <w:sectPr>
          <w:pgSz w:w="12240" w:h="15840" w:orient="portrait"/>
          <w:cols w:equalWidth="0" w:num="1">
            <w:col w:w="9680"/>
          </w:cols>
          <w:pgMar w:left="1260" w:top="1247" w:right="1300" w:bottom="723" w:gutter="0" w:footer="0" w:header="0"/>
          <w:type w:val="continuous"/>
        </w:sectPr>
      </w:pPr>
    </w:p>
    <w:bookmarkStart w:id="40" w:name="page41"/>
    <w:bookmarkEnd w:id="40"/>
    <w:p>
      <w:pPr>
        <w:ind w:left="720" w:right="560" w:hanging="353"/>
        <w:spacing w:after="0" w:line="278" w:lineRule="auto"/>
        <w:tabs>
          <w:tab w:leader="none" w:pos="720" w:val="left"/>
        </w:tabs>
        <w:numPr>
          <w:ilvl w:val="0"/>
          <w:numId w:val="30"/>
        </w:numPr>
        <w:rPr>
          <w:rFonts w:ascii="Arial" w:cs="Arial" w:eastAsia="Arial" w:hAnsi="Arial"/>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795655</wp:posOffset>
            </wp:positionH>
            <wp:positionV relativeFrom="page">
              <wp:posOffset>292735</wp:posOffset>
            </wp:positionV>
            <wp:extent cx="929005" cy="1149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49">
                      <a:extLst>
                        <a:ext uri="{28A0092B-C50C-407E-A947-70E740481C1C}"/>
                      </a:extLst>
                    </a:blip>
                    <a:srcRect/>
                    <a:stretch>
                      <a:fillRect/>
                    </a:stretch>
                  </pic:blipFill>
                  <pic:spPr bwMode="auto">
                    <a:xfrm>
                      <a:off x="0" y="0"/>
                      <a:ext cx="929005" cy="114935"/>
                    </a:xfrm>
                    <a:prstGeom prst="rect">
                      <a:avLst/>
                    </a:prstGeom>
                    <a:noFill/>
                  </pic:spPr>
                </pic:pic>
              </a:graphicData>
            </a:graphic>
          </wp:anchor>
        </w:drawing>
        <w:t>bring an original action in a French court to enforce liabilities based upon the U.S. federal securities laws against us and our non-U.S. resident directors and officers.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Ownership of our Ordinary Shares and the ADSs</w:t>
      </w:r>
    </w:p>
    <w:p>
      <w:pPr>
        <w:spacing w:after="0" w:line="204" w:lineRule="exact"/>
        <w:rPr>
          <w:sz w:val="20"/>
          <w:szCs w:val="20"/>
          <w:color w:val="auto"/>
        </w:rPr>
      </w:pPr>
    </w:p>
    <w:p>
      <w:pPr>
        <w:ind w:right="20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Our securities may be affected by volume fluctuations, and may fluctuate significantly in price, causing investors to lose some or all of their investment.</w:t>
      </w:r>
    </w:p>
    <w:p>
      <w:pPr>
        <w:spacing w:after="0" w:line="128"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20"/>
          <w:szCs w:val="20"/>
          <w:color w:val="auto"/>
        </w:rPr>
        <w:t>Our ADSs, each of which represents one ordinary share, are traded on Nasdaq. The average daily trading volume of our ADSs in 2025 was approximately 80,000, the high and low bid price of our ADSs for the last two fiscal years ended on December 31, 2025, and December 31, 2024, was $3.45 and $8.50, and $1.21 and $ 2.12, respectively. Our ADSs have experienced, and are likely to experience in the future, significant price and volume fluctuations, which could adversely affect the market price of our ADSs without regard to our operating performance. For example, the average daily trading volume of our ADSs in December 2025 was 62,959 as opposed to 235,289 for the same period of 2024. The price of our securities and our ADSs in particular, may fluctuate as a result of a variety of factors, including changes in our business, operations and prospects, and factors beyond our control, including regulatory considerations, results of clinical trials of our products or those of our competitors, developments in patents and other proprietary rights, general market and economic conditions and results of operations being below analysts’ or investors’ expectations. Any downward pressure on the price of ADSs caused by the sale of ADSs could also encourage short sales of our ADS by third parties. In a short sale, a prospective seller borrows shares from a shareholder or broker and sells the borrowed shares. The prospective seller hopes that the share price will decline, at which time the seller can purchase shares at a lower price for delivery back to the lender. The seller profits when the share price declines because it is purchasing shares at a price lower than the sale price of the borrowed shares. Such sales could place downward pressure on the price of our ADSs by increasing the number of ADSs being sold, which could further contribute to any decline in the market price of our ADSs.</w:t>
      </w:r>
    </w:p>
    <w:p>
      <w:pPr>
        <w:spacing w:after="0" w:line="169"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20"/>
          <w:szCs w:val="20"/>
          <w:color w:val="auto"/>
        </w:rPr>
        <w:t>These broad market and industry factors may adversely affect the market price of our ADSs, regardless of our operating performance. If investors invest in our ADSs, investors could lose some or all of their investment. In addition, periods of volatility in the market price of a company’s securities often trigger securities class action litigation. Any additional litigation, if instituted, causes and could cause us to incur substantial costs and our management resources are and could be diverted to defending such litigation, which could adversely affect our financial condition or results of operations.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Holders of ADSs have fewer rights than shareholders and must act through the Depositary to exercise those rights.</w:t>
      </w:r>
    </w:p>
    <w:p>
      <w:pPr>
        <w:spacing w:after="0" w:line="198"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auto"/>
        </w:rPr>
        <w:t>Holders of ADSs do not have the same rights as shareholders and accordingly cannot exercise the rights of shareholders against us. The Depositary is the registered shareholder of the deposited shares underlying the ADSs, and therefore holders of ADSs will generally have to exercise the rights attached to those shares through the Depositary. We have used and will continue to use reasonable efforts to request that the Depositary notify the holders of ADSs of upcoming votes and ask for voting instructions from them. If a holder fails to return a voting instruction card to the Depositary by the date established by it for receipt of such voting instructions, or if the Depositary receives an improperly completed or blank voting instruction card, or if the voting instructions included in the voting instruction card are illegible or unclear, then such holder will be deemed to have instructed the Depositary to vote its shares and the Depositary shall vote such shares in favor of any resolution proposed or approved by our Board of Directors and against any resolution not so proposed or approved.</w:t>
      </w:r>
    </w:p>
    <w:p>
      <w:pPr>
        <w:spacing w:after="0" w:line="165" w:lineRule="exact"/>
        <w:rPr>
          <w:sz w:val="20"/>
          <w:szCs w:val="20"/>
          <w:color w:val="auto"/>
        </w:rPr>
      </w:pPr>
    </w:p>
    <w:p>
      <w:pPr>
        <w:ind w:right="24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If securities or industry analysts do not publish research, or publish inaccurate or unfavorable research, about our market or business, our ADS price and trading volume could decline.</w:t>
      </w:r>
    </w:p>
    <w:p>
      <w:pPr>
        <w:spacing w:after="0" w:line="128" w:lineRule="exact"/>
        <w:rPr>
          <w:sz w:val="20"/>
          <w:szCs w:val="20"/>
          <w:color w:val="auto"/>
        </w:rPr>
      </w:pPr>
    </w:p>
    <w:p>
      <w:pPr>
        <w:ind w:right="140"/>
        <w:spacing w:after="0" w:line="247" w:lineRule="auto"/>
        <w:rPr>
          <w:sz w:val="20"/>
          <w:szCs w:val="20"/>
          <w:color w:val="auto"/>
        </w:rPr>
      </w:pPr>
      <w:r>
        <w:rPr>
          <w:rFonts w:ascii="Times New Roman" w:cs="Times New Roman" w:eastAsia="Times New Roman" w:hAnsi="Times New Roman"/>
          <w:sz w:val="20"/>
          <w:szCs w:val="20"/>
          <w:color w:val="auto"/>
        </w:rPr>
        <w:t>The trading market for our ADSs will depend, in part, on the research and reports that securities or industry analysts publish about us or our business. If one or more of the analysts who cover us downgrade our securities or publish inaccurate or unfavorable research about our business, our ADS price would likely decline. In addition, if our operating results fail to meet the expectations of our investors or forecasts of research analysts, our ADS price would likely decline. If one or more of these analysts cease coverage of our company or fail to publish reports on us regularly, demand for our ADSs could decrease, which might cause our ADS price and trading volume to decline.</w:t>
      </w:r>
    </w:p>
    <w:p>
      <w:pPr>
        <w:sectPr>
          <w:pgSz w:w="12240" w:h="15840" w:orient="portrait"/>
          <w:cols w:equalWidth="0" w:num="1">
            <w:col w:w="9700"/>
          </w:cols>
          <w:pgMar w:left="1260" w:top="1261" w:right="1280" w:bottom="72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38</w:t>
      </w:r>
    </w:p>
    <w:p>
      <w:pPr>
        <w:sectPr>
          <w:pgSz w:w="12240" w:h="15840" w:orient="portrait"/>
          <w:cols w:equalWidth="0" w:num="1">
            <w:col w:w="9700"/>
          </w:cols>
          <w:pgMar w:left="1260" w:top="1261" w:right="1280" w:bottom="723"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20"/>
          <w:szCs w:val="20"/>
          <w:b w:val="1"/>
          <w:bCs w:val="1"/>
          <w:i w:val="1"/>
          <w:iCs w:val="1"/>
          <w:color w:val="auto"/>
        </w:rPr>
        <w:drawing>
          <wp:anchor simplePos="0" relativeHeight="251657728" behindDoc="1" locked="0" layoutInCell="0" allowOverlap="1">
            <wp:simplePos x="0" y="0"/>
            <wp:positionH relativeFrom="page">
              <wp:posOffset>795655</wp:posOffset>
            </wp:positionH>
            <wp:positionV relativeFrom="page">
              <wp:posOffset>292735</wp:posOffset>
            </wp:positionV>
            <wp:extent cx="929005" cy="1149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0">
                      <a:extLst>
                        <a:ext uri="{28A0092B-C50C-407E-A947-70E740481C1C}"/>
                      </a:extLst>
                    </a:blip>
                    <a:srcRect/>
                    <a:stretch>
                      <a:fillRect/>
                    </a:stretch>
                  </pic:blipFill>
                  <pic:spPr bwMode="auto">
                    <a:xfrm>
                      <a:off x="0" y="0"/>
                      <a:ext cx="929005" cy="114935"/>
                    </a:xfrm>
                    <a:prstGeom prst="rect">
                      <a:avLst/>
                    </a:prstGeom>
                    <a:noFill/>
                  </pic:spPr>
                </pic:pic>
              </a:graphicData>
            </a:graphic>
          </wp:anchor>
        </w:drawing>
        <w:t>Preferential subscription rights may not be available for U.S. persons.</w:t>
      </w:r>
    </w:p>
    <w:p>
      <w:pPr>
        <w:spacing w:after="0" w:line="198"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20"/>
          <w:szCs w:val="20"/>
          <w:color w:val="auto"/>
        </w:rPr>
        <w:t xml:space="preserve">Under French law, shareholders have preferential rights to subscribe for cash issuances of new shares or other securities giving rights to acquire additional shares on a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basis. U.S. holders of our securities may not be able to exercise preferential subscription rights for their shares unless a registration statement under the Securities Act is effective with respect to such rights or an exemption from the registration requirements imposed by the Securities Act is available. We may, from time to time, issue new shares or other securities giving rights to acquire additional shares (such as warrants) at a time when no registration statement is in effect and no Securities Act exemption is available. If so, U.S. holders of our securities will be unable to exercise their preferential rights, and their interests will be diluted. We are under no obligation to file any registration statement in connection with any issuance of new shares or other securities.</w:t>
      </w:r>
    </w:p>
    <w:p>
      <w:pPr>
        <w:spacing w:after="0" w:line="162"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20"/>
          <w:szCs w:val="20"/>
          <w:color w:val="auto"/>
        </w:rPr>
        <w:t>For holders of ADSs, the Depositary may make these rights or other distributions available to holders after we instruct it to do so and provide it with evidence that it is legal to do so. If we fail to do this and the Depositary determines that it is impractical to sell the rights, it may allow these rights to lapse. In that case, the holders of ADSs will receive no value for them.</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General Risk Factors</w:t>
      </w:r>
    </w:p>
    <w:p>
      <w:pPr>
        <w:spacing w:after="0" w:line="204" w:lineRule="exact"/>
        <w:rPr>
          <w:sz w:val="20"/>
          <w:szCs w:val="20"/>
          <w:color w:val="auto"/>
        </w:rPr>
      </w:pPr>
    </w:p>
    <w:p>
      <w:pPr>
        <w:ind w:right="50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Our results of operations and financial condition could be adversely affected by the adverse economic changes, political, social and geopolitical developments, financial changes, and the impact of climate change.</w:t>
      </w:r>
    </w:p>
    <w:p>
      <w:pPr>
        <w:spacing w:after="0" w:line="128" w:lineRule="exact"/>
        <w:rPr>
          <w:sz w:val="20"/>
          <w:szCs w:val="20"/>
          <w:color w:val="auto"/>
        </w:rPr>
      </w:pPr>
    </w:p>
    <w:p>
      <w:pPr>
        <w:jc w:val="both"/>
        <w:ind w:right="80"/>
        <w:spacing w:after="0" w:line="258" w:lineRule="auto"/>
        <w:rPr>
          <w:sz w:val="20"/>
          <w:szCs w:val="20"/>
          <w:color w:val="auto"/>
        </w:rPr>
      </w:pPr>
      <w:r>
        <w:rPr>
          <w:rFonts w:ascii="Times New Roman" w:cs="Times New Roman" w:eastAsia="Times New Roman" w:hAnsi="Times New Roman"/>
          <w:sz w:val="20"/>
          <w:szCs w:val="20"/>
          <w:color w:val="auto"/>
        </w:rPr>
        <w:t>Political, social and geopolitical conditions in the markets in which our products are sold have been and could continue to be difficult to predict, resulting in adverse effects on our business. Global conflicts, potential global conflicts, as well as current global geopolitical situations, may affect regional stability and economic growth throughout the world.</w:t>
      </w:r>
    </w:p>
    <w:p>
      <w:pPr>
        <w:spacing w:after="0" w:line="147" w:lineRule="exact"/>
        <w:rPr>
          <w:sz w:val="20"/>
          <w:szCs w:val="20"/>
          <w:color w:val="auto"/>
        </w:rPr>
      </w:pPr>
    </w:p>
    <w:p>
      <w:pPr>
        <w:ind w:right="220"/>
        <w:spacing w:after="0" w:line="248" w:lineRule="auto"/>
        <w:rPr>
          <w:sz w:val="20"/>
          <w:szCs w:val="20"/>
          <w:color w:val="auto"/>
        </w:rPr>
      </w:pPr>
      <w:r>
        <w:rPr>
          <w:rFonts w:ascii="Times New Roman" w:cs="Times New Roman" w:eastAsia="Times New Roman" w:hAnsi="Times New Roman"/>
          <w:sz w:val="20"/>
          <w:szCs w:val="20"/>
          <w:color w:val="auto"/>
        </w:rPr>
        <w:t>It is difficult to predict the consequences and outcomes of global conflicts, and potential global conflicts, which will depend on developments outside of our control, including, but not limited to the duration and severity of the conflicts, and the consequences of the ongoing and additional financial and economic sanctions imposed by governments in response. As the situation is evolving, and additional sanctions may be implemented, such new restrictions could adversely affect the global economy, prices and energy supply, financial markets, supply chains, and could adversely affect our business, financial condition, and results of operations.</w:t>
      </w:r>
    </w:p>
    <w:p>
      <w:pPr>
        <w:spacing w:after="0" w:line="156"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auto"/>
        </w:rPr>
        <w:t>As we evaluated the impact of the consequences related to the conflict between Russia and Ukraine on our business, in 2022, we decided to definitively close our representative office in Moscow to avoid further difficulties in maintaining a direct administrative and operational activity in Russia. Net sales in Russia are not significant as they represented approximately 1.0% in 2024 and 0.5% in 2025 of our consolidated revenues. Our sales in Russia are historically subject to significant variation and long purchase order periods. We have an established exclusive distribution agreement with a business partner with significant experience in marketing and distributing medical equipment in Russia. This partnership will allow us to continue offering a HIFU solution to Russian patients and to maintain our existing installed base in Russia. To date, we have not experienced material disruptions that have impacted our consolidated financial results as a result of these developments.</w:t>
      </w:r>
    </w:p>
    <w:p>
      <w:pPr>
        <w:spacing w:after="0" w:line="164"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20"/>
          <w:szCs w:val="20"/>
          <w:color w:val="auto"/>
        </w:rPr>
        <w:t>In addition, changes to applicable laws and regulations that have been announced, proposed, and/or adopted, or could be made or expanded in the future, may result in new or expanded trade restrictions by the United States and/or other countries, including, but not limited to, tariffs or import taxes being applied to imported goods and services that could affect our operations and exports into the United States. Other countries may implement trade restrictions and/or retaliatory measures as well.</w:t>
      </w:r>
    </w:p>
    <w:p>
      <w:pPr>
        <w:spacing w:after="0" w:line="154"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20"/>
          <w:szCs w:val="20"/>
          <w:color w:val="auto"/>
        </w:rPr>
        <w:t>Moreover, uncertain global climate change may result in certain types of more intense and more frequent natural disasters including, but not limited to hurricanes, wildfires or flooding or sustained periods of extreme weather. Such extreme disasters could imply risks to our facilities and disrupt our supply chain or our final customers’ sites and may cause us to incur additional operational costs. Such intense events may also trigger internet security threats or damage to global communication networks that would harm our global operations and our customers’ operations. Climate change may also result in new regulatory or legal obligations to address the effects of climate change on the environment or the effect of our operations and those of other companies on the environment. Such new obligations could cause increased</w:t>
      </w:r>
    </w:p>
    <w:p>
      <w:pPr>
        <w:sectPr>
          <w:pgSz w:w="12240" w:h="15840" w:orient="portrait"/>
          <w:cols w:equalWidth="0" w:num="1">
            <w:col w:w="9660"/>
          </w:cols>
          <w:pgMar w:left="1260" w:top="1248" w:right="1320" w:bottom="72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39</w:t>
      </w:r>
    </w:p>
    <w:p>
      <w:pPr>
        <w:sectPr>
          <w:pgSz w:w="12240" w:h="15840" w:orient="portrait"/>
          <w:cols w:equalWidth="0" w:num="1">
            <w:col w:w="9660"/>
          </w:cols>
          <w:pgMar w:left="1260" w:top="1248" w:right="1320" w:bottom="723" w:gutter="0" w:footer="0" w:header="0"/>
          <w:type w:val="continuous"/>
        </w:sectPr>
      </w:pPr>
    </w:p>
    <w:bookmarkStart w:id="42" w:name="page43"/>
    <w:bookmarkEnd w:id="42"/>
    <w:p>
      <w:pPr>
        <w:ind w:right="280"/>
        <w:spacing w:after="0" w:line="259"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795655</wp:posOffset>
            </wp:positionH>
            <wp:positionV relativeFrom="page">
              <wp:posOffset>292735</wp:posOffset>
            </wp:positionV>
            <wp:extent cx="929005" cy="1149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1">
                      <a:extLst>
                        <a:ext uri="{28A0092B-C50C-407E-A947-70E740481C1C}"/>
                      </a:extLst>
                    </a:blip>
                    <a:srcRect/>
                    <a:stretch>
                      <a:fillRect/>
                    </a:stretch>
                  </pic:blipFill>
                  <pic:spPr bwMode="auto">
                    <a:xfrm>
                      <a:off x="0" y="0"/>
                      <a:ext cx="929005" cy="114935"/>
                    </a:xfrm>
                    <a:prstGeom prst="rect">
                      <a:avLst/>
                    </a:prstGeom>
                    <a:noFill/>
                  </pic:spPr>
                </pic:pic>
              </a:graphicData>
            </a:graphic>
          </wp:anchor>
        </w:drawing>
        <w:t>compliance costs to meet any new regulatory or legal requirements and may adversely affect sourcing, manufacturing operations (such as eco-design), and the distribution of our products. Such natural disasters could have a material adverse impact on our business, financial condition, results of operations, or cash flows.</w:t>
      </w:r>
    </w:p>
    <w:p>
      <w:pPr>
        <w:spacing w:after="0" w:line="148" w:lineRule="exact"/>
        <w:rPr>
          <w:sz w:val="20"/>
          <w:szCs w:val="20"/>
          <w:color w:val="auto"/>
        </w:rPr>
      </w:pPr>
    </w:p>
    <w:p>
      <w:pPr>
        <w:ind w:right="42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Global potential inflation may have a material adverse effect on our business, results of operations and financial condition.</w:t>
      </w:r>
    </w:p>
    <w:p>
      <w:pPr>
        <w:spacing w:after="0" w:line="128"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20"/>
          <w:szCs w:val="20"/>
          <w:color w:val="auto"/>
        </w:rPr>
        <w:t>Current geopolitical instability including global conflicts, potential global conflicts, their related sanctions, and other factors including, but not limited to, global supply chain constraints, key components sourcing issues, increase in prices and disruptions of energy supply, and labor shortages, have led to higher worldwide inflation, which is likely, in turn, to lead to an increase in costs and may cause additional changes in tax and governmental policies. We may be unable to raise the prices of our devices and services in a higher inflationary environment and keep up with the rate of inflation. Such inflationary pressures may materially impact our business. We may not be able to adjust pricing, reduce our costs or implement counter measures quickly enough to offset cost increases. Our customers (i.e., hospitals and clinics) are also experiencing financial and operational pressures directly related to this inflationary environment, which may impact their ability or willingness to spend on capital equipment and this may have an adverse impact on our business, financial condition, results of operations, or cash flows.</w:t>
      </w:r>
    </w:p>
    <w:p>
      <w:pPr>
        <w:spacing w:after="0" w:line="163" w:lineRule="exact"/>
        <w:rPr>
          <w:sz w:val="20"/>
          <w:szCs w:val="20"/>
          <w:color w:val="auto"/>
        </w:rPr>
      </w:pPr>
    </w:p>
    <w:p>
      <w:pPr>
        <w:ind w:right="50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may issue additional securities that may be dilutive to our existing shareholders, in view of funding our new developments and accelerating our business expansion.</w:t>
      </w:r>
    </w:p>
    <w:p>
      <w:pPr>
        <w:spacing w:after="0" w:line="128"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20"/>
          <w:szCs w:val="20"/>
          <w:color w:val="auto"/>
        </w:rPr>
        <w:t>Our operations have consumed substantial amounts of cash since inception. We expect to use our cash resources to develop and further commercialize our products, develop new products, and for working capital and general corporate purposes. We may require additional capital to further develop and commercialize our products and to develop new products. In addition, our operating plans may change because of many factors that may currently be unknown to us, and we may need to seek additional funds sooner than planned.</w:t>
      </w:r>
    </w:p>
    <w:p>
      <w:pPr>
        <w:spacing w:after="0" w:line="154"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20"/>
          <w:szCs w:val="20"/>
          <w:color w:val="auto"/>
        </w:rPr>
        <w:t>On June 27, 2025, our shareholders renewed and extended resolutions allowing the Board of Directors to issue new shares in an aggregate maximum amount of 20 million shares in order to meet any fundraising opportunities that may be necessary to finance our further developments and to address any potential strategic opportunities for our long-term growth. As of December 31, 2025, no shares have been issued related to this resolution.</w:t>
      </w:r>
    </w:p>
    <w:p>
      <w:pPr>
        <w:spacing w:after="0" w:line="153" w:lineRule="exact"/>
        <w:rPr>
          <w:sz w:val="20"/>
          <w:szCs w:val="20"/>
          <w:color w:val="auto"/>
        </w:rPr>
      </w:pPr>
    </w:p>
    <w:p>
      <w:pPr>
        <w:ind w:right="100"/>
        <w:spacing w:after="0" w:line="245" w:lineRule="auto"/>
        <w:rPr>
          <w:sz w:val="20"/>
          <w:szCs w:val="20"/>
          <w:color w:val="auto"/>
        </w:rPr>
      </w:pPr>
      <w:r>
        <w:rPr>
          <w:rFonts w:ascii="Times New Roman" w:cs="Times New Roman" w:eastAsia="Times New Roman" w:hAnsi="Times New Roman"/>
          <w:sz w:val="20"/>
          <w:szCs w:val="20"/>
          <w:color w:val="auto"/>
        </w:rPr>
        <w:t>We cannot guarantee that future financing will be available in sufficient amounts or on terms acceptable to us, if at all. The issuance of additional ordinary shares, including any additional ordinary shares issuable pursuant to the exercise of preferential subscription rights that may not be available to all of our shareholders, would reduce the proportionate ownership and voting power of the then-existing shareholders. Moreover, the availability of additional capital, whether debt or equity from private capital sources (including banks) or the public capital markets, fluctuates as our financial condition and industry or market conditions change generally. There may be times when the private capital markets and the public debt or equity markets lack sufficient liquidity or when our securities cannot be sold at attractive prices, in which case we would not be able to access capital from these sources on favorable terms, if at all. We can give no assurance as to the terms or availability of additional capital.</w:t>
      </w:r>
    </w:p>
    <w:p>
      <w:pPr>
        <w:spacing w:after="0" w:line="158"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20"/>
          <w:szCs w:val="20"/>
          <w:color w:val="auto"/>
        </w:rPr>
        <w:t>On October 17, 2025, we requested the Tranche A borrowings under the Credit Facility and issued 2,624,421 Tranche A Warrants to EIB. Each Tranche A Warrant entitles EIB, upon exercise, to subscribe for one ordinary share. In addition, we intend to request disbursement of Tranche B borrowings under the Credit Facility, prior to which we will issue Tranche B Warrants to EIB.</w:t>
      </w:r>
    </w:p>
    <w:p>
      <w:pPr>
        <w:spacing w:after="0" w:line="151"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color w:val="auto"/>
        </w:rPr>
        <w:t>On June 27, 2025, our shareholders also adopted resolutions allowing the Board of Directors to issue 2,000,000 new shares under the form of subscription options and 600,000 free shares (equivalent to Restricted Stock Units “RSUs”) to motivate and reward the teams dedicated to successfully implementing our worldwide activities. These new resolutions superseded previous resolutions. Based on June 27, 2025, resolutions, a total of 106,000 subscription options were granted to certain employees in late 2025 and 493,000 subscription options were granted in the first half of 2025 based on previous resolutions, under certain conditions. As of December 31, 2025, we had 4,889,380 subscription options outstanding. No free shares were granted to employees in 2025 under June 28, 2024, resolutions. Under French law, only our employees with an employment contract and corporate officers, such as the Chief Executive Officer and the</w:t>
      </w:r>
    </w:p>
    <w:p>
      <w:pPr>
        <w:sectPr>
          <w:pgSz w:w="12240" w:h="15840" w:orient="portrait"/>
          <w:cols w:equalWidth="0" w:num="1">
            <w:col w:w="9700"/>
          </w:cols>
          <w:pgMar w:left="1260" w:top="1247" w:right="1280" w:bottom="72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40</w:t>
      </w:r>
    </w:p>
    <w:p>
      <w:pPr>
        <w:sectPr>
          <w:pgSz w:w="12240" w:h="15840" w:orient="portrait"/>
          <w:cols w:equalWidth="0" w:num="1">
            <w:col w:w="9700"/>
          </w:cols>
          <w:pgMar w:left="1260" w:top="1247" w:right="1280" w:bottom="723" w:gutter="0" w:footer="0" w:header="0"/>
          <w:type w:val="continuous"/>
        </w:sectPr>
      </w:pPr>
    </w:p>
    <w:bookmarkStart w:id="43" w:name="page44"/>
    <w:bookmarkEnd w:id="43"/>
    <w:p>
      <w:pPr>
        <w:ind w:right="280"/>
        <w:spacing w:after="0" w:line="279"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795655</wp:posOffset>
            </wp:positionH>
            <wp:positionV relativeFrom="page">
              <wp:posOffset>292735</wp:posOffset>
            </wp:positionV>
            <wp:extent cx="929005" cy="1149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2">
                      <a:extLst>
                        <a:ext uri="{28A0092B-C50C-407E-A947-70E740481C1C}"/>
                      </a:extLst>
                    </a:blip>
                    <a:srcRect/>
                    <a:stretch>
                      <a:fillRect/>
                    </a:stretch>
                  </pic:blipFill>
                  <pic:spPr bwMode="auto">
                    <a:xfrm>
                      <a:off x="0" y="0"/>
                      <a:ext cx="929005" cy="114935"/>
                    </a:xfrm>
                    <a:prstGeom prst="rect">
                      <a:avLst/>
                    </a:prstGeom>
                    <a:noFill/>
                  </pic:spPr>
                </pic:pic>
              </a:graphicData>
            </a:graphic>
          </wp:anchor>
        </w:drawing>
        <w:t xml:space="preserve">Chairman of the Board of Directors ( </w:t>
      </w:r>
      <w:r>
        <w:rPr>
          <w:rFonts w:ascii="Times New Roman" w:cs="Times New Roman" w:eastAsia="Times New Roman" w:hAnsi="Times New Roman"/>
          <w:sz w:val="20"/>
          <w:szCs w:val="20"/>
          <w:i w:val="1"/>
          <w:iCs w:val="1"/>
          <w:color w:val="auto"/>
        </w:rPr>
        <w:t>mandataires sociaux</w:t>
      </w:r>
      <w:r>
        <w:rPr>
          <w:rFonts w:ascii="Times New Roman" w:cs="Times New Roman" w:eastAsia="Times New Roman" w:hAnsi="Times New Roman"/>
          <w:sz w:val="20"/>
          <w:szCs w:val="20"/>
          <w:color w:val="auto"/>
        </w:rPr>
        <w:t>) may receive free shares or stock-options. Non-executive directors may not receive free shares nor stock-options.</w:t>
      </w:r>
    </w:p>
    <w:p>
      <w:pPr>
        <w:spacing w:after="0" w:line="127" w:lineRule="exact"/>
        <w:rPr>
          <w:sz w:val="20"/>
          <w:szCs w:val="20"/>
          <w:color w:val="auto"/>
        </w:rPr>
      </w:pPr>
    </w:p>
    <w:p>
      <w:pPr>
        <w:ind w:right="52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may in the future be the target of securities class action or other litigation, which could be costly and time consuming to defend.</w:t>
      </w:r>
    </w:p>
    <w:p>
      <w:pPr>
        <w:spacing w:after="0" w:line="128"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20"/>
          <w:szCs w:val="20"/>
          <w:color w:val="auto"/>
        </w:rPr>
        <w:t>In the past, securities class action litigation has often been brought against companies following a decline in the market price of their securities. This risk is especially relevant for us because innovative life sciences and medical device companies have experienced significant stock price volatility in recent years.</w:t>
      </w:r>
    </w:p>
    <w:p>
      <w:pPr>
        <w:spacing w:after="0" w:line="146" w:lineRule="exact"/>
        <w:rPr>
          <w:sz w:val="20"/>
          <w:szCs w:val="20"/>
          <w:color w:val="auto"/>
        </w:rPr>
      </w:pPr>
    </w:p>
    <w:p>
      <w:pPr>
        <w:ind w:right="40"/>
        <w:spacing w:after="0" w:line="279" w:lineRule="auto"/>
        <w:rPr>
          <w:sz w:val="20"/>
          <w:szCs w:val="20"/>
          <w:color w:val="auto"/>
        </w:rPr>
      </w:pPr>
      <w:r>
        <w:rPr>
          <w:rFonts w:ascii="Times New Roman" w:cs="Times New Roman" w:eastAsia="Times New Roman" w:hAnsi="Times New Roman"/>
          <w:sz w:val="20"/>
          <w:szCs w:val="20"/>
          <w:color w:val="auto"/>
        </w:rPr>
        <w:t>Any litigation, if instituted, could cause us to incur substantial costs and our management resources may be diverted to defending such litigation, which could adversely affect our financial condition or results of operations.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1B. Unresolved Staff Comments.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ectPr>
          <w:pgSz w:w="12240" w:h="15840" w:orient="portrait"/>
          <w:cols w:equalWidth="0" w:num="1">
            <w:col w:w="9540"/>
          </w:cols>
          <w:pgMar w:left="1260" w:top="1247" w:right="1440" w:bottom="72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0"/>
          <w:szCs w:val="20"/>
          <w:color w:val="auto"/>
        </w:rPr>
        <w:t>41</w:t>
      </w:r>
    </w:p>
    <w:p>
      <w:pPr>
        <w:sectPr>
          <w:pgSz w:w="12240" w:h="15840" w:orient="portrait"/>
          <w:cols w:equalWidth="0" w:num="1">
            <w:col w:w="9540"/>
          </w:cols>
          <w:pgMar w:left="1260" w:top="1247" w:right="1440" w:bottom="723"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795655</wp:posOffset>
            </wp:positionH>
            <wp:positionV relativeFrom="page">
              <wp:posOffset>292735</wp:posOffset>
            </wp:positionV>
            <wp:extent cx="929005" cy="1149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3">
                      <a:extLst>
                        <a:ext uri="{28A0092B-C50C-407E-A947-70E740481C1C}"/>
                      </a:extLst>
                    </a:blip>
                    <a:srcRect/>
                    <a:stretch>
                      <a:fillRect/>
                    </a:stretch>
                  </pic:blipFill>
                  <pic:spPr bwMode="auto">
                    <a:xfrm>
                      <a:off x="0" y="0"/>
                      <a:ext cx="929005" cy="114935"/>
                    </a:xfrm>
                    <a:prstGeom prst="rect">
                      <a:avLst/>
                    </a:prstGeom>
                    <a:noFill/>
                  </pic:spPr>
                </pic:pic>
              </a:graphicData>
            </a:graphic>
          </wp:anchor>
        </w:drawing>
        <w:t>Item 1C. Cybersecurity.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 Management and Strategy</w:t>
      </w:r>
    </w:p>
    <w:p>
      <w:pPr>
        <w:spacing w:after="0" w:line="20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We have developed and implemented a cybersecurity risk management program designed to safeguard sensitive information, protect our information systems, and ensure the integrity and continuity of our operations. Our cybersecurity program is integrated into our overall enterprise risk management processes and includes governance, risk assessment, mitigation, detection, response, and recovery procedures that are designed to be commensurate with the size and complexity of our operations.</w:t>
      </w:r>
    </w:p>
    <w:p>
      <w:pPr>
        <w:spacing w:after="0" w:line="15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Our cybersecurity risk management framework addresses risks relating to network security, data protection, encryption, access controls, system monitoring, and other technical and organizational measures intended to protect our systems and data from unauthorized access, disruption, or misuse. We also implement information security measures designed to meet contractual and regulatory requirements applicable to our business and, where applicable, the information security standards required by certain customers.</w:t>
      </w:r>
    </w:p>
    <w:p>
      <w:pPr>
        <w:spacing w:after="0" w:line="15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To protect our systems and information from cybersecurity threats, we use a combination of internal resources and external service providers, as well as commercially available security tools and technologies generally utilized by companies of our size and industry.</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cybersecurity risk management processes include, among other things:</w:t>
      </w:r>
    </w:p>
    <w:p>
      <w:pPr>
        <w:spacing w:after="0" w:line="214" w:lineRule="exact"/>
        <w:rPr>
          <w:sz w:val="20"/>
          <w:szCs w:val="20"/>
          <w:color w:val="auto"/>
        </w:rPr>
      </w:pPr>
    </w:p>
    <w:p>
      <w:pPr>
        <w:ind w:left="720" w:right="300" w:hanging="353"/>
        <w:spacing w:after="0" w:line="247" w:lineRule="auto"/>
        <w:tabs>
          <w:tab w:leader="none" w:pos="720" w:val="left"/>
        </w:tabs>
        <w:numPr>
          <w:ilvl w:val="0"/>
          <w:numId w:val="31"/>
        </w:numPr>
        <w:rPr>
          <w:rFonts w:ascii="Arial" w:cs="Arial" w:eastAsia="Arial" w:hAnsi="Arial"/>
          <w:sz w:val="20"/>
          <w:szCs w:val="20"/>
          <w:color w:val="auto"/>
        </w:rPr>
      </w:pPr>
      <w:r>
        <w:rPr>
          <w:rFonts w:ascii="Times New Roman" w:cs="Times New Roman" w:eastAsia="Times New Roman" w:hAnsi="Times New Roman"/>
          <w:sz w:val="20"/>
          <w:szCs w:val="20"/>
          <w:color w:val="auto"/>
        </w:rPr>
        <w:t>an incident response plan designed to detect, contain, mitigate, and remediate cybersecurity incidents, and to escalate material matters to senior management and the Board of Directors, as appropriate;</w:t>
      </w:r>
    </w:p>
    <w:p>
      <w:pPr>
        <w:spacing w:after="0" w:line="1" w:lineRule="exact"/>
        <w:rPr>
          <w:rFonts w:ascii="Arial" w:cs="Arial" w:eastAsia="Arial" w:hAnsi="Arial"/>
          <w:sz w:val="20"/>
          <w:szCs w:val="20"/>
          <w:color w:val="auto"/>
        </w:rPr>
      </w:pPr>
    </w:p>
    <w:p>
      <w:pPr>
        <w:ind w:left="720" w:hanging="353"/>
        <w:spacing w:after="0"/>
        <w:tabs>
          <w:tab w:leader="none" w:pos="720" w:val="left"/>
        </w:tabs>
        <w:numPr>
          <w:ilvl w:val="0"/>
          <w:numId w:val="31"/>
        </w:numPr>
        <w:rPr>
          <w:rFonts w:ascii="Arial" w:cs="Arial" w:eastAsia="Arial" w:hAnsi="Arial"/>
          <w:sz w:val="20"/>
          <w:szCs w:val="20"/>
          <w:color w:val="auto"/>
        </w:rPr>
      </w:pPr>
      <w:r>
        <w:rPr>
          <w:rFonts w:ascii="Times New Roman" w:cs="Times New Roman" w:eastAsia="Times New Roman" w:hAnsi="Times New Roman"/>
          <w:sz w:val="20"/>
          <w:szCs w:val="20"/>
          <w:color w:val="auto"/>
        </w:rPr>
        <w:t>periodic cybersecurity risk assessments, including vulnerability assessments and penetration testing;</w:t>
      </w:r>
    </w:p>
    <w:p>
      <w:pPr>
        <w:spacing w:after="0" w:line="11" w:lineRule="exact"/>
        <w:rPr>
          <w:rFonts w:ascii="Arial" w:cs="Arial" w:eastAsia="Arial" w:hAnsi="Arial"/>
          <w:sz w:val="20"/>
          <w:szCs w:val="20"/>
          <w:color w:val="auto"/>
        </w:rPr>
      </w:pPr>
    </w:p>
    <w:p>
      <w:pPr>
        <w:ind w:left="720" w:right="440" w:hanging="353"/>
        <w:spacing w:after="0" w:line="247" w:lineRule="auto"/>
        <w:tabs>
          <w:tab w:leader="none" w:pos="720" w:val="left"/>
        </w:tabs>
        <w:numPr>
          <w:ilvl w:val="0"/>
          <w:numId w:val="31"/>
        </w:numPr>
        <w:rPr>
          <w:rFonts w:ascii="Arial" w:cs="Arial" w:eastAsia="Arial" w:hAnsi="Arial"/>
          <w:sz w:val="20"/>
          <w:szCs w:val="20"/>
          <w:color w:val="auto"/>
        </w:rPr>
      </w:pPr>
      <w:r>
        <w:rPr>
          <w:rFonts w:ascii="Times New Roman" w:cs="Times New Roman" w:eastAsia="Times New Roman" w:hAnsi="Times New Roman"/>
          <w:sz w:val="20"/>
          <w:szCs w:val="20"/>
          <w:color w:val="auto"/>
        </w:rPr>
        <w:t>risk management criteria tailored to identified cybersecurity risks, incorporating lessons learned from prior incidents and evolving threat intelligence;</w:t>
      </w:r>
    </w:p>
    <w:p>
      <w:pPr>
        <w:spacing w:after="0" w:line="1" w:lineRule="exact"/>
        <w:rPr>
          <w:rFonts w:ascii="Arial" w:cs="Arial" w:eastAsia="Arial" w:hAnsi="Arial"/>
          <w:sz w:val="20"/>
          <w:szCs w:val="20"/>
          <w:color w:val="auto"/>
        </w:rPr>
      </w:pPr>
    </w:p>
    <w:p>
      <w:pPr>
        <w:ind w:left="720" w:hanging="353"/>
        <w:spacing w:after="0"/>
        <w:tabs>
          <w:tab w:leader="none" w:pos="720" w:val="left"/>
        </w:tabs>
        <w:numPr>
          <w:ilvl w:val="0"/>
          <w:numId w:val="31"/>
        </w:numPr>
        <w:rPr>
          <w:rFonts w:ascii="Arial" w:cs="Arial" w:eastAsia="Arial" w:hAnsi="Arial"/>
          <w:sz w:val="20"/>
          <w:szCs w:val="20"/>
          <w:color w:val="auto"/>
        </w:rPr>
      </w:pPr>
      <w:r>
        <w:rPr>
          <w:rFonts w:ascii="Times New Roman" w:cs="Times New Roman" w:eastAsia="Times New Roman" w:hAnsi="Times New Roman"/>
          <w:sz w:val="20"/>
          <w:szCs w:val="20"/>
          <w:color w:val="auto"/>
        </w:rPr>
        <w:t>ongoing monitoring, evaluation, and upgrading of information technology systems and security controls;</w:t>
      </w:r>
    </w:p>
    <w:p>
      <w:pPr>
        <w:spacing w:after="0" w:line="13" w:lineRule="exact"/>
        <w:rPr>
          <w:rFonts w:ascii="Arial" w:cs="Arial" w:eastAsia="Arial" w:hAnsi="Arial"/>
          <w:sz w:val="20"/>
          <w:szCs w:val="20"/>
          <w:color w:val="auto"/>
        </w:rPr>
      </w:pPr>
    </w:p>
    <w:p>
      <w:pPr>
        <w:ind w:left="720" w:right="200" w:hanging="353"/>
        <w:spacing w:after="0" w:line="246" w:lineRule="auto"/>
        <w:tabs>
          <w:tab w:leader="none" w:pos="720" w:val="left"/>
        </w:tabs>
        <w:numPr>
          <w:ilvl w:val="0"/>
          <w:numId w:val="31"/>
        </w:numPr>
        <w:rPr>
          <w:rFonts w:ascii="Arial" w:cs="Arial" w:eastAsia="Arial" w:hAnsi="Arial"/>
          <w:sz w:val="20"/>
          <w:szCs w:val="20"/>
          <w:color w:val="auto"/>
        </w:rPr>
      </w:pPr>
      <w:r>
        <w:rPr>
          <w:rFonts w:ascii="Times New Roman" w:cs="Times New Roman" w:eastAsia="Times New Roman" w:hAnsi="Times New Roman"/>
          <w:sz w:val="20"/>
          <w:szCs w:val="20"/>
          <w:color w:val="auto"/>
        </w:rPr>
        <w:t>business continuity and disaster recovery processes designed to support continued operations in the event of a cybersecurity incident;</w:t>
      </w:r>
    </w:p>
    <w:p>
      <w:pPr>
        <w:ind w:left="720" w:right="420" w:hanging="353"/>
        <w:spacing w:after="0" w:line="247" w:lineRule="auto"/>
        <w:tabs>
          <w:tab w:leader="none" w:pos="720" w:val="left"/>
        </w:tabs>
        <w:numPr>
          <w:ilvl w:val="0"/>
          <w:numId w:val="31"/>
        </w:numPr>
        <w:rPr>
          <w:rFonts w:ascii="Arial" w:cs="Arial" w:eastAsia="Arial" w:hAnsi="Arial"/>
          <w:sz w:val="20"/>
          <w:szCs w:val="20"/>
          <w:color w:val="auto"/>
        </w:rPr>
      </w:pPr>
      <w:r>
        <w:rPr>
          <w:rFonts w:ascii="Times New Roman" w:cs="Times New Roman" w:eastAsia="Times New Roman" w:hAnsi="Times New Roman"/>
          <w:sz w:val="20"/>
          <w:szCs w:val="20"/>
          <w:color w:val="auto"/>
        </w:rPr>
        <w:t>engagement of independent third-party firms to conduct periodic assessments of our cybersecurity policies, procedures, and controls;</w:t>
      </w:r>
    </w:p>
    <w:p>
      <w:pPr>
        <w:spacing w:after="0" w:line="1" w:lineRule="exact"/>
        <w:rPr>
          <w:rFonts w:ascii="Arial" w:cs="Arial" w:eastAsia="Arial" w:hAnsi="Arial"/>
          <w:sz w:val="20"/>
          <w:szCs w:val="20"/>
          <w:color w:val="auto"/>
        </w:rPr>
      </w:pPr>
    </w:p>
    <w:p>
      <w:pPr>
        <w:ind w:left="720" w:right="140" w:hanging="353"/>
        <w:spacing w:after="0" w:line="247" w:lineRule="auto"/>
        <w:tabs>
          <w:tab w:leader="none" w:pos="720" w:val="left"/>
        </w:tabs>
        <w:numPr>
          <w:ilvl w:val="0"/>
          <w:numId w:val="31"/>
        </w:numPr>
        <w:rPr>
          <w:rFonts w:ascii="Arial" w:cs="Arial" w:eastAsia="Arial" w:hAnsi="Arial"/>
          <w:sz w:val="20"/>
          <w:szCs w:val="20"/>
          <w:color w:val="auto"/>
        </w:rPr>
      </w:pPr>
      <w:r>
        <w:rPr>
          <w:rFonts w:ascii="Times New Roman" w:cs="Times New Roman" w:eastAsia="Times New Roman" w:hAnsi="Times New Roman"/>
          <w:sz w:val="20"/>
          <w:szCs w:val="20"/>
          <w:color w:val="auto"/>
        </w:rPr>
        <w:t>oversight of third-party service providers with access to our information systems or data, including contractual security requirements and monitoring practices; and</w:t>
      </w:r>
    </w:p>
    <w:p>
      <w:pPr>
        <w:spacing w:after="0" w:line="1" w:lineRule="exact"/>
        <w:rPr>
          <w:rFonts w:ascii="Arial" w:cs="Arial" w:eastAsia="Arial" w:hAnsi="Arial"/>
          <w:sz w:val="20"/>
          <w:szCs w:val="20"/>
          <w:color w:val="auto"/>
        </w:rPr>
      </w:pPr>
    </w:p>
    <w:p>
      <w:pPr>
        <w:ind w:left="720" w:right="60" w:hanging="353"/>
        <w:spacing w:after="0" w:line="278" w:lineRule="auto"/>
        <w:tabs>
          <w:tab w:leader="none" w:pos="720" w:val="left"/>
        </w:tabs>
        <w:numPr>
          <w:ilvl w:val="0"/>
          <w:numId w:val="31"/>
        </w:numPr>
        <w:rPr>
          <w:rFonts w:ascii="Arial" w:cs="Arial" w:eastAsia="Arial" w:hAnsi="Arial"/>
          <w:sz w:val="20"/>
          <w:szCs w:val="20"/>
          <w:color w:val="auto"/>
        </w:rPr>
      </w:pPr>
      <w:r>
        <w:rPr>
          <w:rFonts w:ascii="Times New Roman" w:cs="Times New Roman" w:eastAsia="Times New Roman" w:hAnsi="Times New Roman"/>
          <w:sz w:val="20"/>
          <w:szCs w:val="20"/>
          <w:color w:val="auto"/>
        </w:rPr>
        <w:t>periodic cybersecurity awareness training for employees and targeted training for personnel with cybersecurity-related responsibilities, as well as for members of senior management.</w:t>
      </w:r>
    </w:p>
    <w:p>
      <w:pPr>
        <w:spacing w:after="0" w:line="12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We evaluate the materiality of cybersecurity incidents in accordance with applicable securities law standards, taking into account quantitative and qualitative factors, including the potential impact on our business operations, financial condition, results of operations, reputation, and relationships with customers and other stakeholders.</w:t>
      </w:r>
    </w:p>
    <w:p>
      <w:pPr>
        <w:spacing w:after="0" w:line="144"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20"/>
          <w:szCs w:val="20"/>
          <w:color w:val="auto"/>
        </w:rPr>
        <w:t>As of the date of this Annual Report, we have not identified any risks from known cybersecurity threats, including as a result of any prior cybersecurity incidents, that have materially affected, or are reasonably likely to materially affect, the Company, including our business strategy, results of operations, or financial condition. However, cybersecurity threats continue to evolve, and future incidents could materially adversely affect us.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Governance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Board Oversight</w:t>
      </w:r>
    </w:p>
    <w:p>
      <w:pPr>
        <w:spacing w:after="0" w:line="19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Our Board of Directors oversees cybersecurity risk as part of its overall risk oversight responsibilities and has delegated primary responsibility for oversight of our cybersecurity risk management program to the Audit Committee. The Audit Committee receives periodic updates regarding our cybersecurity risk profile, significant threat developments, control enhancements, and any significant cybersecurity incidents.</w:t>
      </w:r>
    </w:p>
    <w:p>
      <w:pPr>
        <w:sectPr>
          <w:pgSz w:w="12240" w:h="15840" w:orient="portrait"/>
          <w:cols w:equalWidth="0" w:num="1">
            <w:col w:w="9720"/>
          </w:cols>
          <w:pgMar w:left="1260" w:top="1243" w:right="1260" w:bottom="72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42</w:t>
      </w:r>
    </w:p>
    <w:p>
      <w:pPr>
        <w:sectPr>
          <w:pgSz w:w="12240" w:h="15840" w:orient="portrait"/>
          <w:cols w:equalWidth="0" w:num="1">
            <w:col w:w="9720"/>
          </w:cols>
          <w:pgMar w:left="1260" w:top="1243" w:right="1260" w:bottom="723" w:gutter="0" w:footer="0" w:header="0"/>
          <w:type w:val="continuous"/>
        </w:sectPr>
      </w:pPr>
    </w:p>
    <w:bookmarkStart w:id="45" w:name="page46"/>
    <w:bookmarkEnd w:id="45"/>
    <w:p>
      <w:pPr>
        <w:jc w:val="both"/>
        <w:spacing w:after="0" w:line="279"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795655</wp:posOffset>
            </wp:positionH>
            <wp:positionV relativeFrom="page">
              <wp:posOffset>292735</wp:posOffset>
            </wp:positionV>
            <wp:extent cx="929005" cy="1149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54">
                      <a:extLst>
                        <a:ext uri="{28A0092B-C50C-407E-A947-70E740481C1C}"/>
                      </a:extLst>
                    </a:blip>
                    <a:srcRect/>
                    <a:stretch>
                      <a:fillRect/>
                    </a:stretch>
                  </pic:blipFill>
                  <pic:spPr bwMode="auto">
                    <a:xfrm>
                      <a:off x="0" y="0"/>
                      <a:ext cx="929005" cy="114935"/>
                    </a:xfrm>
                    <a:prstGeom prst="rect">
                      <a:avLst/>
                    </a:prstGeom>
                    <a:noFill/>
                  </pic:spPr>
                </pic:pic>
              </a:graphicData>
            </a:graphic>
          </wp:anchor>
        </w:drawing>
        <w:t>The Chair of the Audit Committee reports to the full Board of Directors regarding cybersecurity matters, including any significant incidents and related remediation efforts.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Management’s Role and Expertise</w:t>
      </w:r>
    </w:p>
    <w:p>
      <w:pPr>
        <w:spacing w:after="0" w:line="19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Management is responsible for assessing and managing material risks from cybersecurity threats. Oversight of our cybersecurity risk management program is led by our Vice President of Information Technology, who is responsible for the implementation and operation of our cybersecurity controls and reports regularly to senior management, including our Chief Executive Officer, Chief Financial Officer, and General Counsel. Our Vice President of Information Technology brings over 20 years of experience in information technology leadership, with expertise spanning enterprise systems, cybersecurity controls, data analytics, and IT infrastructure development.</w:t>
      </w:r>
    </w:p>
    <w:p>
      <w:pPr>
        <w:spacing w:after="0" w:line="16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The Company performs periodic assessments and testing of its cybersecurity controls, including through internal resources and third-party service providers. Findings are reported to senior management, and material matters are escalated to the Audit Committee as appropriate.</w:t>
      </w:r>
    </w:p>
    <w:p>
      <w:pPr>
        <w:spacing w:after="0" w:line="175"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0"/>
          <w:szCs w:val="20"/>
          <w:color w:val="auto"/>
        </w:rPr>
        <w:t>Senior management provides periodic updates to the Audit Committee regarding cybersecurity risks and mitigation efforts, and material cybersecurity matters are escalated to the Board of Directors as appropriate.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2. Properties.</w:t>
      </w:r>
    </w:p>
    <w:p>
      <w:pPr>
        <w:spacing w:after="0" w:line="203"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20"/>
          <w:szCs w:val="20"/>
          <w:color w:val="auto"/>
        </w:rPr>
        <w:t>We maintain our principal manufacturing and administrative facility in Vaulx-en-Velin, near Lyon, France. We lease approximately 4,150 square meters of office and manufacturing space at this location pursuant to a renewable commercial lease agreement that originally became effective on July 1, 2015. The lease was renewed in November 2024 for a nine-year term effective July 1, 2025. The lease permits termination at the end of the third and sixth years of the renewed term. This facility serves as our primary site for the manufacturing of our medical device systems and related consumables, as well as certain administrative functions. We believe the terms of this lease reflect current market conditions.</w:t>
      </w:r>
    </w:p>
    <w:p>
      <w:pPr>
        <w:spacing w:after="0" w:line="160"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20"/>
          <w:szCs w:val="20"/>
          <w:color w:val="auto"/>
        </w:rPr>
        <w:t>In addition, we lease office and/or warehouse facilities in Kuala Lumpur, Malaysia; Flensburg, Germany; Wollerau, Switzerland; Austin, Texas and Los Altos, California, United States; Seoul, South Korea; and Fukuoka, Osaka, Sapporo and Tokyo, Japan. These facilities support our sales, service, distribution and administrative operations in their respective regions.</w:t>
      </w:r>
    </w:p>
    <w:p>
      <w:pPr>
        <w:spacing w:after="0" w:line="151"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20"/>
          <w:szCs w:val="20"/>
          <w:color w:val="auto"/>
        </w:rPr>
        <w:t>We believe that our existing facilities are suitable and adequate for our current operations and that appropriate additional or substitute space will be available on commercially reasonable terms as needed. We are not aware of any environmental conditions relating to our leased properties that would materially adversely affect our business or the utilization of such facilities.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3. Legal Proceedings.</w:t>
      </w:r>
    </w:p>
    <w:p>
      <w:pPr>
        <w:spacing w:after="0" w:line="203"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20"/>
          <w:szCs w:val="20"/>
          <w:color w:val="auto"/>
        </w:rPr>
        <w:t>From time to time, we may become involved in legal proceedings or be subject to claims arising in the ordinary course of our business. Regardless of the outcome, litigation can have an adverse impact on us because of defense and settlement costs, diversion of management resources and other factors. We do not have any pending legal proceedings.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4. Mine Safety Disclosures.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ectPr>
          <w:pgSz w:w="12240" w:h="15840" w:orient="portrait"/>
          <w:cols w:equalWidth="0" w:num="1">
            <w:col w:w="9720"/>
          </w:cols>
          <w:pgMar w:left="1260" w:top="1247" w:right="1260" w:bottom="72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43</w:t>
      </w:r>
    </w:p>
    <w:p>
      <w:pPr>
        <w:sectPr>
          <w:pgSz w:w="12240" w:h="15840" w:orient="portrait"/>
          <w:cols w:equalWidth="0" w:num="1">
            <w:col w:w="9720"/>
          </w:cols>
          <w:pgMar w:left="1260" w:top="1247" w:right="1260" w:bottom="723" w:gutter="0" w:footer="0" w:header="0"/>
          <w:type w:val="continuous"/>
        </w:sectPr>
      </w:pPr>
    </w:p>
    <w:bookmarkStart w:id="46" w:name="page47"/>
    <w:bookmarkEnd w:id="46"/>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795655</wp:posOffset>
            </wp:positionH>
            <wp:positionV relativeFrom="page">
              <wp:posOffset>292735</wp:posOffset>
            </wp:positionV>
            <wp:extent cx="929005" cy="1149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55">
                      <a:extLst>
                        <a:ext uri="{28A0092B-C50C-407E-A947-70E740481C1C}"/>
                      </a:extLst>
                    </a:blip>
                    <a:srcRect/>
                    <a:stretch>
                      <a:fillRect/>
                    </a:stretch>
                  </pic:blipFill>
                  <pic:spPr bwMode="auto">
                    <a:xfrm>
                      <a:off x="0" y="0"/>
                      <a:ext cx="929005" cy="114935"/>
                    </a:xfrm>
                    <a:prstGeom prst="rect">
                      <a:avLst/>
                    </a:prstGeom>
                    <a:noFill/>
                  </pic:spPr>
                </pic:pic>
              </a:graphicData>
            </a:graphic>
          </wp:anchor>
        </w:drawing>
        <w:t>PART II</w:t>
      </w:r>
    </w:p>
    <w:p>
      <w:pPr>
        <w:spacing w:after="0" w:line="200"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20"/>
          <w:szCs w:val="20"/>
          <w:b w:val="1"/>
          <w:bCs w:val="1"/>
          <w:color w:val="auto"/>
        </w:rPr>
        <w:t>Item 5. Market for Registrant’s Common Equity, Related Stockholder Matters and Issuer Purchases of Equity Securities.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Market Information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Since July 31, 1997, our ADSs are traded on The Nasdaq Global Market under the symbol “EDAP.”</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Stockholders</w:t>
      </w:r>
    </w:p>
    <w:p>
      <w:pPr>
        <w:spacing w:after="0" w:line="203" w:lineRule="exact"/>
        <w:rPr>
          <w:sz w:val="20"/>
          <w:szCs w:val="20"/>
          <w:color w:val="auto"/>
        </w:rPr>
      </w:pPr>
    </w:p>
    <w:p>
      <w:pPr>
        <w:ind w:right="240"/>
        <w:spacing w:after="0" w:line="253" w:lineRule="auto"/>
        <w:rPr>
          <w:sz w:val="20"/>
          <w:szCs w:val="20"/>
          <w:color w:val="auto"/>
        </w:rPr>
      </w:pPr>
      <w:r>
        <w:rPr>
          <w:rFonts w:ascii="Times New Roman" w:cs="Times New Roman" w:eastAsia="Times New Roman" w:hAnsi="Times New Roman"/>
          <w:sz w:val="20"/>
          <w:szCs w:val="20"/>
          <w:color w:val="auto"/>
        </w:rPr>
        <w:t>As of February 27, 2026, there were 20 participants in DTC that held our ADSs and four holders of record of our ordinary shares. The actual number of holders is greater and includes beneficial owners whose ADSs are held in street name by brokers and other nominees. The number of holders of record and DTC participants also does not include holders whose shares may be held in trust by other entities.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Unregistered Sales of Securities</w:t>
      </w:r>
    </w:p>
    <w:p>
      <w:pPr>
        <w:spacing w:after="0" w:line="203" w:lineRule="exact"/>
        <w:rPr>
          <w:sz w:val="20"/>
          <w:szCs w:val="20"/>
          <w:color w:val="auto"/>
        </w:rPr>
      </w:pPr>
    </w:p>
    <w:p>
      <w:pPr>
        <w:ind w:right="440"/>
        <w:spacing w:after="0" w:line="279" w:lineRule="auto"/>
        <w:rPr>
          <w:sz w:val="20"/>
          <w:szCs w:val="20"/>
          <w:color w:val="auto"/>
        </w:rPr>
      </w:pPr>
      <w:r>
        <w:rPr>
          <w:rFonts w:ascii="Times New Roman" w:cs="Times New Roman" w:eastAsia="Times New Roman" w:hAnsi="Times New Roman"/>
          <w:sz w:val="20"/>
          <w:szCs w:val="20"/>
          <w:color w:val="auto"/>
        </w:rPr>
        <w:t>On October 17, 2025, we issued 2,624,421 Tranche A Warrants to EIB in connection with the closing of Tranche A under the Finance Contract.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Issuer Purchases of Equity Securities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Dividend Policy</w:t>
      </w:r>
    </w:p>
    <w:p>
      <w:pPr>
        <w:spacing w:after="0" w:line="203"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20"/>
          <w:szCs w:val="20"/>
          <w:color w:val="auto"/>
        </w:rPr>
        <w:t>The payment and amount of dividends depend on our earnings and financial condition and such other factors that our Board of Directors deems relevant. Dividends are subject to recommendations by the Board of Directors and a vote by the shareholders at the shareholders’ ordinary general meeting. Dividends, if any, would be paid in euro and, with respect to ADSs, would be converted at the then-prevailing exchange rate into U.S. dollars. Holders of ADSs will be entitled to receive payments in respect of dividends on the underlying shares in accordance with the deposit agreement dated as of July 31, 1997, as amended and restated as of April 7, 2008, among our company, The Bank of New York Mellon, as Depositary, and all owners and beneficial owners from time to time of ADSs issued thereunder (the “Deposit Agreement”).</w:t>
      </w:r>
    </w:p>
    <w:p>
      <w:pPr>
        <w:spacing w:after="0" w:line="162"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0"/>
          <w:szCs w:val="20"/>
          <w:color w:val="auto"/>
        </w:rPr>
        <w:t>No dividends have ever been paid to shareholders and we do not anticipate paying any dividends for the foreseeable future. Thereafter, any declaration of dividends on our shares as well as the amount and payment will be determined by a majority vote of the holders of our shares at an ordinary general meeting, following the recommendation of our Board of Directors. Such declaration will depend upon, among other things, future earnings, if any, the operating and financial condition of our business, our capital requirements, general business conditions and such other factors as our Board of Directors deems relevant in its recommendation to the shareholders.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6. [Reserved]</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7. Management’s Discussion and Analysis of Financial Condition and Results of Operations.</w:t>
      </w:r>
    </w:p>
    <w:p>
      <w:pPr>
        <w:spacing w:after="0" w:line="206"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20"/>
          <w:szCs w:val="20"/>
          <w:i w:val="1"/>
          <w:iCs w:val="1"/>
          <w:color w:val="auto"/>
        </w:rPr>
        <w:t>You should read the following discussion of our consolidated financial condition and results of operations in conjunction with the financial statements and the notes thereto included elsewhere in this report. The following discussion contains forward</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looking statements that reflect our plans, estimates and beliefs. Our actual results could differ materially from those discussed in the forward</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looking statements. Factors that could cause or contribute to these differences include those discussed below and elsewhere in this Current Report, particularly in “Risk Factors.” See “Special Note Regarding Forward</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Looking Statements” for more information. This section generally discusses the results of our operations for the year ended December 31, 2025, compared to the year ended December 31, 2024. For a discussion of the year ended December 31, 2024 compared to the year ended December 31, 2023, please refer to Part I,</w:t>
      </w:r>
    </w:p>
    <w:p>
      <w:pPr>
        <w:sectPr>
          <w:pgSz w:w="12240" w:h="15840" w:orient="portrait"/>
          <w:cols w:equalWidth="0" w:num="1">
            <w:col w:w="9700"/>
          </w:cols>
          <w:pgMar w:left="1260" w:top="1243" w:right="1280" w:bottom="72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44</w:t>
      </w:r>
    </w:p>
    <w:p>
      <w:pPr>
        <w:sectPr>
          <w:pgSz w:w="12240" w:h="15840" w:orient="portrait"/>
          <w:cols w:equalWidth="0" w:num="1">
            <w:col w:w="9700"/>
          </w:cols>
          <w:pgMar w:left="1260" w:top="1243" w:right="1280" w:bottom="723" w:gutter="0" w:footer="0" w:header="0"/>
          <w:type w:val="continuous"/>
        </w:sectPr>
      </w:pPr>
    </w:p>
    <w:bookmarkStart w:id="47" w:name="page48"/>
    <w:bookmarkEnd w:id="47"/>
    <w:p>
      <w:pPr>
        <w:ind w:right="500"/>
        <w:spacing w:after="0" w:line="275" w:lineRule="auto"/>
        <w:rPr>
          <w:sz w:val="20"/>
          <w:szCs w:val="20"/>
          <w:color w:val="auto"/>
        </w:rPr>
      </w:pPr>
      <w:r>
        <w:rPr>
          <w:rFonts w:ascii="Times New Roman" w:cs="Times New Roman" w:eastAsia="Times New Roman" w:hAnsi="Times New Roman"/>
          <w:sz w:val="20"/>
          <w:szCs w:val="20"/>
          <w:i w:val="1"/>
          <w:iCs w:val="1"/>
          <w:color w:val="auto"/>
        </w:rPr>
        <w:drawing>
          <wp:anchor simplePos="0" relativeHeight="251657728" behindDoc="1" locked="0" layoutInCell="0" allowOverlap="1">
            <wp:simplePos x="0" y="0"/>
            <wp:positionH relativeFrom="page">
              <wp:posOffset>795655</wp:posOffset>
            </wp:positionH>
            <wp:positionV relativeFrom="page">
              <wp:posOffset>292735</wp:posOffset>
            </wp:positionV>
            <wp:extent cx="929005" cy="1149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56">
                      <a:extLst>
                        <a:ext uri="{28A0092B-C50C-407E-A947-70E740481C1C}"/>
                      </a:extLst>
                    </a:blip>
                    <a:srcRect/>
                    <a:stretch>
                      <a:fillRect/>
                    </a:stretch>
                  </pic:blipFill>
                  <pic:spPr bwMode="auto">
                    <a:xfrm>
                      <a:off x="0" y="0"/>
                      <a:ext cx="929005" cy="114935"/>
                    </a:xfrm>
                    <a:prstGeom prst="rect">
                      <a:avLst/>
                    </a:prstGeom>
                    <a:noFill/>
                  </pic:spPr>
                </pic:pic>
              </a:graphicData>
            </a:graphic>
          </wp:anchor>
        </w:drawing>
        <w:t>Item 5, “Management’s Discussion and Analysis of Financial Condition and Results of Operations” in our Annual Report on Form 20-F for the year ended December 31, 2024, as filed with the SEC on March 27, 2025.</w:t>
      </w:r>
    </w:p>
    <w:p>
      <w:pPr>
        <w:spacing w:after="0" w:line="130" w:lineRule="exact"/>
        <w:rPr>
          <w:sz w:val="20"/>
          <w:szCs w:val="20"/>
          <w:color w:val="auto"/>
        </w:rPr>
      </w:pPr>
    </w:p>
    <w:p>
      <w:pPr>
        <w:jc w:val="both"/>
        <w:ind w:right="60"/>
        <w:spacing w:after="0" w:line="259" w:lineRule="auto"/>
        <w:rPr>
          <w:sz w:val="20"/>
          <w:szCs w:val="20"/>
          <w:color w:val="auto"/>
        </w:rPr>
      </w:pPr>
      <w:r>
        <w:rPr>
          <w:rFonts w:ascii="Times New Roman" w:cs="Times New Roman" w:eastAsia="Times New Roman" w:hAnsi="Times New Roman"/>
          <w:sz w:val="20"/>
          <w:szCs w:val="20"/>
          <w:color w:val="auto"/>
        </w:rPr>
        <w:t>The following discussion contains certain forward- looking statements that involve risks and uncertainties. Actual results may differ materially from those contained in such forward-looking statements. See “Cautionary Statement on Forward-Looking Information” at the beginning of this annual report.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Operating Results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203"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20"/>
          <w:szCs w:val="20"/>
          <w:color w:val="auto"/>
        </w:rPr>
        <w:t>Our activities are organized into three divisions: HIFU, ESWL and Distribution. Recently, we have shifted to a growth strategy focused on developing our core proprietary HIFU activities and placing less emphasis on our non-HIFU distribution and ESWL business activities. This new strategy has impacted, and we expect it will continue to impact our operating results. See “Risk Factors.”</w:t>
      </w:r>
    </w:p>
    <w:p>
      <w:pPr>
        <w:spacing w:after="0" w:line="149" w:lineRule="exact"/>
        <w:rPr>
          <w:sz w:val="20"/>
          <w:szCs w:val="20"/>
          <w:color w:val="auto"/>
        </w:rPr>
      </w:pPr>
    </w:p>
    <w:p>
      <w:pPr>
        <w:jc w:val="both"/>
        <w:ind w:right="280"/>
        <w:spacing w:after="0" w:line="259" w:lineRule="auto"/>
        <w:rPr>
          <w:sz w:val="20"/>
          <w:szCs w:val="20"/>
          <w:color w:val="auto"/>
        </w:rPr>
      </w:pPr>
      <w:r>
        <w:rPr>
          <w:rFonts w:ascii="Times New Roman" w:cs="Times New Roman" w:eastAsia="Times New Roman" w:hAnsi="Times New Roman"/>
          <w:sz w:val="20"/>
          <w:szCs w:val="20"/>
          <w:color w:val="auto"/>
        </w:rPr>
        <w:t>Our total revenues include sales of our medical devices and sales of disposables (“sales of goods”), sales of RPPs and leases, and sales of spare parts and services, all net of third-party distributor and agent commissions, as well as other revenues.</w:t>
      </w:r>
    </w:p>
    <w:p>
      <w:pPr>
        <w:spacing w:after="0" w:line="146"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20"/>
          <w:szCs w:val="20"/>
          <w:color w:val="auto"/>
        </w:rPr>
        <w:t>Sales of goods have historically been comprised of net sales of medical devices and net sales of disposables. The sale price of our medical devices is subject to variation based on a number of factors, including market competition, warranties and payment terms. Consequently, a particular sale of a medical device may, depending on its terms, result in significant fluctuations in the average unit sale price of the product for a given period, which may not be indicative of a market trend.</w:t>
      </w:r>
    </w:p>
    <w:p>
      <w:pPr>
        <w:spacing w:after="0" w:line="154"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color w:val="auto"/>
        </w:rPr>
        <w:t>Sales of RPP and leases include the revenues recorded in the HIFU division from the sale of Focal One treatment procedures and from leasing Focal One devices or treatment probes. In the U.S. and in certain jurisdictions, we provide Focal One system for a defined period under an operating lease with the intent to convert to a capital sale at the end of the defined period. In Europe, we provide Focal One systems to clinics and hospitals for a limited duration under an RPP model. Under this model, we are able to make Focal One treatments available to a larger number of hospitals and clinics, which we believe should serve to create more long-term interest in the product. We expect this business model to generate a smaller, although more predictable, stream of revenue.</w:t>
      </w:r>
    </w:p>
    <w:p>
      <w:pPr>
        <w:spacing w:after="0" w:line="160"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9"/>
          <w:szCs w:val="19"/>
          <w:color w:val="auto"/>
        </w:rPr>
        <w:t>Regarding the ESWL division, and in line with our new strategy, we have made the decision to stop selling the Sonolith i-move lithotripsy product line. Final system sales were concluded in the second half of calendar year 2025. This resulted in a decline in revenue related to ESWL in 2025. Going forward, we will continue to service our installed base of ESWL systems by providing consumable electrodes, spare parts and repair services to customers on active service agreements as well as customers purchasing electrodes, parts and services outside of standard service agreements.</w:t>
      </w:r>
    </w:p>
    <w:p>
      <w:pPr>
        <w:spacing w:after="0" w:line="143" w:lineRule="exact"/>
        <w:rPr>
          <w:sz w:val="20"/>
          <w:szCs w:val="20"/>
          <w:color w:val="auto"/>
        </w:rPr>
      </w:pPr>
    </w:p>
    <w:p>
      <w:pPr>
        <w:jc w:val="both"/>
        <w:ind w:right="720"/>
        <w:spacing w:after="0" w:line="259" w:lineRule="auto"/>
        <w:rPr>
          <w:sz w:val="20"/>
          <w:szCs w:val="20"/>
          <w:color w:val="auto"/>
        </w:rPr>
      </w:pPr>
      <w:r>
        <w:rPr>
          <w:rFonts w:ascii="Times New Roman" w:cs="Times New Roman" w:eastAsia="Times New Roman" w:hAnsi="Times New Roman"/>
          <w:sz w:val="20"/>
          <w:szCs w:val="20"/>
          <w:color w:val="auto"/>
        </w:rPr>
        <w:t>Revenues recorded in our Distribution division included sales of complementary products such as lasers, micro-ultrasound systems and other products from third parties, including the associated disposables and maintenance contracts.</w:t>
      </w:r>
    </w:p>
    <w:p>
      <w:pPr>
        <w:spacing w:after="0" w:line="146" w:lineRule="exact"/>
        <w:rPr>
          <w:sz w:val="20"/>
          <w:szCs w:val="20"/>
          <w:color w:val="auto"/>
        </w:rPr>
      </w:pPr>
    </w:p>
    <w:p>
      <w:pPr>
        <w:ind w:right="200"/>
        <w:spacing w:after="0" w:line="279" w:lineRule="auto"/>
        <w:rPr>
          <w:sz w:val="20"/>
          <w:szCs w:val="20"/>
          <w:color w:val="auto"/>
        </w:rPr>
      </w:pPr>
      <w:r>
        <w:rPr>
          <w:rFonts w:ascii="Times New Roman" w:cs="Times New Roman" w:eastAsia="Times New Roman" w:hAnsi="Times New Roman"/>
          <w:sz w:val="20"/>
          <w:szCs w:val="20"/>
          <w:color w:val="auto"/>
        </w:rPr>
        <w:t>Sales of spare parts and services include revenues arising from maintenance services provided by the Company for the installed base of ESWL lithotripters, HIFU systems and complementary products from third parties.</w:t>
      </w:r>
    </w:p>
    <w:p>
      <w:pPr>
        <w:spacing w:after="0" w:line="125"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color w:val="auto"/>
        </w:rPr>
        <w:t>We derive a significant portion of net sales of medical devices and disposables from our operations in the U.S. Net sales derived from our operations in the U.S. represented 40% of our total consolidated net sales in 2025 compared to 28% in 2024, primarily driven by an increase in HIFU system sales in the U.S. relative to the rest of the world. Net sales derived from our operations in the rest of the world represented 60% of our total consolidated net sales in 2025 compared to 72% in 2024. This decline was primarily driven by a strategic shift from the ESWL and Distribution businesses. See Item 8 - Financial Statements and Supplementary Data. See Item 3, “</w:t>
      </w:r>
      <w:r>
        <w:rPr>
          <w:rFonts w:ascii="Times New Roman" w:cs="Times New Roman" w:eastAsia="Times New Roman" w:hAnsi="Times New Roman"/>
          <w:sz w:val="20"/>
          <w:szCs w:val="20"/>
          <w:i w:val="1"/>
          <w:iCs w:val="1"/>
          <w:color w:val="auto"/>
        </w:rPr>
        <w:t>Risk Factors—We sell our products in many parts of 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world and, as a result, our business is affected by fluctuations in currency exchange rates</w:t>
      </w:r>
      <w:r>
        <w:rPr>
          <w:rFonts w:ascii="Times New Roman" w:cs="Times New Roman" w:eastAsia="Times New Roman" w:hAnsi="Times New Roman"/>
          <w:sz w:val="20"/>
          <w:szCs w:val="20"/>
          <w:color w:val="auto"/>
        </w:rPr>
        <w:t>”.</w:t>
      </w:r>
    </w:p>
    <w:p>
      <w:pPr>
        <w:sectPr>
          <w:pgSz w:w="12240" w:h="15840" w:orient="portrait"/>
          <w:cols w:equalWidth="0" w:num="1">
            <w:col w:w="9700"/>
          </w:cols>
          <w:pgMar w:left="1260" w:top="1250" w:right="1280" w:bottom="72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45</w:t>
      </w:r>
    </w:p>
    <w:p>
      <w:pPr>
        <w:sectPr>
          <w:pgSz w:w="12240" w:h="15840" w:orient="portrait"/>
          <w:cols w:equalWidth="0" w:num="1">
            <w:col w:w="9700"/>
          </w:cols>
          <w:pgMar w:left="1260" w:top="1250" w:right="1280" w:bottom="723" w:gutter="0" w:footer="0" w:header="0"/>
          <w:type w:val="continuous"/>
        </w:sectPr>
      </w:pPr>
    </w:p>
    <w:bookmarkStart w:id="48" w:name="page49"/>
    <w:bookmarkEnd w:id="48"/>
    <w:p>
      <w:pPr>
        <w:ind w:right="220"/>
        <w:spacing w:after="0" w:line="249"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795655</wp:posOffset>
            </wp:positionH>
            <wp:positionV relativeFrom="page">
              <wp:posOffset>292735</wp:posOffset>
            </wp:positionV>
            <wp:extent cx="929005" cy="1149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57">
                      <a:extLst>
                        <a:ext uri="{28A0092B-C50C-407E-A947-70E740481C1C}"/>
                      </a:extLst>
                    </a:blip>
                    <a:srcRect/>
                    <a:stretch>
                      <a:fillRect/>
                    </a:stretch>
                  </pic:blipFill>
                  <pic:spPr bwMode="auto">
                    <a:xfrm>
                      <a:off x="0" y="0"/>
                      <a:ext cx="929005" cy="114935"/>
                    </a:xfrm>
                    <a:prstGeom prst="rect">
                      <a:avLst/>
                    </a:prstGeom>
                    <a:noFill/>
                  </pic:spPr>
                </pic:pic>
              </a:graphicData>
            </a:graphic>
          </wp:anchor>
        </w:drawing>
        <w:t>Consolidated research and development expenses include all costs related to the development of new technologies and products and the enhancement of existing products, including the costs of organizing clinical trials and of obtaining patents and regulatory approvals. We do not capitalize any of our research and development expenses, except for the expenses relating to the production of machines to be used in clinical trials and that have alternative future uses as equipment or components for future research projects.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Fiscal Year Ended December 31, 2025 Compared to Fiscal Year Ended December 31, 2024</w:t>
      </w:r>
    </w:p>
    <w:p>
      <w:pPr>
        <w:spacing w:after="0" w:line="203" w:lineRule="exact"/>
        <w:rPr>
          <w:sz w:val="20"/>
          <w:szCs w:val="20"/>
          <w:color w:val="auto"/>
        </w:rPr>
      </w:pPr>
    </w:p>
    <w:p>
      <w:pPr>
        <w:ind w:right="840"/>
        <w:spacing w:after="0" w:line="279" w:lineRule="auto"/>
        <w:rPr>
          <w:sz w:val="20"/>
          <w:szCs w:val="20"/>
          <w:color w:val="auto"/>
        </w:rPr>
      </w:pPr>
      <w:r>
        <w:rPr>
          <w:rFonts w:ascii="Times New Roman" w:cs="Times New Roman" w:eastAsia="Times New Roman" w:hAnsi="Times New Roman"/>
          <w:sz w:val="20"/>
          <w:szCs w:val="20"/>
          <w:color w:val="auto"/>
        </w:rPr>
        <w:t>Noted below are Net Sales and Profit (Loss) of our divisions. See Note 29 of Item 8 - Financial Statements and Supplementary Data.</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(in millions of US dollars)</w:t>
            </w:r>
          </w:p>
        </w:tc>
        <w:tc>
          <w:tcPr>
            <w:tcW w:w="20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2025</w:t>
            </w:r>
          </w:p>
        </w:tc>
        <w:tc>
          <w:tcPr>
            <w:tcW w:w="28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80" w:type="dxa"/>
            <w:vAlign w:val="bottom"/>
            <w:tcBorders>
              <w:bottom w:val="single" w:sz="8" w:color="CCEEFF"/>
            </w:tcBorders>
          </w:tcPr>
          <w:p>
            <w:pPr>
              <w:spacing w:after="0"/>
              <w:rPr>
                <w:sz w:val="17"/>
                <w:szCs w:val="17"/>
                <w:color w:val="auto"/>
              </w:rPr>
            </w:pPr>
          </w:p>
        </w:tc>
      </w:tr>
      <w:tr>
        <w:trPr>
          <w:trHeight w:val="220"/>
        </w:trPr>
        <w:tc>
          <w:tcPr>
            <w:tcW w:w="6980" w:type="dxa"/>
            <w:vAlign w:val="bottom"/>
            <w:shd w:val="clear" w:color="auto" w:fill="CCEEFF"/>
          </w:tcPr>
          <w:p>
            <w:pPr>
              <w:spacing w:after="0" w:line="220" w:lineRule="exact"/>
              <w:rPr>
                <w:sz w:val="20"/>
                <w:szCs w:val="20"/>
                <w:color w:val="auto"/>
              </w:rPr>
            </w:pPr>
            <w:r>
              <w:rPr>
                <w:rFonts w:ascii="Times New Roman" w:cs="Times New Roman" w:eastAsia="Times New Roman" w:hAnsi="Times New Roman"/>
                <w:sz w:val="20"/>
                <w:szCs w:val="20"/>
                <w:color w:val="auto"/>
              </w:rPr>
              <w:t>Total revenues</w:t>
            </w:r>
          </w:p>
        </w:tc>
        <w:tc>
          <w:tcPr>
            <w:tcW w:w="1240" w:type="dxa"/>
            <w:vAlign w:val="bottom"/>
            <w:gridSpan w:val="2"/>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70.5</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69.4</w:t>
            </w:r>
          </w:p>
        </w:tc>
        <w:tc>
          <w:tcPr>
            <w:tcW w:w="180" w:type="dxa"/>
            <w:vAlign w:val="bottom"/>
            <w:shd w:val="clear" w:color="auto" w:fill="CCEEFF"/>
          </w:tcPr>
          <w:p>
            <w:pPr>
              <w:spacing w:after="0"/>
              <w:rPr>
                <w:sz w:val="19"/>
                <w:szCs w:val="19"/>
                <w:color w:val="auto"/>
              </w:rPr>
            </w:pPr>
          </w:p>
        </w:tc>
      </w:tr>
      <w:tr>
        <w:trPr>
          <w:trHeight w:val="228"/>
        </w:trPr>
        <w:tc>
          <w:tcPr>
            <w:tcW w:w="6980" w:type="dxa"/>
            <w:vAlign w:val="bottom"/>
          </w:tcPr>
          <w:p>
            <w:pPr>
              <w:spacing w:after="0" w:line="228" w:lineRule="exact"/>
              <w:rPr>
                <w:sz w:val="20"/>
                <w:szCs w:val="20"/>
                <w:color w:val="auto"/>
              </w:rPr>
            </w:pPr>
            <w:r>
              <w:rPr>
                <w:rFonts w:ascii="Times New Roman" w:cs="Times New Roman" w:eastAsia="Times New Roman" w:hAnsi="Times New Roman"/>
                <w:sz w:val="20"/>
                <w:szCs w:val="20"/>
                <w:color w:val="auto"/>
              </w:rPr>
              <w:t>Total net sales</w:t>
            </w:r>
          </w:p>
        </w:tc>
        <w:tc>
          <w:tcPr>
            <w:tcW w:w="1240" w:type="dxa"/>
            <w:vAlign w:val="bottom"/>
            <w:gridSpan w:val="2"/>
          </w:tcPr>
          <w:p>
            <w:pPr>
              <w:jc w:val="right"/>
              <w:spacing w:after="0" w:line="228" w:lineRule="exact"/>
              <w:rPr>
                <w:sz w:val="20"/>
                <w:szCs w:val="20"/>
                <w:color w:val="auto"/>
              </w:rPr>
            </w:pPr>
            <w:r>
              <w:rPr>
                <w:rFonts w:ascii="Times New Roman" w:cs="Times New Roman" w:eastAsia="Times New Roman" w:hAnsi="Times New Roman"/>
                <w:sz w:val="20"/>
                <w:szCs w:val="20"/>
                <w:color w:val="auto"/>
              </w:rPr>
              <w:t>70.5</w:t>
            </w:r>
          </w:p>
        </w:tc>
        <w:tc>
          <w:tcPr>
            <w:tcW w:w="280" w:type="dxa"/>
            <w:vAlign w:val="bottom"/>
          </w:tcPr>
          <w:p>
            <w:pPr>
              <w:spacing w:after="0"/>
              <w:rPr>
                <w:sz w:val="19"/>
                <w:szCs w:val="19"/>
                <w:color w:val="auto"/>
              </w:rPr>
            </w:pPr>
          </w:p>
        </w:tc>
        <w:tc>
          <w:tcPr>
            <w:tcW w:w="104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auto"/>
              </w:rPr>
              <w:t>69.4</w:t>
            </w:r>
          </w:p>
        </w:tc>
        <w:tc>
          <w:tcPr>
            <w:tcW w:w="180" w:type="dxa"/>
            <w:vAlign w:val="bottom"/>
          </w:tcPr>
          <w:p>
            <w:pPr>
              <w:spacing w:after="0"/>
              <w:rPr>
                <w:sz w:val="19"/>
                <w:szCs w:val="19"/>
                <w:color w:val="auto"/>
              </w:rPr>
            </w:pPr>
          </w:p>
        </w:tc>
      </w:tr>
      <w:tr>
        <w:trPr>
          <w:trHeight w:val="230"/>
        </w:trPr>
        <w:tc>
          <w:tcPr>
            <w:tcW w:w="6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HIFU</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37.4</w:t>
            </w: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25.8</w:t>
            </w:r>
          </w:p>
        </w:tc>
        <w:tc>
          <w:tcPr>
            <w:tcW w:w="180" w:type="dxa"/>
            <w:vAlign w:val="bottom"/>
            <w:shd w:val="clear" w:color="auto" w:fill="CCEEFF"/>
          </w:tcPr>
          <w:p>
            <w:pPr>
              <w:spacing w:after="0"/>
              <w:rPr>
                <w:sz w:val="20"/>
                <w:szCs w:val="20"/>
                <w:color w:val="auto"/>
              </w:rPr>
            </w:pPr>
          </w:p>
        </w:tc>
      </w:tr>
      <w:tr>
        <w:trPr>
          <w:trHeight w:val="230"/>
        </w:trPr>
        <w:tc>
          <w:tcPr>
            <w:tcW w:w="69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ESWL</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7.5</w:t>
            </w: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w:t>
            </w:r>
          </w:p>
        </w:tc>
        <w:tc>
          <w:tcPr>
            <w:tcW w:w="180" w:type="dxa"/>
            <w:vAlign w:val="bottom"/>
          </w:tcPr>
          <w:p>
            <w:pPr>
              <w:spacing w:after="0"/>
              <w:rPr>
                <w:sz w:val="20"/>
                <w:szCs w:val="20"/>
                <w:color w:val="auto"/>
              </w:rPr>
            </w:pPr>
          </w:p>
        </w:tc>
      </w:tr>
      <w:tr>
        <w:trPr>
          <w:trHeight w:val="230"/>
        </w:trPr>
        <w:tc>
          <w:tcPr>
            <w:tcW w:w="6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DISTRIBUTION</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25.7</w:t>
            </w: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33.9</w:t>
            </w:r>
          </w:p>
        </w:tc>
        <w:tc>
          <w:tcPr>
            <w:tcW w:w="180" w:type="dxa"/>
            <w:vAlign w:val="bottom"/>
            <w:shd w:val="clear" w:color="auto" w:fill="CCEEFF"/>
          </w:tcPr>
          <w:p>
            <w:pPr>
              <w:spacing w:after="0"/>
              <w:rPr>
                <w:sz w:val="20"/>
                <w:szCs w:val="20"/>
                <w:color w:val="auto"/>
              </w:rPr>
            </w:pPr>
          </w:p>
        </w:tc>
      </w:tr>
      <w:tr>
        <w:trPr>
          <w:trHeight w:val="230"/>
        </w:trPr>
        <w:tc>
          <w:tcPr>
            <w:tcW w:w="6980" w:type="dxa"/>
            <w:vAlign w:val="bottom"/>
          </w:tcPr>
          <w:p>
            <w:pPr>
              <w:spacing w:after="0"/>
              <w:rPr>
                <w:sz w:val="20"/>
                <w:szCs w:val="20"/>
                <w:color w:val="auto"/>
              </w:rPr>
            </w:pPr>
            <w:r>
              <w:rPr>
                <w:rFonts w:ascii="Times New Roman" w:cs="Times New Roman" w:eastAsia="Times New Roman" w:hAnsi="Times New Roman"/>
                <w:sz w:val="20"/>
                <w:szCs w:val="20"/>
                <w:color w:val="auto"/>
              </w:rPr>
              <w:t>Total cost of sales</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(40.5)</w:t>
            </w: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(40.7)</w:t>
            </w:r>
          </w:p>
        </w:tc>
        <w:tc>
          <w:tcPr>
            <w:tcW w:w="180" w:type="dxa"/>
            <w:vAlign w:val="bottom"/>
          </w:tcPr>
          <w:p>
            <w:pPr>
              <w:spacing w:after="0"/>
              <w:rPr>
                <w:sz w:val="20"/>
                <w:szCs w:val="20"/>
                <w:color w:val="auto"/>
              </w:rPr>
            </w:pPr>
          </w:p>
        </w:tc>
      </w:tr>
      <w:tr>
        <w:trPr>
          <w:trHeight w:val="228"/>
        </w:trPr>
        <w:tc>
          <w:tcPr>
            <w:tcW w:w="6980" w:type="dxa"/>
            <w:vAlign w:val="bottom"/>
            <w:shd w:val="clear" w:color="auto" w:fill="CCEEFF"/>
          </w:tcPr>
          <w:p>
            <w:pPr>
              <w:spacing w:after="0" w:line="228" w:lineRule="exact"/>
              <w:rPr>
                <w:sz w:val="20"/>
                <w:szCs w:val="20"/>
                <w:color w:val="auto"/>
              </w:rPr>
            </w:pPr>
            <w:r>
              <w:rPr>
                <w:rFonts w:ascii="Times New Roman" w:cs="Times New Roman" w:eastAsia="Times New Roman" w:hAnsi="Times New Roman"/>
                <w:sz w:val="20"/>
                <w:szCs w:val="20"/>
                <w:color w:val="auto"/>
              </w:rPr>
              <w:t>Gross profit</w:t>
            </w:r>
          </w:p>
        </w:tc>
        <w:tc>
          <w:tcPr>
            <w:tcW w:w="1240" w:type="dxa"/>
            <w:vAlign w:val="bottom"/>
            <w:gridSpan w:val="2"/>
            <w:shd w:val="clear" w:color="auto" w:fill="CCEEFF"/>
          </w:tcPr>
          <w:p>
            <w:pPr>
              <w:jc w:val="right"/>
              <w:spacing w:after="0" w:line="228" w:lineRule="exact"/>
              <w:rPr>
                <w:sz w:val="20"/>
                <w:szCs w:val="20"/>
                <w:color w:val="auto"/>
              </w:rPr>
            </w:pPr>
            <w:r>
              <w:rPr>
                <w:rFonts w:ascii="Times New Roman" w:cs="Times New Roman" w:eastAsia="Times New Roman" w:hAnsi="Times New Roman"/>
                <w:sz w:val="20"/>
                <w:szCs w:val="20"/>
                <w:color w:val="auto"/>
              </w:rPr>
              <w:t>30.0</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line="228" w:lineRule="exact"/>
              <w:rPr>
                <w:sz w:val="20"/>
                <w:szCs w:val="20"/>
                <w:color w:val="auto"/>
              </w:rPr>
            </w:pPr>
            <w:r>
              <w:rPr>
                <w:rFonts w:ascii="Times New Roman" w:cs="Times New Roman" w:eastAsia="Times New Roman" w:hAnsi="Times New Roman"/>
                <w:sz w:val="20"/>
                <w:szCs w:val="20"/>
                <w:color w:val="auto"/>
              </w:rPr>
              <w:t>28.7</w:t>
            </w:r>
          </w:p>
        </w:tc>
        <w:tc>
          <w:tcPr>
            <w:tcW w:w="180" w:type="dxa"/>
            <w:vAlign w:val="bottom"/>
            <w:shd w:val="clear" w:color="auto" w:fill="CCEEFF"/>
          </w:tcPr>
          <w:p>
            <w:pPr>
              <w:spacing w:after="0"/>
              <w:rPr>
                <w:sz w:val="19"/>
                <w:szCs w:val="19"/>
                <w:color w:val="auto"/>
              </w:rPr>
            </w:pPr>
          </w:p>
        </w:tc>
      </w:tr>
      <w:tr>
        <w:trPr>
          <w:trHeight w:val="230"/>
        </w:trPr>
        <w:tc>
          <w:tcPr>
            <w:tcW w:w="6980" w:type="dxa"/>
            <w:vAlign w:val="bottom"/>
          </w:tcPr>
          <w:p>
            <w:pPr>
              <w:spacing w:after="0"/>
              <w:rPr>
                <w:sz w:val="20"/>
                <w:szCs w:val="20"/>
                <w:color w:val="auto"/>
              </w:rPr>
            </w:pPr>
            <w:r>
              <w:rPr>
                <w:rFonts w:ascii="Times New Roman" w:cs="Times New Roman" w:eastAsia="Times New Roman" w:hAnsi="Times New Roman"/>
                <w:sz w:val="20"/>
                <w:szCs w:val="20"/>
                <w:color w:val="auto"/>
              </w:rPr>
              <w:t>Gross profit as a percentage of total net sales</w:t>
            </w:r>
          </w:p>
        </w:tc>
        <w:tc>
          <w:tcPr>
            <w:tcW w:w="152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42.54 %</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41.42 %</w:t>
            </w:r>
          </w:p>
        </w:tc>
      </w:tr>
      <w:tr>
        <w:trPr>
          <w:trHeight w:val="230"/>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Total operating expenses</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(54.7)</w:t>
            </w: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(51.0)</w:t>
            </w:r>
          </w:p>
        </w:tc>
        <w:tc>
          <w:tcPr>
            <w:tcW w:w="180" w:type="dxa"/>
            <w:vAlign w:val="bottom"/>
            <w:shd w:val="clear" w:color="auto" w:fill="CCEEFF"/>
          </w:tcPr>
          <w:p>
            <w:pPr>
              <w:spacing w:after="0"/>
              <w:rPr>
                <w:sz w:val="20"/>
                <w:szCs w:val="20"/>
                <w:color w:val="auto"/>
              </w:rPr>
            </w:pPr>
          </w:p>
        </w:tc>
      </w:tr>
      <w:tr>
        <w:trPr>
          <w:trHeight w:val="230"/>
        </w:trPr>
        <w:tc>
          <w:tcPr>
            <w:tcW w:w="6980" w:type="dxa"/>
            <w:vAlign w:val="bottom"/>
          </w:tcPr>
          <w:p>
            <w:pPr>
              <w:spacing w:after="0"/>
              <w:rPr>
                <w:sz w:val="20"/>
                <w:szCs w:val="20"/>
                <w:color w:val="auto"/>
              </w:rPr>
            </w:pPr>
            <w:r>
              <w:rPr>
                <w:rFonts w:ascii="Times New Roman" w:cs="Times New Roman" w:eastAsia="Times New Roman" w:hAnsi="Times New Roman"/>
                <w:sz w:val="20"/>
                <w:szCs w:val="20"/>
                <w:color w:val="auto"/>
              </w:rPr>
              <w:t>Loss from operations</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(24.7)</w:t>
            </w: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(22.2)</w:t>
            </w:r>
          </w:p>
        </w:tc>
        <w:tc>
          <w:tcPr>
            <w:tcW w:w="180" w:type="dxa"/>
            <w:vAlign w:val="bottom"/>
          </w:tcPr>
          <w:p>
            <w:pPr>
              <w:spacing w:after="0"/>
              <w:rPr>
                <w:sz w:val="20"/>
                <w:szCs w:val="20"/>
                <w:color w:val="auto"/>
              </w:rPr>
            </w:pPr>
          </w:p>
        </w:tc>
      </w:tr>
      <w:tr>
        <w:trPr>
          <w:trHeight w:val="230"/>
        </w:trPr>
        <w:tc>
          <w:tcPr>
            <w:tcW w:w="6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HIFU</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(20.7)</w:t>
            </w: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(18.9)</w:t>
            </w:r>
          </w:p>
        </w:tc>
        <w:tc>
          <w:tcPr>
            <w:tcW w:w="180" w:type="dxa"/>
            <w:vAlign w:val="bottom"/>
            <w:shd w:val="clear" w:color="auto" w:fill="CCEEFF"/>
          </w:tcPr>
          <w:p>
            <w:pPr>
              <w:spacing w:after="0"/>
              <w:rPr>
                <w:sz w:val="20"/>
                <w:szCs w:val="20"/>
                <w:color w:val="auto"/>
              </w:rPr>
            </w:pPr>
          </w:p>
        </w:tc>
      </w:tr>
      <w:tr>
        <w:trPr>
          <w:trHeight w:val="230"/>
        </w:trPr>
        <w:tc>
          <w:tcPr>
            <w:tcW w:w="69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ESWL</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2.1</w:t>
            </w: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w:t>
            </w:r>
          </w:p>
        </w:tc>
        <w:tc>
          <w:tcPr>
            <w:tcW w:w="180" w:type="dxa"/>
            <w:vAlign w:val="bottom"/>
          </w:tcPr>
          <w:p>
            <w:pPr>
              <w:spacing w:after="0"/>
              <w:rPr>
                <w:sz w:val="20"/>
                <w:szCs w:val="20"/>
                <w:color w:val="auto"/>
              </w:rPr>
            </w:pPr>
          </w:p>
        </w:tc>
      </w:tr>
      <w:tr>
        <w:trPr>
          <w:trHeight w:val="228"/>
        </w:trPr>
        <w:tc>
          <w:tcPr>
            <w:tcW w:w="6980" w:type="dxa"/>
            <w:vAlign w:val="bottom"/>
            <w:shd w:val="clear" w:color="auto" w:fill="CCEEFF"/>
          </w:tcPr>
          <w:p>
            <w:pPr>
              <w:ind w:left="120"/>
              <w:spacing w:after="0" w:line="228" w:lineRule="exact"/>
              <w:rPr>
                <w:sz w:val="20"/>
                <w:szCs w:val="20"/>
                <w:color w:val="auto"/>
              </w:rPr>
            </w:pPr>
            <w:r>
              <w:rPr>
                <w:rFonts w:ascii="Times New Roman" w:cs="Times New Roman" w:eastAsia="Times New Roman" w:hAnsi="Times New Roman"/>
                <w:sz w:val="20"/>
                <w:szCs w:val="20"/>
                <w:color w:val="auto"/>
              </w:rPr>
              <w:t>DISTRIBUTION</w:t>
            </w:r>
          </w:p>
        </w:tc>
        <w:tc>
          <w:tcPr>
            <w:tcW w:w="1240" w:type="dxa"/>
            <w:vAlign w:val="bottom"/>
            <w:gridSpan w:val="2"/>
            <w:shd w:val="clear" w:color="auto" w:fill="CCEEFF"/>
          </w:tcPr>
          <w:p>
            <w:pPr>
              <w:jc w:val="right"/>
              <w:spacing w:after="0" w:line="228" w:lineRule="exact"/>
              <w:rPr>
                <w:sz w:val="20"/>
                <w:szCs w:val="20"/>
                <w:color w:val="auto"/>
              </w:rPr>
            </w:pPr>
            <w:r>
              <w:rPr>
                <w:rFonts w:ascii="Times New Roman" w:cs="Times New Roman" w:eastAsia="Times New Roman" w:hAnsi="Times New Roman"/>
                <w:sz w:val="20"/>
                <w:szCs w:val="20"/>
                <w:color w:val="auto"/>
              </w:rPr>
              <w:t>(0.8)</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line="228" w:lineRule="exact"/>
              <w:rPr>
                <w:sz w:val="20"/>
                <w:szCs w:val="20"/>
                <w:color w:val="auto"/>
              </w:rPr>
            </w:pPr>
            <w:r>
              <w:rPr>
                <w:rFonts w:ascii="Times New Roman" w:cs="Times New Roman" w:eastAsia="Times New Roman" w:hAnsi="Times New Roman"/>
                <w:sz w:val="20"/>
                <w:szCs w:val="20"/>
                <w:color w:val="auto"/>
              </w:rPr>
              <w:t>(0.6)</w:t>
            </w:r>
          </w:p>
        </w:tc>
        <w:tc>
          <w:tcPr>
            <w:tcW w:w="180" w:type="dxa"/>
            <w:vAlign w:val="bottom"/>
            <w:shd w:val="clear" w:color="auto" w:fill="CCEEFF"/>
          </w:tcPr>
          <w:p>
            <w:pPr>
              <w:spacing w:after="0"/>
              <w:rPr>
                <w:sz w:val="19"/>
                <w:szCs w:val="19"/>
                <w:color w:val="auto"/>
              </w:rPr>
            </w:pPr>
          </w:p>
        </w:tc>
      </w:tr>
      <w:tr>
        <w:trPr>
          <w:trHeight w:val="265"/>
        </w:trPr>
        <w:tc>
          <w:tcPr>
            <w:tcW w:w="6980" w:type="dxa"/>
            <w:vAlign w:val="bottom"/>
          </w:tcPr>
          <w:p>
            <w:pPr>
              <w:spacing w:after="0"/>
              <w:rPr>
                <w:sz w:val="20"/>
                <w:szCs w:val="20"/>
                <w:color w:val="auto"/>
              </w:rPr>
            </w:pPr>
            <w:r>
              <w:rPr>
                <w:rFonts w:ascii="Times New Roman" w:cs="Times New Roman" w:eastAsia="Times New Roman" w:hAnsi="Times New Roman"/>
                <w:sz w:val="20"/>
                <w:szCs w:val="20"/>
                <w:color w:val="auto"/>
              </w:rPr>
              <w:t>Net loss</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(29.2)</w:t>
            </w:r>
          </w:p>
        </w:tc>
        <w:tc>
          <w:tcPr>
            <w:tcW w:w="2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(20.6)</w:t>
            </w:r>
          </w:p>
        </w:tc>
        <w:tc>
          <w:tcPr>
            <w:tcW w:w="180" w:type="dxa"/>
            <w:vAlign w:val="bottom"/>
          </w:tcPr>
          <w:p>
            <w:pPr>
              <w:spacing w:after="0"/>
              <w:rPr>
                <w:sz w:val="23"/>
                <w:szCs w:val="23"/>
                <w:color w:val="auto"/>
              </w:rPr>
            </w:pPr>
          </w:p>
        </w:tc>
      </w:tr>
    </w:tbl>
    <w:p>
      <w:pPr>
        <w:spacing w:after="0" w:line="17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color w:val="auto"/>
        </w:rPr>
        <w:t>Total revenues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total revenues increased 1.6% from $69.4 million in 2024 to $70.5 million in 2025.</w:t>
      </w:r>
    </w:p>
    <w:p>
      <w:pPr>
        <w:spacing w:after="0" w:line="19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color w:val="auto"/>
        </w:rPr>
        <w:t>HIFU Division</w:t>
      </w:r>
    </w:p>
    <w:p>
      <w:pPr>
        <w:spacing w:after="0" w:line="203" w:lineRule="exact"/>
        <w:rPr>
          <w:sz w:val="20"/>
          <w:szCs w:val="20"/>
          <w:color w:val="auto"/>
        </w:rPr>
      </w:pPr>
    </w:p>
    <w:p>
      <w:pPr>
        <w:ind w:right="180"/>
        <w:spacing w:after="0" w:line="279" w:lineRule="auto"/>
        <w:rPr>
          <w:sz w:val="20"/>
          <w:szCs w:val="20"/>
          <w:color w:val="auto"/>
        </w:rPr>
      </w:pPr>
      <w:r>
        <w:rPr>
          <w:rFonts w:ascii="Times New Roman" w:cs="Times New Roman" w:eastAsia="Times New Roman" w:hAnsi="Times New Roman"/>
          <w:sz w:val="20"/>
          <w:szCs w:val="20"/>
          <w:color w:val="auto"/>
        </w:rPr>
        <w:t>The HIFU division’s total revenues increased by 44.8% from $25.8 million in 2024 to $37.4 million in 2025, reflecting growth of equipment sales and treatment-driven revenue.</w:t>
      </w:r>
    </w:p>
    <w:p>
      <w:pPr>
        <w:spacing w:after="0" w:line="125"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20"/>
          <w:szCs w:val="20"/>
          <w:color w:val="auto"/>
        </w:rPr>
        <w:t>The HIFU division’s net sales of medical devices increased 72.1% with $18.1 million in 2025, with 35 Focal One units sold (including 20 in the U.S.), as compared to $10.5 million in 2024, with 22 Focal One units sold (including 12 in the U.S.). Treatment-driven revenue, which includes net sales of RPP &amp; leases, net sales of disposables and treatments related services, increased by 24.9% to $16.1 million in 2025.</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Net sales of HIFU maintenance services increased by 31.2% to $3.1 million in 2025.</w:t>
      </w:r>
    </w:p>
    <w:p>
      <w:pPr>
        <w:spacing w:after="0" w:line="200" w:lineRule="exact"/>
        <w:rPr>
          <w:sz w:val="20"/>
          <w:szCs w:val="20"/>
          <w:color w:val="auto"/>
        </w:rPr>
      </w:pPr>
    </w:p>
    <w:p>
      <w:pPr>
        <w:jc w:val="both"/>
        <w:ind w:right="180"/>
        <w:spacing w:after="0" w:line="259" w:lineRule="auto"/>
        <w:rPr>
          <w:sz w:val="20"/>
          <w:szCs w:val="20"/>
          <w:color w:val="auto"/>
        </w:rPr>
      </w:pPr>
      <w:r>
        <w:rPr>
          <w:rFonts w:ascii="Times New Roman" w:cs="Times New Roman" w:eastAsia="Times New Roman" w:hAnsi="Times New Roman"/>
          <w:sz w:val="20"/>
          <w:szCs w:val="20"/>
          <w:color w:val="auto"/>
        </w:rPr>
        <w:t>As a result of this growth, the HIFU division represented an increasing share of our total revenues in 2025 compared to the prior year, consistent with our strategic focus on expanding our higher-margin HIFU business while revenues from legacy Distribution and ESWL activities continue to represent a smaller portion of total revenues over time.</w:t>
      </w:r>
    </w:p>
    <w:p>
      <w:pPr>
        <w:spacing w:after="0" w:line="14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color w:val="auto"/>
        </w:rPr>
        <w:t>ESWL Division</w:t>
      </w:r>
    </w:p>
    <w:p>
      <w:pPr>
        <w:spacing w:after="0" w:line="203"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20"/>
          <w:szCs w:val="20"/>
          <w:color w:val="auto"/>
        </w:rPr>
        <w:t>The ESWL division’s total revenues decreased 23.2% from $9.7 million in 2024 to $7.5 million in 2025, primarily due to the decrease in sales of equipment, consistent with our strategic shift to de-emphasize our ESWL division and the end of manufacturing of ESWL device in 2024.</w:t>
      </w:r>
    </w:p>
    <w:p>
      <w:pPr>
        <w:spacing w:after="0" w:line="146" w:lineRule="exact"/>
        <w:rPr>
          <w:sz w:val="20"/>
          <w:szCs w:val="20"/>
          <w:color w:val="auto"/>
        </w:rPr>
      </w:pPr>
    </w:p>
    <w:p>
      <w:pPr>
        <w:ind w:right="260"/>
        <w:spacing w:after="0" w:line="279" w:lineRule="auto"/>
        <w:rPr>
          <w:sz w:val="20"/>
          <w:szCs w:val="20"/>
          <w:color w:val="auto"/>
        </w:rPr>
      </w:pPr>
      <w:r>
        <w:rPr>
          <w:rFonts w:ascii="Times New Roman" w:cs="Times New Roman" w:eastAsia="Times New Roman" w:hAnsi="Times New Roman"/>
          <w:sz w:val="20"/>
          <w:szCs w:val="20"/>
          <w:color w:val="auto"/>
        </w:rPr>
        <w:t>The ESWL division’s net sales of medical devices decreased 71.4% from $2.7 million in 2024 to $0.8 million in 2025 with 4 ESWL devices sold in 2025 compared to 13 ESWL units sold in 2024.</w:t>
      </w:r>
    </w:p>
    <w:p>
      <w:pPr>
        <w:sectPr>
          <w:pgSz w:w="12240" w:h="15840" w:orient="portrait"/>
          <w:cols w:equalWidth="0" w:num="1">
            <w:col w:w="9720"/>
          </w:cols>
          <w:pgMar w:left="1260" w:top="1247" w:right="1260" w:bottom="72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46</w:t>
      </w:r>
    </w:p>
    <w:p>
      <w:pPr>
        <w:sectPr>
          <w:pgSz w:w="12240" w:h="15840" w:orient="portrait"/>
          <w:cols w:equalWidth="0" w:num="1">
            <w:col w:w="9720"/>
          </w:cols>
          <w:pgMar w:left="1260" w:top="1247" w:right="1260" w:bottom="723" w:gutter="0" w:footer="0" w:header="0"/>
          <w:type w:val="continuous"/>
        </w:sectPr>
      </w:pPr>
    </w:p>
    <w:bookmarkStart w:id="49" w:name="page50"/>
    <w:bookmarkEnd w:id="49"/>
    <w:p>
      <w:pPr>
        <w:ind w:right="440"/>
        <w:spacing w:after="0" w:line="279"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795655</wp:posOffset>
            </wp:positionH>
            <wp:positionV relativeFrom="page">
              <wp:posOffset>292735</wp:posOffset>
            </wp:positionV>
            <wp:extent cx="929005" cy="1149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58">
                      <a:extLst>
                        <a:ext uri="{28A0092B-C50C-407E-A947-70E740481C1C}"/>
                      </a:extLst>
                    </a:blip>
                    <a:srcRect/>
                    <a:stretch>
                      <a:fillRect/>
                    </a:stretch>
                  </pic:blipFill>
                  <pic:spPr bwMode="auto">
                    <a:xfrm>
                      <a:off x="0" y="0"/>
                      <a:ext cx="929005" cy="114935"/>
                    </a:xfrm>
                    <a:prstGeom prst="rect">
                      <a:avLst/>
                    </a:prstGeom>
                    <a:noFill/>
                  </pic:spPr>
                </pic:pic>
              </a:graphicData>
            </a:graphic>
          </wp:anchor>
        </w:drawing>
        <w:t>Net sales of ESWL-related consumables, spare parts, supplies, RPP, leasing and services decreased 4.3% from $7.0 million in 2024 to $6.7 million in 2025.</w:t>
      </w:r>
    </w:p>
    <w:p>
      <w:pPr>
        <w:spacing w:after="0" w:line="12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color w:val="auto"/>
        </w:rPr>
        <w:t>Distribution Division</w:t>
      </w:r>
    </w:p>
    <w:p>
      <w:pPr>
        <w:spacing w:after="0" w:line="203" w:lineRule="exact"/>
        <w:rPr>
          <w:sz w:val="20"/>
          <w:szCs w:val="20"/>
          <w:color w:val="auto"/>
        </w:rPr>
      </w:pPr>
    </w:p>
    <w:p>
      <w:pPr>
        <w:ind w:right="700"/>
        <w:spacing w:after="0" w:line="279" w:lineRule="auto"/>
        <w:rPr>
          <w:sz w:val="20"/>
          <w:szCs w:val="20"/>
          <w:color w:val="auto"/>
        </w:rPr>
      </w:pPr>
      <w:r>
        <w:rPr>
          <w:rFonts w:ascii="Times New Roman" w:cs="Times New Roman" w:eastAsia="Times New Roman" w:hAnsi="Times New Roman"/>
          <w:sz w:val="20"/>
          <w:szCs w:val="20"/>
          <w:color w:val="auto"/>
        </w:rPr>
        <w:t>The Distribution division’s total revenues decreased 24.1% from $33.9 million in 2024 to $25.7 million in 2025, primarily due to the termination of distribution agreements.</w:t>
      </w:r>
    </w:p>
    <w:p>
      <w:pPr>
        <w:spacing w:after="0" w:line="125" w:lineRule="exact"/>
        <w:rPr>
          <w:sz w:val="20"/>
          <w:szCs w:val="20"/>
          <w:color w:val="auto"/>
        </w:rPr>
      </w:pPr>
    </w:p>
    <w:p>
      <w:pPr>
        <w:ind w:right="80"/>
        <w:spacing w:after="0" w:line="279" w:lineRule="auto"/>
        <w:rPr>
          <w:sz w:val="20"/>
          <w:szCs w:val="20"/>
          <w:color w:val="auto"/>
        </w:rPr>
      </w:pPr>
      <w:r>
        <w:rPr>
          <w:rFonts w:ascii="Times New Roman" w:cs="Times New Roman" w:eastAsia="Times New Roman" w:hAnsi="Times New Roman"/>
          <w:sz w:val="20"/>
          <w:szCs w:val="20"/>
          <w:color w:val="auto"/>
        </w:rPr>
        <w:t>The Distribution division’s net sales of medical devices decreased 14.4% from $16.2 million in 2025 to $13.9 million in 2025, consistent with our strategy to de-emphasize our Distribution division.</w:t>
      </w:r>
    </w:p>
    <w:p>
      <w:pPr>
        <w:spacing w:after="0" w:line="125" w:lineRule="exact"/>
        <w:rPr>
          <w:sz w:val="20"/>
          <w:szCs w:val="20"/>
          <w:color w:val="auto"/>
        </w:rPr>
      </w:pPr>
    </w:p>
    <w:p>
      <w:pPr>
        <w:ind w:right="280"/>
        <w:spacing w:after="0" w:line="279" w:lineRule="auto"/>
        <w:rPr>
          <w:sz w:val="20"/>
          <w:szCs w:val="20"/>
          <w:color w:val="auto"/>
        </w:rPr>
      </w:pPr>
      <w:r>
        <w:rPr>
          <w:rFonts w:ascii="Times New Roman" w:cs="Times New Roman" w:eastAsia="Times New Roman" w:hAnsi="Times New Roman"/>
          <w:sz w:val="20"/>
          <w:szCs w:val="20"/>
          <w:color w:val="auto"/>
        </w:rPr>
        <w:t>Net sales of Distribution -related consumables, spare parts, supplies, leasing and services decreased 33.0% from $17.7 million in 2024 to $11.8 million in 2025, reflecting the termination of distribution agreements.</w:t>
      </w:r>
    </w:p>
    <w:p>
      <w:pPr>
        <w:spacing w:after="0" w:line="122"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0"/>
          <w:szCs w:val="20"/>
          <w:b w:val="1"/>
          <w:bCs w:val="1"/>
          <w:color w:val="auto"/>
        </w:rPr>
        <w:t>Cost of Sales and Gross Margin</w:t>
      </w:r>
    </w:p>
    <w:p>
      <w:pPr>
        <w:spacing w:after="0" w:line="203"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0"/>
          <w:szCs w:val="20"/>
          <w:color w:val="auto"/>
        </w:rPr>
        <w:t>Cost of sales decreased 0.3% from $40.7 million in 2024 to $ 40.5 million in 2025 and represented 57.5% as a percentage of net sales in 2025, down from 58.6% as a percentage of net sales in 2024. Gross margin increased to 42.5% during the year ended December 31, 2025, compared to 41.4% for the year ended December 31, 2024. The increase in gross margin was primarily attributable to the growth in HIFU unit sales which drives higher gross margins and favorable absorption of our fixed costs due to higher production volumes, partially offset by impact of tariffs and higher excess and obsolete inventory charges.</w:t>
      </w:r>
    </w:p>
    <w:p>
      <w:pPr>
        <w:spacing w:after="0" w:line="156"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0"/>
          <w:szCs w:val="20"/>
          <w:b w:val="1"/>
          <w:bCs w:val="1"/>
          <w:color w:val="auto"/>
        </w:rPr>
        <w:t>Operating Expenses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Operating expenses increased 7.3%, or $3.7 million, from $51.0 million in 2024 to $54.7 million in 2025.</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Marketing and sales expenses were stable compared to 2024, at $27.3 million in 2025.</w:t>
      </w:r>
    </w:p>
    <w:p>
      <w:pPr>
        <w:spacing w:after="0" w:line="200" w:lineRule="exact"/>
        <w:rPr>
          <w:sz w:val="20"/>
          <w:szCs w:val="20"/>
          <w:color w:val="auto"/>
        </w:rPr>
      </w:pPr>
    </w:p>
    <w:p>
      <w:pPr>
        <w:ind w:right="280"/>
        <w:spacing w:after="0" w:line="252" w:lineRule="auto"/>
        <w:rPr>
          <w:sz w:val="20"/>
          <w:szCs w:val="20"/>
          <w:color w:val="auto"/>
        </w:rPr>
      </w:pPr>
      <w:r>
        <w:rPr>
          <w:rFonts w:ascii="Times New Roman" w:cs="Times New Roman" w:eastAsia="Times New Roman" w:hAnsi="Times New Roman"/>
          <w:sz w:val="20"/>
          <w:szCs w:val="20"/>
          <w:color w:val="auto"/>
        </w:rPr>
        <w:t>Research and development (“R&amp;D”) expenses increased 15.5% to $ 9.7 million in 2025 from $8.4 million in 2024, primarily due to the increase in research and development activities associated with our HIFU development programs and clinical studies. R&amp;D expenses are net of R&amp;D grants and tax credits of $0.4 million in 2025 and $0.6 million in 2024.</w:t>
      </w:r>
    </w:p>
    <w:p>
      <w:pPr>
        <w:spacing w:after="0" w:line="153" w:lineRule="exact"/>
        <w:rPr>
          <w:sz w:val="20"/>
          <w:szCs w:val="20"/>
          <w:color w:val="auto"/>
        </w:rPr>
      </w:pPr>
    </w:p>
    <w:p>
      <w:pPr>
        <w:ind w:right="200"/>
        <w:spacing w:after="0" w:line="279" w:lineRule="auto"/>
        <w:rPr>
          <w:sz w:val="20"/>
          <w:szCs w:val="20"/>
          <w:color w:val="auto"/>
        </w:rPr>
      </w:pPr>
      <w:r>
        <w:rPr>
          <w:rFonts w:ascii="Times New Roman" w:cs="Times New Roman" w:eastAsia="Times New Roman" w:hAnsi="Times New Roman"/>
          <w:sz w:val="20"/>
          <w:szCs w:val="20"/>
          <w:color w:val="auto"/>
        </w:rPr>
        <w:t>General and administrative expenses increased $2.5 million or 16.3% to $17.7 million in 2025, primarily driven by the expansion in the U.S.</w:t>
      </w:r>
    </w:p>
    <w:p>
      <w:pPr>
        <w:spacing w:after="0" w:line="12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color w:val="auto"/>
        </w:rPr>
        <w:t>Financial (Expense) Income, Net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Net financial expense was $3.1 million in 2025, compared with a net financial income of $0.6 million in 2024.</w:t>
      </w:r>
    </w:p>
    <w:p>
      <w:pPr>
        <w:spacing w:after="0" w:line="200" w:lineRule="exact"/>
        <w:rPr>
          <w:sz w:val="20"/>
          <w:szCs w:val="20"/>
          <w:color w:val="auto"/>
        </w:rPr>
      </w:pPr>
    </w:p>
    <w:p>
      <w:pPr>
        <w:ind w:right="320"/>
        <w:spacing w:after="0" w:line="279" w:lineRule="auto"/>
        <w:rPr>
          <w:sz w:val="20"/>
          <w:szCs w:val="20"/>
          <w:color w:val="auto"/>
        </w:rPr>
      </w:pPr>
      <w:r>
        <w:rPr>
          <w:rFonts w:ascii="Times New Roman" w:cs="Times New Roman" w:eastAsia="Times New Roman" w:hAnsi="Times New Roman"/>
          <w:sz w:val="20"/>
          <w:szCs w:val="20"/>
          <w:color w:val="auto"/>
        </w:rPr>
        <w:t>The financial expense was primarily driven by the variation of the fair value of the warrants we issued to EIB of $2.6 million and the interest expense of the EIB loan of $0.3 million, each in 2025.</w:t>
      </w:r>
    </w:p>
    <w:p>
      <w:pPr>
        <w:spacing w:after="0" w:line="12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color w:val="auto"/>
        </w:rPr>
        <w:t>Foreign Currency Exchange Gain (Loss), Net</w:t>
      </w:r>
    </w:p>
    <w:p>
      <w:pPr>
        <w:spacing w:after="0" w:line="203" w:lineRule="exact"/>
        <w:rPr>
          <w:sz w:val="20"/>
          <w:szCs w:val="20"/>
          <w:color w:val="auto"/>
        </w:rPr>
      </w:pPr>
    </w:p>
    <w:p>
      <w:pPr>
        <w:ind w:right="40"/>
        <w:spacing w:after="0" w:line="279" w:lineRule="auto"/>
        <w:rPr>
          <w:sz w:val="20"/>
          <w:szCs w:val="20"/>
          <w:color w:val="auto"/>
        </w:rPr>
      </w:pPr>
      <w:r>
        <w:rPr>
          <w:rFonts w:ascii="Times New Roman" w:cs="Times New Roman" w:eastAsia="Times New Roman" w:hAnsi="Times New Roman"/>
          <w:sz w:val="20"/>
          <w:szCs w:val="20"/>
          <w:color w:val="auto"/>
        </w:rPr>
        <w:t>In 2025, we recorded a net foreign currency exchange loss of $1.0 million, mainly due to the variation of the U.S. Dollar against the Euro and the Japanese Yen, compared to a gain of $1.3 million in 2024.</w:t>
      </w:r>
    </w:p>
    <w:p>
      <w:pPr>
        <w:spacing w:after="0" w:line="12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color w:val="auto"/>
        </w:rPr>
        <w:t>Income Taxes</w:t>
      </w:r>
    </w:p>
    <w:p>
      <w:pPr>
        <w:spacing w:after="0" w:line="203" w:lineRule="exact"/>
        <w:rPr>
          <w:sz w:val="20"/>
          <w:szCs w:val="20"/>
          <w:color w:val="auto"/>
        </w:rPr>
      </w:pPr>
    </w:p>
    <w:p>
      <w:pPr>
        <w:ind w:right="700"/>
        <w:spacing w:after="0" w:line="279" w:lineRule="auto"/>
        <w:rPr>
          <w:sz w:val="20"/>
          <w:szCs w:val="20"/>
          <w:color w:val="auto"/>
        </w:rPr>
      </w:pPr>
      <w:r>
        <w:rPr>
          <w:rFonts w:ascii="Times New Roman" w:cs="Times New Roman" w:eastAsia="Times New Roman" w:hAnsi="Times New Roman"/>
          <w:sz w:val="20"/>
          <w:szCs w:val="20"/>
          <w:color w:val="auto"/>
        </w:rPr>
        <w:t>Income tax expenses in the consolidated statement of operations remained relatively flat at $0.4 million in 2025, compared to $0.3 million in 2024.</w:t>
      </w:r>
    </w:p>
    <w:p>
      <w:pPr>
        <w:sectPr>
          <w:pgSz w:w="12240" w:h="15840" w:orient="portrait"/>
          <w:cols w:equalWidth="0" w:num="1">
            <w:col w:w="9700"/>
          </w:cols>
          <w:pgMar w:left="1260" w:top="1247" w:right="1280" w:bottom="72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47</w:t>
      </w:r>
    </w:p>
    <w:p>
      <w:pPr>
        <w:sectPr>
          <w:pgSz w:w="12240" w:h="15840" w:orient="portrait"/>
          <w:cols w:equalWidth="0" w:num="1">
            <w:col w:w="9700"/>
          </w:cols>
          <w:pgMar w:left="1260" w:top="1247" w:right="1280" w:bottom="723" w:gutter="0" w:footer="0" w:header="0"/>
          <w:type w:val="continuous"/>
        </w:sectPr>
      </w:pPr>
    </w:p>
    <w:bookmarkStart w:id="50" w:name="page51"/>
    <w:bookmarkEnd w:id="50"/>
    <w:p>
      <w:pPr>
        <w:ind w:left="720"/>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795655</wp:posOffset>
            </wp:positionH>
            <wp:positionV relativeFrom="page">
              <wp:posOffset>292735</wp:posOffset>
            </wp:positionV>
            <wp:extent cx="929005" cy="1149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59">
                      <a:extLst>
                        <a:ext uri="{28A0092B-C50C-407E-A947-70E740481C1C}"/>
                      </a:extLst>
                    </a:blip>
                    <a:srcRect/>
                    <a:stretch>
                      <a:fillRect/>
                    </a:stretch>
                  </pic:blipFill>
                  <pic:spPr bwMode="auto">
                    <a:xfrm>
                      <a:off x="0" y="0"/>
                      <a:ext cx="929005" cy="114935"/>
                    </a:xfrm>
                    <a:prstGeom prst="rect">
                      <a:avLst/>
                    </a:prstGeom>
                    <a:noFill/>
                  </pic:spPr>
                </pic:pic>
              </a:graphicData>
            </a:graphic>
          </wp:anchor>
        </w:drawing>
        <w:t>Net Loss</w:t>
      </w:r>
    </w:p>
    <w:p>
      <w:pPr>
        <w:spacing w:after="0" w:line="203" w:lineRule="exact"/>
        <w:rPr>
          <w:sz w:val="20"/>
          <w:szCs w:val="20"/>
          <w:color w:val="auto"/>
        </w:rPr>
      </w:pPr>
    </w:p>
    <w:p>
      <w:pPr>
        <w:ind w:right="120"/>
        <w:spacing w:after="0" w:line="279" w:lineRule="auto"/>
        <w:rPr>
          <w:sz w:val="20"/>
          <w:szCs w:val="20"/>
          <w:color w:val="auto"/>
        </w:rPr>
      </w:pPr>
      <w:r>
        <w:rPr>
          <w:rFonts w:ascii="Times New Roman" w:cs="Times New Roman" w:eastAsia="Times New Roman" w:hAnsi="Times New Roman"/>
          <w:sz w:val="20"/>
          <w:szCs w:val="20"/>
          <w:color w:val="auto"/>
        </w:rPr>
        <w:t>As a result of the above, we recorded a consolidated net loss of $29.2 million in 2025 compared with a consolidated net loss of $20.6 million in 2024.</w:t>
      </w:r>
    </w:p>
    <w:p>
      <w:pPr>
        <w:spacing w:after="0" w:line="125" w:lineRule="exact"/>
        <w:rPr>
          <w:sz w:val="20"/>
          <w:szCs w:val="20"/>
          <w:color w:val="auto"/>
        </w:rPr>
      </w:pPr>
    </w:p>
    <w:p>
      <w:pPr>
        <w:ind w:right="140"/>
        <w:spacing w:after="0" w:line="279" w:lineRule="auto"/>
        <w:rPr>
          <w:sz w:val="20"/>
          <w:szCs w:val="20"/>
          <w:color w:val="auto"/>
        </w:rPr>
      </w:pPr>
      <w:r>
        <w:rPr>
          <w:rFonts w:ascii="Times New Roman" w:cs="Times New Roman" w:eastAsia="Times New Roman" w:hAnsi="Times New Roman"/>
          <w:sz w:val="20"/>
          <w:szCs w:val="20"/>
          <w:color w:val="auto"/>
        </w:rPr>
        <w:t>For comparison between the fiscal year ended December 31, 2024 and the fiscal year ended December 31, 2023, please refer to our annual report on Form 20-F filed with the SEC on March 27, 2025.</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Effect of Inflation</w:t>
      </w:r>
    </w:p>
    <w:p>
      <w:pPr>
        <w:spacing w:after="0" w:line="203"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20"/>
          <w:szCs w:val="20"/>
          <w:color w:val="auto"/>
        </w:rPr>
        <w:t>In 2025 and 2024, geopolitical instability and other factors have led to worldwide inflation, leading to a global increase in costs. We are constantly addressing this cost increase by mitigating the impact on our margins, in particular by adjusting our prices, reducing our costs or implementing counter measures to ensure the minimum residual impact.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203" w:lineRule="exact"/>
        <w:rPr>
          <w:sz w:val="20"/>
          <w:szCs w:val="20"/>
          <w:color w:val="auto"/>
        </w:rPr>
      </w:pPr>
    </w:p>
    <w:p>
      <w:pPr>
        <w:ind w:right="740"/>
        <w:spacing w:after="0" w:line="279" w:lineRule="auto"/>
        <w:rPr>
          <w:sz w:val="20"/>
          <w:szCs w:val="20"/>
          <w:color w:val="auto"/>
        </w:rPr>
      </w:pPr>
      <w:r>
        <w:rPr>
          <w:rFonts w:ascii="Times New Roman" w:cs="Times New Roman" w:eastAsia="Times New Roman" w:hAnsi="Times New Roman"/>
          <w:sz w:val="20"/>
          <w:szCs w:val="20"/>
          <w:color w:val="auto"/>
        </w:rPr>
        <w:t>Our primary sources of capital from inception through December 31, 2025, have been from ongoing operations, proceeds from our public and private securities offerings and the incurrence of indebtedness.</w:t>
      </w:r>
    </w:p>
    <w:p>
      <w:pPr>
        <w:spacing w:after="0" w:line="125"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20"/>
          <w:szCs w:val="20"/>
          <w:color w:val="auto"/>
        </w:rPr>
        <w:t>As of December 31, 2025, our total indebtedness, comprised of short term borrowings, long term debt and obligations under finance lease, was $24.5 million, of which $8.3 million is classified as current in our Consolidated Balance Sheet. As of December 31, 2025, we had $6.9 million outstanding under our EIB Loan (as defined below) and 2,624,421 Tranche A Warrants issued to EIB. The fair value of outstanding Warrants as of December 31, 2025 was $8.1 million.</w:t>
      </w:r>
    </w:p>
    <w:p>
      <w:pPr>
        <w:spacing w:after="0" w:line="151"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20"/>
          <w:szCs w:val="20"/>
          <w:color w:val="auto"/>
        </w:rPr>
        <w:t>As of December 31, 2025, we had $20.5 million in cash and cash equivalents, a decrease of $10.5 million from December 31, 2024. We intend to draw Tranche B of its Credit Facility with EIB for €12 million in April 2026 on the basis that we believe that we have or are able to satisfy to all condition precedents at the date of this annual report (refer to Notes 1-24 and 16-1- 1 to our consolidated financial statements for further discussion on the Credit Facility and Company’s debt). With these additional proceeds, we believe we will have sufficient funds to support our operations for at least a period of twelve months from the date of issue of this annual report.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primary short-term needs for capital for our planned operations, which are subject to change, include:</w:t>
      </w:r>
    </w:p>
    <w:p>
      <w:pPr>
        <w:spacing w:after="0" w:line="214" w:lineRule="exact"/>
        <w:rPr>
          <w:sz w:val="20"/>
          <w:szCs w:val="20"/>
          <w:color w:val="auto"/>
        </w:rPr>
      </w:pPr>
    </w:p>
    <w:p>
      <w:pPr>
        <w:ind w:left="720" w:right="220" w:hanging="353"/>
        <w:spacing w:after="0" w:line="247" w:lineRule="auto"/>
        <w:tabs>
          <w:tab w:leader="none" w:pos="720" w:val="left"/>
        </w:tabs>
        <w:numPr>
          <w:ilvl w:val="0"/>
          <w:numId w:val="32"/>
        </w:numPr>
        <w:rPr>
          <w:rFonts w:ascii="Arial" w:cs="Arial" w:eastAsia="Arial" w:hAnsi="Arial"/>
          <w:sz w:val="20"/>
          <w:szCs w:val="20"/>
          <w:color w:val="auto"/>
        </w:rPr>
      </w:pPr>
      <w:r>
        <w:rPr>
          <w:rFonts w:ascii="Times New Roman" w:cs="Times New Roman" w:eastAsia="Times New Roman" w:hAnsi="Times New Roman"/>
          <w:sz w:val="20"/>
          <w:szCs w:val="20"/>
          <w:color w:val="auto"/>
        </w:rPr>
        <w:t>continued commercialization efforts and expansion of our sales and marketing infrastructure and programs to drive anticipated sales growth in the United States and elsewhere; and</w:t>
      </w:r>
    </w:p>
    <w:p>
      <w:pPr>
        <w:spacing w:after="0" w:line="1" w:lineRule="exact"/>
        <w:rPr>
          <w:rFonts w:ascii="Arial" w:cs="Arial" w:eastAsia="Arial" w:hAnsi="Arial"/>
          <w:sz w:val="20"/>
          <w:szCs w:val="20"/>
          <w:color w:val="auto"/>
        </w:rPr>
      </w:pPr>
    </w:p>
    <w:p>
      <w:pPr>
        <w:ind w:left="720" w:right="40" w:hanging="353"/>
        <w:spacing w:after="0" w:line="278" w:lineRule="auto"/>
        <w:tabs>
          <w:tab w:leader="none" w:pos="720" w:val="left"/>
        </w:tabs>
        <w:numPr>
          <w:ilvl w:val="0"/>
          <w:numId w:val="32"/>
        </w:numPr>
        <w:rPr>
          <w:rFonts w:ascii="Arial" w:cs="Arial" w:eastAsia="Arial" w:hAnsi="Arial"/>
          <w:sz w:val="20"/>
          <w:szCs w:val="20"/>
          <w:color w:val="auto"/>
        </w:rPr>
      </w:pPr>
      <w:r>
        <w:rPr>
          <w:rFonts w:ascii="Times New Roman" w:cs="Times New Roman" w:eastAsia="Times New Roman" w:hAnsi="Times New Roman"/>
          <w:sz w:val="20"/>
          <w:szCs w:val="20"/>
          <w:color w:val="auto"/>
        </w:rPr>
        <w:t>expanding our research and development initiatives to improve our existing products and develop new products and solutions.</w:t>
      </w:r>
    </w:p>
    <w:p>
      <w:pPr>
        <w:spacing w:after="0" w:line="126"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20"/>
          <w:szCs w:val="20"/>
          <w:color w:val="auto"/>
        </w:rPr>
        <w:t>We have based our short- term capital needs and planned operating requirements on assumptions that may prove to be incorrect and we may use all our available capital resources sooner than we expect. We may require additional financing to fund our operations and planned growth. We may also seek additional financing opportunistically. We may seek to raise any additional capital through public or private equity offerings or debt financings, credit or loan facilities or a combination of one or more of these funding sources. Additional funds may not be available to us on acceptable terms or at all. If we fail to obtain necessary capital when needed on acceptable terms, or at all, we could be forced to delay, limit, reduce or terminate our product development programs, commercialization efforts or other operations. If we raise additional funds by issuing equity securities, our stockholders will suffer dilution and the terms of any financing may adversely affect the rights of our stockholders. In addition, as a condition to providing additional funds to us, future investors may demand, and may be granted, rights superior to those of existing stockholders. If we raise additional capital through collaborations agreements, licensing arrangements or marketing and distribution arrangements, we may have to relinquish valuable rights to our technologies, future revenue streams, research programs or product or grant licenses that may not be favorable to us. Debt financing, if available, may involve restrictive covenants limiting our flexibility in conducting future business activities, and, in the event of insolvency, debt holders would be repaid before holders of our equity securities received any distribution of our corporate assets. In addition, market conditions impacting financial institutions could impact our ability to access some or all of our cash, cash equivalents and marketable securities, and we may be unable to obtain alternative funding when and as needed on acceptable terms, if at all.</w:t>
      </w:r>
    </w:p>
    <w:p>
      <w:pPr>
        <w:sectPr>
          <w:pgSz w:w="12240" w:h="15840" w:orient="portrait"/>
          <w:cols w:equalWidth="0" w:num="1">
            <w:col w:w="9700"/>
          </w:cols>
          <w:pgMar w:left="1260" w:top="1243" w:right="1280" w:bottom="723"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48</w:t>
      </w:r>
    </w:p>
    <w:p>
      <w:pPr>
        <w:sectPr>
          <w:pgSz w:w="12240" w:h="15840" w:orient="portrait"/>
          <w:cols w:equalWidth="0" w:num="1">
            <w:col w:w="9700"/>
          </w:cols>
          <w:pgMar w:left="1260" w:top="1243" w:right="1280" w:bottom="723"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795655</wp:posOffset>
            </wp:positionH>
            <wp:positionV relativeFrom="page">
              <wp:posOffset>292735</wp:posOffset>
            </wp:positionV>
            <wp:extent cx="929005" cy="1149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0">
                      <a:extLst>
                        <a:ext uri="{28A0092B-C50C-407E-A947-70E740481C1C}"/>
                      </a:extLst>
                    </a:blip>
                    <a:srcRect/>
                    <a:stretch>
                      <a:fillRect/>
                    </a:stretch>
                  </pic:blipFill>
                  <pic:spPr bwMode="auto">
                    <a:xfrm>
                      <a:off x="0" y="0"/>
                      <a:ext cx="929005" cy="114935"/>
                    </a:xfrm>
                    <a:prstGeom prst="rect">
                      <a:avLst/>
                    </a:prstGeom>
                    <a:noFill/>
                  </pic:spPr>
                </pic:pic>
              </a:graphicData>
            </a:graphic>
          </wp:anchor>
        </w:drawing>
        <w:t>EIB Obligations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Finance Contract</w:t>
      </w:r>
    </w:p>
    <w:p>
      <w:pPr>
        <w:spacing w:after="0" w:line="198"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0"/>
          <w:szCs w:val="20"/>
          <w:color w:val="auto"/>
        </w:rPr>
        <w:t>On October 17, 2025 (the “Effective Date”), we entered into a €36.0 million credit facility agreement (the “Finance Contract”) with the European Investment Bank (“EIB”, and such credit facility, the “Credit Facility”). We plan to use the proceeds from the Credit Facility to further our research and development projects relating to our robotic medical technology using high-intensity focused ultrasound to treat various medical conditions such as prostate cancer and endometriosis (the “Project”).</w:t>
      </w:r>
    </w:p>
    <w:p>
      <w:pPr>
        <w:spacing w:after="0" w:line="154" w:lineRule="exact"/>
        <w:rPr>
          <w:sz w:val="20"/>
          <w:szCs w:val="20"/>
          <w:color w:val="auto"/>
        </w:rPr>
      </w:pPr>
    </w:p>
    <w:p>
      <w:pPr>
        <w:ind w:right="260"/>
        <w:spacing w:after="0" w:line="252" w:lineRule="auto"/>
        <w:rPr>
          <w:sz w:val="20"/>
          <w:szCs w:val="20"/>
          <w:color w:val="auto"/>
        </w:rPr>
      </w:pPr>
      <w:r>
        <w:rPr>
          <w:rFonts w:ascii="Times New Roman" w:cs="Times New Roman" w:eastAsia="Times New Roman" w:hAnsi="Times New Roman"/>
          <w:sz w:val="20"/>
          <w:szCs w:val="20"/>
          <w:color w:val="auto"/>
        </w:rPr>
        <w:t>The Credit Facility is comprised of three tranches: €11.0 million for the first tranche (“Tranche A”), €12.0 million for the second tranche (“Tranche B”), and € 13.0 million for the third tranche (“Tranche C”, and collectively, the “Tranches”). Each Tranche has and will have a maturity date of five years following disbursement of borrowings. The disbursement of borrowings for each Tranche is subject to certain conditions.</w:t>
      </w:r>
    </w:p>
    <w:p>
      <w:pPr>
        <w:spacing w:after="0" w:line="153"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20"/>
          <w:szCs w:val="20"/>
          <w:color w:val="auto"/>
        </w:rPr>
        <w:t>On October 17, 2025, we requested the Tranche A borrowings and issued 2,624,421 Tranche A Warrants to EIB. Each Tranche A Warrant entitles EIB, upon exercise, to subscribe for one ordinary share, representing a share capital increase for the Company of a maximum nominal amount of €341,174.73, at a strike price (issue premium included) of €1.51 per ordinary share. The Tranche A €11.0 million borrowings were disbursed by EIB early November 2025. The Tranche A borrowings will mature five years from the disbursement date and interest on the Tranche A borrowings shall be payable on the maturity date of Tranche A, and shall capitalize annually by increasing the principal amount of Tranche A. Interest will accrue on Tranche A borrowing at a fixed rate of 8% per annum.</w:t>
      </w:r>
    </w:p>
    <w:p>
      <w:pPr>
        <w:spacing w:after="0" w:line="160"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20"/>
          <w:szCs w:val="20"/>
          <w:color w:val="auto"/>
        </w:rPr>
        <w:t>We are entitled and intend to request for disburement of Tranche B borrowings for €12.0 million in April 2026 on the basis that we believe we have or are able to satisfy to all condition precedents to draw this second tranche at the date this annual report is issued. Those conditions include, among other things:</w:t>
      </w:r>
    </w:p>
    <w:p>
      <w:pPr>
        <w:spacing w:after="0" w:line="160" w:lineRule="exact"/>
        <w:rPr>
          <w:sz w:val="20"/>
          <w:szCs w:val="20"/>
          <w:color w:val="auto"/>
        </w:rPr>
      </w:pPr>
    </w:p>
    <w:p>
      <w:pPr>
        <w:ind w:left="720" w:hanging="353"/>
        <w:spacing w:after="0"/>
        <w:tabs>
          <w:tab w:leader="none" w:pos="720" w:val="left"/>
        </w:tabs>
        <w:numPr>
          <w:ilvl w:val="0"/>
          <w:numId w:val="33"/>
        </w:numPr>
        <w:rPr>
          <w:rFonts w:ascii="Arial" w:cs="Arial" w:eastAsia="Arial" w:hAnsi="Arial"/>
          <w:sz w:val="20"/>
          <w:szCs w:val="20"/>
          <w:color w:val="auto"/>
        </w:rPr>
      </w:pPr>
      <w:r>
        <w:rPr>
          <w:rFonts w:ascii="Times New Roman" w:cs="Times New Roman" w:eastAsia="Times New Roman" w:hAnsi="Times New Roman"/>
          <w:sz w:val="20"/>
          <w:szCs w:val="20"/>
          <w:color w:val="auto"/>
        </w:rPr>
        <w:t>issuance of the Tranche B Warrants (defined below);</w:t>
      </w:r>
    </w:p>
    <w:p>
      <w:pPr>
        <w:spacing w:after="0" w:line="13" w:lineRule="exact"/>
        <w:rPr>
          <w:rFonts w:ascii="Arial" w:cs="Arial" w:eastAsia="Arial" w:hAnsi="Arial"/>
          <w:sz w:val="20"/>
          <w:szCs w:val="20"/>
          <w:color w:val="auto"/>
        </w:rPr>
      </w:pPr>
    </w:p>
    <w:p>
      <w:pPr>
        <w:ind w:left="720" w:hanging="353"/>
        <w:spacing w:after="0"/>
        <w:tabs>
          <w:tab w:leader="none" w:pos="720" w:val="left"/>
        </w:tabs>
        <w:numPr>
          <w:ilvl w:val="0"/>
          <w:numId w:val="33"/>
        </w:numPr>
        <w:rPr>
          <w:rFonts w:ascii="Arial" w:cs="Arial" w:eastAsia="Arial" w:hAnsi="Arial"/>
          <w:sz w:val="20"/>
          <w:szCs w:val="20"/>
          <w:color w:val="auto"/>
        </w:rPr>
      </w:pPr>
      <w:r>
        <w:rPr>
          <w:rFonts w:ascii="Times New Roman" w:cs="Times New Roman" w:eastAsia="Times New Roman" w:hAnsi="Times New Roman"/>
          <w:sz w:val="20"/>
          <w:szCs w:val="20"/>
          <w:color w:val="auto"/>
        </w:rPr>
        <w:t>achievement of certain revenue and EBITDA thresholds; and</w:t>
      </w:r>
    </w:p>
    <w:p>
      <w:pPr>
        <w:spacing w:after="0" w:line="13" w:lineRule="exact"/>
        <w:rPr>
          <w:rFonts w:ascii="Arial" w:cs="Arial" w:eastAsia="Arial" w:hAnsi="Arial"/>
          <w:sz w:val="20"/>
          <w:szCs w:val="20"/>
          <w:color w:val="auto"/>
        </w:rPr>
      </w:pPr>
    </w:p>
    <w:p>
      <w:pPr>
        <w:ind w:left="720" w:hanging="353"/>
        <w:spacing w:after="0"/>
        <w:tabs>
          <w:tab w:leader="none" w:pos="720" w:val="left"/>
        </w:tabs>
        <w:numPr>
          <w:ilvl w:val="0"/>
          <w:numId w:val="33"/>
        </w:numPr>
        <w:rPr>
          <w:rFonts w:ascii="Arial" w:cs="Arial" w:eastAsia="Arial" w:hAnsi="Arial"/>
          <w:sz w:val="20"/>
          <w:szCs w:val="20"/>
          <w:color w:val="auto"/>
        </w:rPr>
      </w:pPr>
      <w:r>
        <w:rPr>
          <w:rFonts w:ascii="Times New Roman" w:cs="Times New Roman" w:eastAsia="Times New Roman" w:hAnsi="Times New Roman"/>
          <w:sz w:val="20"/>
          <w:szCs w:val="20"/>
          <w:color w:val="auto"/>
        </w:rPr>
        <w:t>achievement of certain manufacturing and clinical milestones.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are entitled to, and may request, disbursement of Tranche C borrowings at any time in the 30 months following the</w:t>
      </w:r>
    </w:p>
    <w:p>
      <w:pPr>
        <w:spacing w:after="0"/>
        <w:rPr>
          <w:sz w:val="20"/>
          <w:szCs w:val="20"/>
          <w:color w:val="auto"/>
        </w:rPr>
      </w:pPr>
      <w:r>
        <w:rPr>
          <w:rFonts w:ascii="Times New Roman" w:cs="Times New Roman" w:eastAsia="Times New Roman" w:hAnsi="Times New Roman"/>
          <w:sz w:val="20"/>
          <w:szCs w:val="20"/>
          <w:color w:val="auto"/>
        </w:rPr>
        <w:t>Effective Date upon the occurrence of certain conditions, including, among other things:</w:t>
      </w:r>
    </w:p>
    <w:p>
      <w:pPr>
        <w:spacing w:after="0" w:line="214" w:lineRule="exact"/>
        <w:rPr>
          <w:sz w:val="20"/>
          <w:szCs w:val="20"/>
          <w:color w:val="auto"/>
        </w:rPr>
      </w:pPr>
    </w:p>
    <w:p>
      <w:pPr>
        <w:ind w:left="720" w:hanging="353"/>
        <w:spacing w:after="0"/>
        <w:tabs>
          <w:tab w:leader="none" w:pos="720" w:val="left"/>
        </w:tabs>
        <w:numPr>
          <w:ilvl w:val="0"/>
          <w:numId w:val="34"/>
        </w:numPr>
        <w:rPr>
          <w:rFonts w:ascii="Arial" w:cs="Arial" w:eastAsia="Arial" w:hAnsi="Arial"/>
          <w:sz w:val="20"/>
          <w:szCs w:val="20"/>
          <w:color w:val="auto"/>
        </w:rPr>
      </w:pPr>
      <w:r>
        <w:rPr>
          <w:rFonts w:ascii="Times New Roman" w:cs="Times New Roman" w:eastAsia="Times New Roman" w:hAnsi="Times New Roman"/>
          <w:sz w:val="20"/>
          <w:szCs w:val="20"/>
          <w:color w:val="auto"/>
        </w:rPr>
        <w:t>issuance of the Tranche C Warrants (defined below);</w:t>
      </w:r>
    </w:p>
    <w:p>
      <w:pPr>
        <w:spacing w:after="0" w:line="13" w:lineRule="exact"/>
        <w:rPr>
          <w:rFonts w:ascii="Arial" w:cs="Arial" w:eastAsia="Arial" w:hAnsi="Arial"/>
          <w:sz w:val="20"/>
          <w:szCs w:val="20"/>
          <w:color w:val="auto"/>
        </w:rPr>
      </w:pPr>
    </w:p>
    <w:p>
      <w:pPr>
        <w:ind w:left="720" w:hanging="353"/>
        <w:spacing w:after="0"/>
        <w:tabs>
          <w:tab w:leader="none" w:pos="720" w:val="left"/>
        </w:tabs>
        <w:numPr>
          <w:ilvl w:val="0"/>
          <w:numId w:val="34"/>
        </w:numPr>
        <w:rPr>
          <w:rFonts w:ascii="Arial" w:cs="Arial" w:eastAsia="Arial" w:hAnsi="Arial"/>
          <w:sz w:val="20"/>
          <w:szCs w:val="20"/>
          <w:color w:val="auto"/>
        </w:rPr>
      </w:pPr>
      <w:r>
        <w:rPr>
          <w:rFonts w:ascii="Times New Roman" w:cs="Times New Roman" w:eastAsia="Times New Roman" w:hAnsi="Times New Roman"/>
          <w:sz w:val="20"/>
          <w:szCs w:val="20"/>
          <w:color w:val="auto"/>
        </w:rPr>
        <w:t>achievement of certain revenue and EBITDA thresholds; and</w:t>
      </w:r>
    </w:p>
    <w:p>
      <w:pPr>
        <w:spacing w:after="0" w:line="13" w:lineRule="exact"/>
        <w:rPr>
          <w:rFonts w:ascii="Arial" w:cs="Arial" w:eastAsia="Arial" w:hAnsi="Arial"/>
          <w:sz w:val="20"/>
          <w:szCs w:val="20"/>
          <w:color w:val="auto"/>
        </w:rPr>
      </w:pPr>
    </w:p>
    <w:p>
      <w:pPr>
        <w:ind w:left="720" w:hanging="353"/>
        <w:spacing w:after="0"/>
        <w:tabs>
          <w:tab w:leader="none" w:pos="720" w:val="left"/>
        </w:tabs>
        <w:numPr>
          <w:ilvl w:val="0"/>
          <w:numId w:val="34"/>
        </w:numPr>
        <w:rPr>
          <w:rFonts w:ascii="Arial" w:cs="Arial" w:eastAsia="Arial" w:hAnsi="Arial"/>
          <w:sz w:val="20"/>
          <w:szCs w:val="20"/>
          <w:color w:val="auto"/>
        </w:rPr>
      </w:pPr>
      <w:r>
        <w:rPr>
          <w:rFonts w:ascii="Times New Roman" w:cs="Times New Roman" w:eastAsia="Times New Roman" w:hAnsi="Times New Roman"/>
          <w:sz w:val="20"/>
          <w:szCs w:val="20"/>
          <w:color w:val="auto"/>
        </w:rPr>
        <w:t>achievement of certain manufacturing and commercialization milestones.</w:t>
      </w:r>
    </w:p>
    <w:p>
      <w:pPr>
        <w:spacing w:after="0" w:line="199"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20"/>
          <w:szCs w:val="20"/>
          <w:color w:val="auto"/>
        </w:rPr>
        <w:t>Interest will accrue on Tranche A and Tranche B borrowings at a fixed rate of 8% per annum and 7% per annum, respectively, payable on an annual basis; however, such interest is permitted to be deferred, such that it is payable at the maturity date of each such Tranche. Interest will accrue on Tranche C borrowings at a fixed rate of 6% per annum, payable on an annual basis until the Tranche C maturity date.</w:t>
      </w:r>
    </w:p>
    <w:p>
      <w:pPr>
        <w:spacing w:after="0" w:line="153"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20"/>
          <w:szCs w:val="20"/>
          <w:color w:val="auto"/>
        </w:rPr>
        <w:t>Subject to certain terms and conditions, upon the occurrence of certain events, EIB may (i) demand immediate repayment of all or part of the outstanding borrowings, depending on the specific event, together with accrued interest, and all other accrued or outstanding amounts payable to EIB under the Finance Contract and/or cancel any undisbursed Tranches and (ii) accelerate the vesting of the Warrants and EIB’s exercisability of its put right with respect to the Warrants. The Finance Contract also includes a customary event of default.</w:t>
      </w:r>
    </w:p>
    <w:p>
      <w:pPr>
        <w:spacing w:after="0" w:line="15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0"/>
          <w:szCs w:val="20"/>
          <w:color w:val="auto"/>
        </w:rPr>
        <w:t>As a condition precedent to the disbursement of Tranche A, we had to provide to EIB guarantee agreements of certain of our subsidiaries wherein such subsidiaries provided guarantees with respect to the Company’s obligations towards EIB under the Finance Contract.</w:t>
      </w:r>
    </w:p>
    <w:p>
      <w:pPr>
        <w:sectPr>
          <w:pgSz w:w="12240" w:h="15840" w:orient="portrait"/>
          <w:cols w:equalWidth="0" w:num="1">
            <w:col w:w="9720"/>
          </w:cols>
          <w:pgMar w:left="1260" w:top="1243" w:right="1260" w:bottom="72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49</w:t>
      </w:r>
    </w:p>
    <w:p>
      <w:pPr>
        <w:sectPr>
          <w:pgSz w:w="12240" w:h="15840" w:orient="portrait"/>
          <w:cols w:equalWidth="0" w:num="1">
            <w:col w:w="9720"/>
          </w:cols>
          <w:pgMar w:left="1260" w:top="1243" w:right="1260" w:bottom="723" w:gutter="0" w:footer="0" w:header="0"/>
          <w:type w:val="continuous"/>
        </w:sectPr>
      </w:pPr>
    </w:p>
    <w:bookmarkStart w:id="52" w:name="page53"/>
    <w:bookmarkEnd w:id="52"/>
    <w:p>
      <w:pPr>
        <w:ind w:right="180"/>
        <w:spacing w:after="0" w:line="279"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795655</wp:posOffset>
            </wp:positionH>
            <wp:positionV relativeFrom="page">
              <wp:posOffset>292735</wp:posOffset>
            </wp:positionV>
            <wp:extent cx="929005" cy="1149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1">
                      <a:extLst>
                        <a:ext uri="{28A0092B-C50C-407E-A947-70E740481C1C}"/>
                      </a:extLst>
                    </a:blip>
                    <a:srcRect/>
                    <a:stretch>
                      <a:fillRect/>
                    </a:stretch>
                  </pic:blipFill>
                  <pic:spPr bwMode="auto">
                    <a:xfrm>
                      <a:off x="0" y="0"/>
                      <a:ext cx="929005" cy="114935"/>
                    </a:xfrm>
                    <a:prstGeom prst="rect">
                      <a:avLst/>
                    </a:prstGeom>
                    <a:noFill/>
                  </pic:spPr>
                </pic:pic>
              </a:graphicData>
            </a:graphic>
          </wp:anchor>
        </w:drawing>
        <w:t>During 2026 we obtained a waiver from the EIB relating to an Event of Default triggered by a non-compliance under a separate credit facility. See Note 16-3 Debt Covenants to the consolidated financial statements.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Warrant Agreement</w:t>
      </w:r>
    </w:p>
    <w:p>
      <w:pPr>
        <w:spacing w:after="0" w:line="203"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20"/>
          <w:szCs w:val="20"/>
          <w:color w:val="auto"/>
        </w:rPr>
        <w:t>Concurrent with the execution of the Finance Contract, we entered into a warrant agreement (the “Warrant Agreement”) with EIB, which establishes the terms of certain warrants (the “Warrants”) to be issued by us to EIB prior to the receipt of borrowings under each Tranche. The Warrant Agreement contains certain customary representations and warranties by us and is governed by French law. As of March 17, 2026, we have issued 2,624,421 Warrants to EIB in connection with borrowings under Tranche A.</w:t>
      </w:r>
    </w:p>
    <w:p>
      <w:pPr>
        <w:spacing w:after="0" w:line="156" w:lineRule="exact"/>
        <w:rPr>
          <w:sz w:val="20"/>
          <w:szCs w:val="20"/>
          <w:color w:val="auto"/>
        </w:rPr>
      </w:pPr>
    </w:p>
    <w:p>
      <w:pPr>
        <w:ind w:right="80"/>
        <w:spacing w:after="0" w:line="248" w:lineRule="auto"/>
        <w:rPr>
          <w:sz w:val="20"/>
          <w:szCs w:val="20"/>
          <w:color w:val="auto"/>
        </w:rPr>
      </w:pPr>
      <w:r>
        <w:rPr>
          <w:rFonts w:ascii="Times New Roman" w:cs="Times New Roman" w:eastAsia="Times New Roman" w:hAnsi="Times New Roman"/>
          <w:sz w:val="20"/>
          <w:szCs w:val="20"/>
          <w:color w:val="auto"/>
        </w:rPr>
        <w:t>The number of Warrants to be issued in connection with our borrowings under Tranche B and Tranche C will be calculated by dividing the corresponding Tranche borrowings (€12.0 million for Tranche B and €13.0 million for Tranche C) by the euro equivalent 90- day average Nasdaq closing price of our ADSs, multiplied by an increasing factor (3 and 4.2, respectively). The exercise price for each Warrant under each Tranche is determined by taking 90 percent of the euro equivalent 90-day average Nasdaq closing price of our ADSs as of the day prior to issuance of the Warrants for the applicable Tranche, as reduced by a 10% discount.</w:t>
      </w:r>
    </w:p>
    <w:p>
      <w:pPr>
        <w:spacing w:after="0" w:line="156" w:lineRule="exact"/>
        <w:rPr>
          <w:sz w:val="20"/>
          <w:szCs w:val="20"/>
          <w:color w:val="auto"/>
        </w:rPr>
      </w:pPr>
    </w:p>
    <w:p>
      <w:pPr>
        <w:jc w:val="both"/>
        <w:ind w:right="140"/>
        <w:spacing w:after="0" w:line="239" w:lineRule="auto"/>
        <w:rPr>
          <w:sz w:val="20"/>
          <w:szCs w:val="20"/>
          <w:color w:val="auto"/>
        </w:rPr>
      </w:pPr>
      <w:r>
        <w:rPr>
          <w:rFonts w:ascii="Times New Roman" w:cs="Times New Roman" w:eastAsia="Times New Roman" w:hAnsi="Times New Roman"/>
          <w:sz w:val="20"/>
          <w:szCs w:val="20"/>
          <w:color w:val="auto"/>
        </w:rPr>
        <w:t>Each Warrant shall be exercisable for one ordinary share, subject to the anti-dilution adjustments described below. The Warrants have a maturity of twenty years, and outstanding Warrants are exercisable upon the earliest to occur of (i) the maturity date of the applicable Tranche, and (ii) the occurrence of certain events (each an “Exercise Event”), including,</w:t>
      </w:r>
    </w:p>
    <w:p>
      <w:pPr>
        <w:spacing w:after="0" w:line="2" w:lineRule="exact"/>
        <w:rPr>
          <w:sz w:val="20"/>
          <w:szCs w:val="20"/>
          <w:color w:val="auto"/>
        </w:rPr>
      </w:pPr>
    </w:p>
    <w:p>
      <w:pPr>
        <w:ind w:right="40" w:firstLine="7"/>
        <w:spacing w:after="0" w:line="259" w:lineRule="auto"/>
        <w:tabs>
          <w:tab w:leader="none" w:pos="274"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disposal of assets, or shares of subsidiaries holding assets, related to research and development projects, (b) a change of control of our company, (c) the maturity date of the last Tranche disbursed under the Finance Contract, (d) the prepayment of any principal amount due under the Finance Contract, or (e) an event of default.</w:t>
      </w:r>
    </w:p>
    <w:p>
      <w:pPr>
        <w:spacing w:after="0" w:line="14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0"/>
          <w:szCs w:val="20"/>
          <w:color w:val="auto"/>
        </w:rPr>
        <w:t>Following any Exercise Event and until expiration of the applicable Warrants, EIB may exercise a put option pursuant to which EIB may require us to repurchase all or part of such then-exercisable Warrants at the fair market value, up to a number of Warrants that would result in the put option price being no higher than €20 million in respect of all then-exercisable Warrants.</w:t>
      </w:r>
    </w:p>
    <w:p>
      <w:pPr>
        <w:spacing w:after="0" w:line="151"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0"/>
          <w:szCs w:val="20"/>
          <w:color w:val="auto"/>
        </w:rPr>
        <w:t>The Warrants are not transferable except to certain affiliates of EIB or, following an Exercise Event, to any third parties. We have a right of first refusal to repurchase Warrants that are offered for sale on the same terms and conditions of such offer except in case of a transfer of the Warrants to certain affiliates of EIB, promotional banks or finance agencies set up by one or more member states of the European Union or any transferees of the Credit Facility, or otherwise with our prior written approval.</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Warrant Agreement provides for anti-dilution adjustments triggered by the occurrence of certain events, including:</w:t>
      </w:r>
    </w:p>
    <w:p>
      <w:pPr>
        <w:ind w:firstLine="7"/>
        <w:spacing w:after="0"/>
        <w:tabs>
          <w:tab w:leader="none" w:pos="24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financial transaction that includes the issuance of new instruments with or without preferential subscription rights of the shareholders (other than the issuance of Warrants in connection with our borrowings under Tranche B and Tranche C), (ii) a free distribution of shares to shareholders, a share split or reverse share split, (iii) an increase of the par value of the shares by incorporation into the share capital of reserves, profits or premiums, (iv) a distribution of reserves or premiums in cash or in kind, (v) a free distribution to our shareholders of any instrument other than our shares, (vi) a repurchase by our company of our own shares at a price higher than the market price (other than a repurchase of our own shares from EIB or its affiliates), (vii) a change in profit distribution, including through the creation of preferred shares,</w:t>
      </w:r>
    </w:p>
    <w:p>
      <w:pPr>
        <w:spacing w:after="0" w:line="1" w:lineRule="exact"/>
        <w:rPr>
          <w:rFonts w:ascii="Times New Roman" w:cs="Times New Roman" w:eastAsia="Times New Roman" w:hAnsi="Times New Roman"/>
          <w:sz w:val="20"/>
          <w:szCs w:val="20"/>
          <w:color w:val="auto"/>
        </w:rPr>
      </w:pPr>
    </w:p>
    <w:p>
      <w:pPr>
        <w:ind w:firstLine="7"/>
        <w:spacing w:after="0" w:line="244" w:lineRule="auto"/>
        <w:tabs>
          <w:tab w:leader="none" w:pos="451"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reduction or redemption of our share capital, (ix) a dividend distribution, (x) the issuance of any instrument (with or without preferential subscription rights), including by way of dividend distribution or capitalization of profits or reserves (including share premium account and any capital redemption reserve), or (xi) a merger or demerger of our company with or into another entity or other similar operation as a result of which we do not survive, or a spin-off. Such anti-dilution adjustments are subject to certain carve-outs, including (y) the issuance of shares at a price higher than the applicable exercise prices of the Warrants or equity-linked securities with conversion or exercise prices higher than the applicable exercise prices of the Warrants and (z) the grant of equity incentive instruments following the date of the Warrant Agreement in an amount not to exceed 10% of the fully diluted capitalization of our company. For more information on the accounting impact of EIB debt and Warrants on the Financial Statements, see Note 1-24 and Note 16-1-1.</w:t>
      </w:r>
    </w:p>
    <w:p>
      <w:pPr>
        <w:sectPr>
          <w:pgSz w:w="12240" w:h="15840" w:orient="portrait"/>
          <w:cols w:equalWidth="0" w:num="1">
            <w:col w:w="9700"/>
          </w:cols>
          <w:pgMar w:left="1260" w:top="1247" w:right="1280" w:bottom="72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50</w:t>
      </w:r>
    </w:p>
    <w:p>
      <w:pPr>
        <w:sectPr>
          <w:pgSz w:w="12240" w:h="15840" w:orient="portrait"/>
          <w:cols w:equalWidth="0" w:num="1">
            <w:col w:w="9700"/>
          </w:cols>
          <w:pgMar w:left="1260" w:top="1247" w:right="1280" w:bottom="723" w:gutter="0" w:footer="0" w:header="0"/>
          <w:type w:val="continuous"/>
        </w:sectPr>
      </w:pPr>
    </w:p>
    <w:bookmarkStart w:id="53" w:name="page54"/>
    <w:bookmarkEnd w:id="53"/>
    <w:p>
      <w:pPr>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795655</wp:posOffset>
            </wp:positionH>
            <wp:positionV relativeFrom="page">
              <wp:posOffset>292735</wp:posOffset>
            </wp:positionV>
            <wp:extent cx="929005" cy="1149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2">
                      <a:extLst>
                        <a:ext uri="{28A0092B-C50C-407E-A947-70E740481C1C}"/>
                      </a:extLst>
                    </a:blip>
                    <a:srcRect/>
                    <a:stretch>
                      <a:fillRect/>
                    </a:stretch>
                  </pic:blipFill>
                  <pic:spPr bwMode="auto">
                    <a:xfrm>
                      <a:off x="0" y="0"/>
                      <a:ext cx="929005" cy="114935"/>
                    </a:xfrm>
                    <a:prstGeom prst="rect">
                      <a:avLst/>
                    </a:prstGeom>
                    <a:noFill/>
                  </pic:spPr>
                </pic:pic>
              </a:graphicData>
            </a:graphic>
          </wp:anchor>
        </w:drawing>
        <w:t>Material Contractual Obligations</w:t>
      </w:r>
    </w:p>
    <w:p>
      <w:pPr>
        <w:spacing w:after="0" w:line="203" w:lineRule="exact"/>
        <w:rPr>
          <w:sz w:val="20"/>
          <w:szCs w:val="20"/>
          <w:color w:val="auto"/>
        </w:rPr>
      </w:pPr>
    </w:p>
    <w:p>
      <w:pPr>
        <w:ind w:right="140"/>
        <w:spacing w:after="0" w:line="306" w:lineRule="auto"/>
        <w:rPr>
          <w:sz w:val="20"/>
          <w:szCs w:val="20"/>
          <w:color w:val="auto"/>
        </w:rPr>
      </w:pPr>
      <w:r>
        <w:rPr>
          <w:rFonts w:ascii="Times New Roman" w:cs="Times New Roman" w:eastAsia="Times New Roman" w:hAnsi="Times New Roman"/>
          <w:sz w:val="19"/>
          <w:szCs w:val="19"/>
          <w:color w:val="auto"/>
        </w:rPr>
        <w:t>The following table discloses aggregate information about material contractual obligations recorded in our consolidated balance sheet as of December 31, 2025, and periods in which they were due as of that date (in thousands of dollars).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660" w:type="dxa"/>
            <w:vAlign w:val="bottom"/>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4"/>
          </w:tcPr>
          <w:p>
            <w:pPr>
              <w:jc w:val="right"/>
              <w:ind w:right="490"/>
              <w:spacing w:after="0"/>
              <w:rPr>
                <w:sz w:val="20"/>
                <w:szCs w:val="20"/>
                <w:color w:val="auto"/>
              </w:rPr>
            </w:pPr>
            <w:r>
              <w:rPr>
                <w:rFonts w:ascii="Times New Roman" w:cs="Times New Roman" w:eastAsia="Times New Roman" w:hAnsi="Times New Roman"/>
                <w:sz w:val="16"/>
                <w:szCs w:val="16"/>
                <w:b w:val="1"/>
                <w:bCs w:val="1"/>
                <w:color w:val="auto"/>
              </w:rPr>
              <w:t>Due by Period</w:t>
            </w:r>
          </w:p>
        </w:tc>
        <w:tc>
          <w:tcPr>
            <w:tcW w:w="2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r>
      <w:tr>
        <w:trPr>
          <w:trHeight w:val="156"/>
        </w:trPr>
        <w:tc>
          <w:tcPr>
            <w:tcW w:w="46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60" w:type="dxa"/>
            <w:vAlign w:val="bottom"/>
            <w:gridSpan w:val="2"/>
          </w:tcPr>
          <w:p>
            <w:pPr>
              <w:jc w:val="right"/>
              <w:ind w:right="110"/>
              <w:spacing w:after="0" w:line="156" w:lineRule="exact"/>
              <w:rPr>
                <w:sz w:val="20"/>
                <w:szCs w:val="20"/>
                <w:color w:val="auto"/>
              </w:rPr>
            </w:pPr>
            <w:r>
              <w:rPr>
                <w:rFonts w:ascii="Times New Roman" w:cs="Times New Roman" w:eastAsia="Times New Roman" w:hAnsi="Times New Roman"/>
                <w:sz w:val="16"/>
                <w:szCs w:val="16"/>
                <w:b w:val="1"/>
                <w:bCs w:val="1"/>
                <w:color w:val="auto"/>
              </w:rPr>
              <w:t>1-</w:t>
            </w: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203"/>
        </w:trPr>
        <w:tc>
          <w:tcPr>
            <w:tcW w:w="466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0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Less than 1 year</w:t>
            </w:r>
          </w:p>
        </w:tc>
        <w:tc>
          <w:tcPr>
            <w:tcW w:w="20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 years</w:t>
            </w:r>
          </w:p>
        </w:tc>
        <w:tc>
          <w:tcPr>
            <w:tcW w:w="20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4-5 years</w:t>
            </w:r>
          </w:p>
        </w:tc>
        <w:tc>
          <w:tcPr>
            <w:tcW w:w="200" w:type="dxa"/>
            <w:vAlign w:val="bottom"/>
            <w:tcBorders>
              <w:bottom w:val="single" w:sz="8" w:color="CCEEFF"/>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More than 5 years</w:t>
            </w:r>
          </w:p>
        </w:tc>
      </w:tr>
      <w:tr>
        <w:trPr>
          <w:trHeight w:val="220"/>
        </w:trPr>
        <w:tc>
          <w:tcPr>
            <w:tcW w:w="4660" w:type="dxa"/>
            <w:vAlign w:val="bottom"/>
            <w:shd w:val="clear" w:color="auto" w:fill="CCEEFF"/>
          </w:tcPr>
          <w:p>
            <w:pPr>
              <w:spacing w:after="0" w:line="220" w:lineRule="exact"/>
              <w:rPr>
                <w:sz w:val="20"/>
                <w:szCs w:val="20"/>
                <w:color w:val="auto"/>
              </w:rPr>
            </w:pPr>
            <w:r>
              <w:rPr>
                <w:rFonts w:ascii="Times New Roman" w:cs="Times New Roman" w:eastAsia="Times New Roman" w:hAnsi="Times New Roman"/>
                <w:sz w:val="20"/>
                <w:szCs w:val="20"/>
                <w:color w:val="auto"/>
              </w:rPr>
              <w:t>Short-Term Borrowings</w:t>
            </w:r>
          </w:p>
        </w:tc>
        <w:tc>
          <w:tcPr>
            <w:tcW w:w="660" w:type="dxa"/>
            <w:vAlign w:val="bottom"/>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5,986</w:t>
            </w:r>
          </w:p>
        </w:tc>
        <w:tc>
          <w:tcPr>
            <w:tcW w:w="1320" w:type="dxa"/>
            <w:vAlign w:val="bottom"/>
            <w:gridSpan w:val="2"/>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5,986</w:t>
            </w:r>
          </w:p>
        </w:tc>
        <w:tc>
          <w:tcPr>
            <w:tcW w:w="2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r>
      <w:tr>
        <w:trPr>
          <w:trHeight w:val="228"/>
        </w:trPr>
        <w:tc>
          <w:tcPr>
            <w:tcW w:w="4660" w:type="dxa"/>
            <w:vAlign w:val="bottom"/>
          </w:tcPr>
          <w:p>
            <w:pPr>
              <w:spacing w:after="0" w:line="228" w:lineRule="exact"/>
              <w:rPr>
                <w:sz w:val="20"/>
                <w:szCs w:val="20"/>
                <w:color w:val="auto"/>
              </w:rPr>
            </w:pPr>
            <w:r>
              <w:rPr>
                <w:rFonts w:ascii="Times New Roman" w:cs="Times New Roman" w:eastAsia="Times New Roman" w:hAnsi="Times New Roman"/>
                <w:sz w:val="20"/>
                <w:szCs w:val="20"/>
                <w:color w:val="auto"/>
              </w:rPr>
              <w:t>Long-Term Debt</w:t>
            </w:r>
          </w:p>
        </w:tc>
        <w:tc>
          <w:tcPr>
            <w:tcW w:w="66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auto"/>
              </w:rPr>
              <w:t>18,023</w:t>
            </w:r>
          </w:p>
        </w:tc>
        <w:tc>
          <w:tcPr>
            <w:tcW w:w="1320" w:type="dxa"/>
            <w:vAlign w:val="bottom"/>
            <w:gridSpan w:val="2"/>
          </w:tcPr>
          <w:p>
            <w:pPr>
              <w:jc w:val="right"/>
              <w:spacing w:after="0" w:line="228" w:lineRule="exact"/>
              <w:rPr>
                <w:sz w:val="20"/>
                <w:szCs w:val="20"/>
                <w:color w:val="auto"/>
              </w:rPr>
            </w:pPr>
            <w:r>
              <w:rPr>
                <w:rFonts w:ascii="Times New Roman" w:cs="Times New Roman" w:eastAsia="Times New Roman" w:hAnsi="Times New Roman"/>
                <w:sz w:val="20"/>
                <w:szCs w:val="20"/>
                <w:color w:val="auto"/>
              </w:rPr>
              <w:t>2,120</w:t>
            </w:r>
          </w:p>
        </w:tc>
        <w:tc>
          <w:tcPr>
            <w:tcW w:w="760" w:type="dxa"/>
            <w:vAlign w:val="bottom"/>
            <w:gridSpan w:val="2"/>
          </w:tcPr>
          <w:p>
            <w:pPr>
              <w:jc w:val="right"/>
              <w:spacing w:after="0" w:line="228" w:lineRule="exact"/>
              <w:rPr>
                <w:sz w:val="20"/>
                <w:szCs w:val="20"/>
                <w:color w:val="auto"/>
              </w:rPr>
            </w:pPr>
            <w:r>
              <w:rPr>
                <w:rFonts w:ascii="Times New Roman" w:cs="Times New Roman" w:eastAsia="Times New Roman" w:hAnsi="Times New Roman"/>
                <w:sz w:val="20"/>
                <w:szCs w:val="20"/>
                <w:color w:val="auto"/>
              </w:rPr>
              <w:t>846</w:t>
            </w:r>
          </w:p>
        </w:tc>
        <w:tc>
          <w:tcPr>
            <w:tcW w:w="860" w:type="dxa"/>
            <w:vAlign w:val="bottom"/>
            <w:gridSpan w:val="2"/>
          </w:tcPr>
          <w:p>
            <w:pPr>
              <w:jc w:val="right"/>
              <w:spacing w:after="0" w:line="228" w:lineRule="exact"/>
              <w:rPr>
                <w:sz w:val="20"/>
                <w:szCs w:val="20"/>
                <w:color w:val="auto"/>
              </w:rPr>
            </w:pPr>
            <w:r>
              <w:rPr>
                <w:rFonts w:ascii="Times New Roman" w:cs="Times New Roman" w:eastAsia="Times New Roman" w:hAnsi="Times New Roman"/>
                <w:sz w:val="20"/>
                <w:szCs w:val="20"/>
                <w:color w:val="auto"/>
              </w:rPr>
              <w:t>15,058</w:t>
            </w:r>
          </w:p>
        </w:tc>
        <w:tc>
          <w:tcPr>
            <w:tcW w:w="200" w:type="dxa"/>
            <w:vAlign w:val="bottom"/>
          </w:tcPr>
          <w:p>
            <w:pPr>
              <w:spacing w:after="0"/>
              <w:rPr>
                <w:sz w:val="19"/>
                <w:szCs w:val="19"/>
                <w:color w:val="auto"/>
              </w:rPr>
            </w:pPr>
          </w:p>
        </w:tc>
        <w:tc>
          <w:tcPr>
            <w:tcW w:w="126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auto"/>
              </w:rPr>
              <w:t>—</w:t>
            </w:r>
          </w:p>
        </w:tc>
      </w:tr>
      <w:tr>
        <w:trPr>
          <w:trHeight w:val="230"/>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Financing Lease Obligations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536</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182</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272</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49</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34</w:t>
            </w:r>
          </w:p>
        </w:tc>
      </w:tr>
      <w:tr>
        <w:trPr>
          <w:trHeight w:val="265"/>
        </w:trPr>
        <w:tc>
          <w:tcPr>
            <w:tcW w:w="4660" w:type="dxa"/>
            <w:vAlign w:val="bottom"/>
          </w:tcPr>
          <w:p>
            <w:pPr>
              <w:spacing w:after="0"/>
              <w:rPr>
                <w:sz w:val="20"/>
                <w:szCs w:val="20"/>
                <w:color w:val="auto"/>
              </w:rPr>
            </w:pPr>
            <w:r>
              <w:rPr>
                <w:rFonts w:ascii="Times New Roman" w:cs="Times New Roman" w:eastAsia="Times New Roman" w:hAnsi="Times New Roman"/>
                <w:sz w:val="20"/>
                <w:szCs w:val="20"/>
                <w:color w:val="auto"/>
              </w:rPr>
              <w:t>Operating Leases Obligations</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3,138</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1,063</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1,426</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209</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439</w:t>
            </w:r>
          </w:p>
        </w:tc>
      </w:tr>
    </w:tbl>
    <w:p>
      <w:pPr>
        <w:spacing w:after="0" w:line="176" w:lineRule="exact"/>
        <w:rPr>
          <w:sz w:val="20"/>
          <w:szCs w:val="20"/>
          <w:color w:val="auto"/>
        </w:rPr>
      </w:pPr>
    </w:p>
    <w:p>
      <w:pPr>
        <w:jc w:val="both"/>
        <w:ind w:firstLine="451"/>
        <w:spacing w:after="0" w:line="244" w:lineRule="auto"/>
        <w:rPr>
          <w:sz w:val="20"/>
          <w:szCs w:val="20"/>
          <w:color w:val="auto"/>
        </w:rPr>
      </w:pPr>
      <w:r>
        <w:rPr>
          <w:rFonts w:ascii="Times New Roman" w:cs="Times New Roman" w:eastAsia="Times New Roman" w:hAnsi="Times New Roman"/>
          <w:sz w:val="20"/>
          <w:szCs w:val="20"/>
          <w:color w:val="auto"/>
        </w:rPr>
        <w:t>The commitment amounts in the table above are associated with contracts that are enforceable and legally binding and that specify all significant terms, excluding future interest based on effective interest rate, in long-term debt. Future events could cause actual payments to differ from these estimate. Long term debts represent $18.0 million in obligations as of December 31, 2025. This is primarily related to: (i) Tranche A of the Credit Facility for an amortized cost of $ 6.9 million (in the principal amount of €11.0 million at inception) and the Warrants issued under the Warrant Agreement for their fair value of $8.1 million; (ii) the remaining $0.7 million balances of two Covid-related loans from French banks in August 2020; and (iii) the remaining $1.3 million balance of an additional French bank loan issued in December 2024 for a total principal amount of €2.2 million at inception, to finance the purchase of ultrasound technology. See Note 16-1 to Item 8 - Financial Statements and Supplementary Data.</w:t>
      </w:r>
    </w:p>
    <w:p>
      <w:pPr>
        <w:spacing w:after="0" w:line="164" w:lineRule="exact"/>
        <w:rPr>
          <w:sz w:val="20"/>
          <w:szCs w:val="20"/>
          <w:color w:val="auto"/>
        </w:rPr>
      </w:pPr>
    </w:p>
    <w:p>
      <w:pPr>
        <w:ind w:right="140"/>
        <w:spacing w:after="0" w:line="279" w:lineRule="auto"/>
        <w:rPr>
          <w:sz w:val="20"/>
          <w:szCs w:val="20"/>
          <w:color w:val="auto"/>
        </w:rPr>
      </w:pPr>
      <w:r>
        <w:rPr>
          <w:rFonts w:ascii="Times New Roman" w:cs="Times New Roman" w:eastAsia="Times New Roman" w:hAnsi="Times New Roman"/>
          <w:sz w:val="20"/>
          <w:szCs w:val="20"/>
          <w:color w:val="auto"/>
        </w:rPr>
        <w:t>Operating and financing leases represent $3.7 million in obligations as of December 31, 2025. These obligations have a maturity date no later than 2031.</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Cash Flows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sets forth the primary sources and uses of cash for the periods presented below:</w:t>
      </w:r>
    </w:p>
    <w:p>
      <w:pPr>
        <w:spacing w:after="0" w:line="220" w:lineRule="exact"/>
        <w:rPr>
          <w:sz w:val="20"/>
          <w:szCs w:val="20"/>
          <w:color w:val="auto"/>
        </w:rPr>
      </w:pPr>
    </w:p>
    <w:tbl>
      <w:tblPr>
        <w:tblLayout w:type="fixed"/>
        <w:tblInd w:w="980" w:type="dxa"/>
        <w:tblCellMar>
          <w:top w:w="0" w:type="dxa"/>
          <w:left w:w="0" w:type="dxa"/>
          <w:bottom w:w="0" w:type="dxa"/>
          <w:right w:w="0" w:type="dxa"/>
        </w:tblCellMar>
      </w:tblPr>
      <w:tr>
        <w:trPr>
          <w:trHeight w:val="203"/>
        </w:trPr>
        <w:tc>
          <w:tcPr>
            <w:tcW w:w="60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(in thousands of US dollars)</w:t>
            </w:r>
          </w:p>
        </w:tc>
        <w:tc>
          <w:tcPr>
            <w:tcW w:w="74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0"/>
        </w:trPr>
        <w:tc>
          <w:tcPr>
            <w:tcW w:w="6060" w:type="dxa"/>
            <w:vAlign w:val="bottom"/>
            <w:gridSpan w:val="2"/>
            <w:shd w:val="clear" w:color="auto" w:fill="CCEEFF"/>
          </w:tcPr>
          <w:p>
            <w:pPr>
              <w:spacing w:after="0" w:line="220" w:lineRule="exact"/>
              <w:rPr>
                <w:sz w:val="20"/>
                <w:szCs w:val="20"/>
                <w:color w:val="auto"/>
              </w:rPr>
            </w:pPr>
            <w:r>
              <w:rPr>
                <w:rFonts w:ascii="Times New Roman" w:cs="Times New Roman" w:eastAsia="Times New Roman" w:hAnsi="Times New Roman"/>
                <w:sz w:val="20"/>
                <w:szCs w:val="20"/>
                <w:color w:val="auto"/>
              </w:rPr>
              <w:t>Net cash generated by/(used in) in operating activities</w:t>
            </w:r>
          </w:p>
        </w:tc>
        <w:tc>
          <w:tcPr>
            <w:tcW w:w="920" w:type="dxa"/>
            <w:vAlign w:val="bottom"/>
            <w:gridSpan w:val="2"/>
            <w:shd w:val="clear" w:color="auto" w:fill="CCEEFF"/>
          </w:tcPr>
          <w:p>
            <w:pPr>
              <w:jc w:val="right"/>
              <w:ind w:right="180"/>
              <w:spacing w:after="0" w:line="220" w:lineRule="exact"/>
              <w:rPr>
                <w:sz w:val="20"/>
                <w:szCs w:val="20"/>
                <w:color w:val="auto"/>
              </w:rPr>
            </w:pPr>
            <w:r>
              <w:rPr>
                <w:rFonts w:ascii="Times New Roman" w:cs="Times New Roman" w:eastAsia="Times New Roman" w:hAnsi="Times New Roman"/>
                <w:sz w:val="20"/>
                <w:szCs w:val="20"/>
                <w:color w:val="auto"/>
              </w:rPr>
              <w:t>(16,409)</w:t>
            </w:r>
          </w:p>
        </w:tc>
        <w:tc>
          <w:tcPr>
            <w:tcW w:w="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(14,703)</w:t>
            </w:r>
          </w:p>
        </w:tc>
      </w:tr>
      <w:tr>
        <w:trPr>
          <w:trHeight w:val="230"/>
        </w:trPr>
        <w:tc>
          <w:tcPr>
            <w:tcW w:w="60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Net cash generated by/(used in) in investing activities</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(5,715)</w:t>
            </w:r>
          </w:p>
        </w:tc>
        <w:tc>
          <w:tcPr>
            <w:tcW w:w="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(4,459)</w:t>
            </w:r>
          </w:p>
        </w:tc>
      </w:tr>
      <w:tr>
        <w:trPr>
          <w:trHeight w:val="230"/>
        </w:trPr>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Net cash generated by/(used in) in financing activities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8,610</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5,016</w:t>
            </w:r>
          </w:p>
        </w:tc>
      </w:tr>
      <w:tr>
        <w:trPr>
          <w:trHeight w:val="228"/>
        </w:trPr>
        <w:tc>
          <w:tcPr>
            <w:tcW w:w="6060" w:type="dxa"/>
            <w:vAlign w:val="bottom"/>
            <w:gridSpan w:val="2"/>
          </w:tcPr>
          <w:p>
            <w:pPr>
              <w:spacing w:after="0" w:line="228" w:lineRule="exact"/>
              <w:rPr>
                <w:sz w:val="20"/>
                <w:szCs w:val="20"/>
                <w:color w:val="auto"/>
              </w:rPr>
            </w:pPr>
            <w:r>
              <w:rPr>
                <w:rFonts w:ascii="Times New Roman" w:cs="Times New Roman" w:eastAsia="Times New Roman" w:hAnsi="Times New Roman"/>
                <w:sz w:val="20"/>
                <w:szCs w:val="20"/>
                <w:color w:val="auto"/>
              </w:rPr>
              <w:t>Net effect of exchange rate changes</w:t>
            </w:r>
          </w:p>
        </w:tc>
        <w:tc>
          <w:tcPr>
            <w:tcW w:w="74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auto"/>
              </w:rPr>
              <w:t>2,972</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auto"/>
              </w:rPr>
              <w:t>(2,894)</w:t>
            </w:r>
          </w:p>
        </w:tc>
      </w:tr>
      <w:tr>
        <w:trPr>
          <w:trHeight w:val="230"/>
        </w:trPr>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Net increase/(decrease) in cash and cash equivalents</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20"/>
                <w:szCs w:val="20"/>
                <w:color w:val="auto"/>
              </w:rPr>
              <w:t>(10,543)</w:t>
            </w:r>
          </w:p>
        </w:tc>
        <w:tc>
          <w:tcPr>
            <w:tcW w:w="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(17,039)</w:t>
            </w:r>
          </w:p>
        </w:tc>
      </w:tr>
      <w:tr>
        <w:trPr>
          <w:trHeight w:val="230"/>
        </w:trPr>
        <w:tc>
          <w:tcPr>
            <w:tcW w:w="60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Cash and cash equivalents at the beginning of the year</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30,995</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48,034</w:t>
            </w:r>
          </w:p>
        </w:tc>
      </w:tr>
      <w:tr>
        <w:trPr>
          <w:trHeight w:val="230"/>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Cash and cash equivalents at the end of the year</w:t>
            </w:r>
          </w:p>
        </w:tc>
        <w:tc>
          <w:tcPr>
            <w:tcW w:w="2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20,452</w:t>
            </w:r>
          </w:p>
        </w:tc>
        <w:tc>
          <w:tcPr>
            <w:tcW w:w="180" w:type="dxa"/>
            <w:vAlign w:val="bottom"/>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30,995</w:t>
            </w:r>
          </w:p>
        </w:tc>
      </w:tr>
    </w:tbl>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Net Cash Used in Operating Activities</w:t>
      </w:r>
    </w:p>
    <w:p>
      <w:pPr>
        <w:spacing w:after="0" w:line="198" w:lineRule="exact"/>
        <w:rPr>
          <w:sz w:val="20"/>
          <w:szCs w:val="20"/>
          <w:color w:val="auto"/>
        </w:rPr>
      </w:pPr>
    </w:p>
    <w:p>
      <w:pPr>
        <w:ind w:right="160"/>
        <w:spacing w:after="0" w:line="247" w:lineRule="auto"/>
        <w:rPr>
          <w:sz w:val="20"/>
          <w:szCs w:val="20"/>
          <w:color w:val="auto"/>
        </w:rPr>
      </w:pPr>
      <w:r>
        <w:rPr>
          <w:rFonts w:ascii="Times New Roman" w:cs="Times New Roman" w:eastAsia="Times New Roman" w:hAnsi="Times New Roman"/>
          <w:sz w:val="20"/>
          <w:szCs w:val="20"/>
          <w:color w:val="auto"/>
        </w:rPr>
        <w:t>Net cash used in operating activities for the year ended December 31, 2025, was $16.4 million, consisting of net loss of $29.2 million off-set by non-cash expenses of $9.9 million and positive changes in working capital of $2.9 million. These non-cash expenses primarily consisted of $3.4 million of depreciation and amortization, $2.6 million of stock-based compensation expense, and $2.9 million related to the change in the fair value of the Tranche A Warrants. The changes in working capital are primarily comprised of a net decrease in inventory of $6.8 million and a decrease in accounts payable of $3.0 million and an increase in accounts receivable of $0.6 million.</w:t>
      </w:r>
    </w:p>
    <w:p>
      <w:pPr>
        <w:spacing w:after="0" w:line="160"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20"/>
          <w:szCs w:val="20"/>
          <w:color w:val="auto"/>
        </w:rPr>
        <w:t>Net cash used in operating activities for the year ended December 31, 2024, was $14.7 million, consisting of a net loss of $20.6 million, and negative changes in working capital of $2.1 million, partially offset by non-cash expenses of $8.0 million. These non-cash expenses primarily consisted of $2.8 million of depreciation and amortization, $3.6 million of stock-based compensation expense, $1.0 million in allowance for doubtful accounts and slow-moving inventory. The changes in working capital are primarily comprised of a net increase in inventory of $4.4 million and a increase in accounts payable of $1.3 million, a decrease in accounts receivable of $0.2 million and in increases un accrued expenses of $1.7 million.</w:t>
      </w:r>
    </w:p>
    <w:p>
      <w:pPr>
        <w:sectPr>
          <w:pgSz w:w="12240" w:h="15840" w:orient="portrait"/>
          <w:cols w:equalWidth="0" w:num="1">
            <w:col w:w="9720"/>
          </w:cols>
          <w:pgMar w:left="1260" w:top="1243" w:right="1260" w:bottom="72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51</w:t>
      </w:r>
    </w:p>
    <w:p>
      <w:pPr>
        <w:sectPr>
          <w:pgSz w:w="12240" w:h="15840" w:orient="portrait"/>
          <w:cols w:equalWidth="0" w:num="1">
            <w:col w:w="9720"/>
          </w:cols>
          <w:pgMar w:left="1260" w:top="1243" w:right="1260" w:bottom="723"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20"/>
          <w:szCs w:val="20"/>
          <w:b w:val="1"/>
          <w:bCs w:val="1"/>
          <w:i w:val="1"/>
          <w:iCs w:val="1"/>
          <w:color w:val="auto"/>
        </w:rPr>
        <w:drawing>
          <wp:anchor simplePos="0" relativeHeight="251657728" behindDoc="1" locked="0" layoutInCell="0" allowOverlap="1">
            <wp:simplePos x="0" y="0"/>
            <wp:positionH relativeFrom="page">
              <wp:posOffset>795655</wp:posOffset>
            </wp:positionH>
            <wp:positionV relativeFrom="page">
              <wp:posOffset>292735</wp:posOffset>
            </wp:positionV>
            <wp:extent cx="929005" cy="1149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3">
                      <a:extLst>
                        <a:ext uri="{28A0092B-C50C-407E-A947-70E740481C1C}"/>
                      </a:extLst>
                    </a:blip>
                    <a:srcRect/>
                    <a:stretch>
                      <a:fillRect/>
                    </a:stretch>
                  </pic:blipFill>
                  <pic:spPr bwMode="auto">
                    <a:xfrm>
                      <a:off x="0" y="0"/>
                      <a:ext cx="929005" cy="114935"/>
                    </a:xfrm>
                    <a:prstGeom prst="rect">
                      <a:avLst/>
                    </a:prstGeom>
                    <a:noFill/>
                  </pic:spPr>
                </pic:pic>
              </a:graphicData>
            </a:graphic>
          </wp:anchor>
        </w:drawing>
        <w:t>Net Cash Used in Investing Activities</w:t>
      </w:r>
    </w:p>
    <w:p>
      <w:pPr>
        <w:spacing w:after="0" w:line="198"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20"/>
          <w:szCs w:val="20"/>
          <w:color w:val="auto"/>
        </w:rPr>
        <w:t>Net cash used in investing activities for the year ended December 31, 2025, was $5.7 million, consisting primarily of investments of $3.7 million in capitalized assets, investment of $1.2 million in property and equipment, and investment of $0.8 million in intangible assets.</w:t>
      </w:r>
    </w:p>
    <w:p>
      <w:pPr>
        <w:spacing w:after="0" w:line="146"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20"/>
          <w:szCs w:val="20"/>
          <w:color w:val="auto"/>
        </w:rPr>
        <w:t>Net cash used in investing activities for the year ended December 31, 2024, was $4.5 million, consisting primarily of investments of $2.8 million in capitalized assets, investment of $1.4 million in property and equipment, and investment of $0.2 million in intangible assets.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Net Cash Provided by Financing Activities</w:t>
      </w:r>
    </w:p>
    <w:p>
      <w:pPr>
        <w:spacing w:after="0" w:line="19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Net cash provided by financing activities for the year ended December 31, 2025, was $8.6 million, consisting primarily of the net proceeds of $12.4 million from borrowings under the Credit Facility, repayments of long-term borrowings and financing leases for $2.9 million and a decrease of short-term borrowings of $0.9 million.</w:t>
      </w:r>
    </w:p>
    <w:p>
      <w:pPr>
        <w:spacing w:after="0" w:line="144"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20"/>
          <w:szCs w:val="20"/>
          <w:color w:val="auto"/>
        </w:rPr>
        <w:t>Net cash provided by financing activities for the year ended December 31, 2024, was $5.0 million, consisting of the net proceeds of $0.1 million from the exercise of stock options, the net proceeds of $2.8 million from long term borrowings, the repayments of long-term borrowings and financing leases for $1.9 million and an increase of short-term borrowings of $4.0 million.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Accounting Policies</w:t>
      </w:r>
    </w:p>
    <w:p>
      <w:pPr>
        <w:spacing w:after="0" w:line="203" w:lineRule="exact"/>
        <w:rPr>
          <w:sz w:val="20"/>
          <w:szCs w:val="20"/>
          <w:color w:val="auto"/>
        </w:rPr>
      </w:pPr>
    </w:p>
    <w:p>
      <w:pPr>
        <w:ind w:right="380"/>
        <w:spacing w:after="0" w:line="279" w:lineRule="auto"/>
        <w:rPr>
          <w:sz w:val="20"/>
          <w:szCs w:val="20"/>
          <w:color w:val="auto"/>
        </w:rPr>
      </w:pPr>
      <w:r>
        <w:rPr>
          <w:rFonts w:ascii="Times New Roman" w:cs="Times New Roman" w:eastAsia="Times New Roman" w:hAnsi="Times New Roman"/>
          <w:sz w:val="20"/>
          <w:szCs w:val="20"/>
          <w:color w:val="auto"/>
        </w:rPr>
        <w:t>See “</w:t>
      </w:r>
      <w:r>
        <w:rPr>
          <w:rFonts w:ascii="Times New Roman" w:cs="Times New Roman" w:eastAsia="Times New Roman" w:hAnsi="Times New Roman"/>
          <w:sz w:val="20"/>
          <w:szCs w:val="20"/>
          <w:i w:val="1"/>
          <w:iCs w:val="1"/>
          <w:color w:val="auto"/>
        </w:rPr>
        <w:t>Note 1. Summary of Significant Accounting Policies —</w:t>
      </w:r>
      <w:r>
        <w:rPr>
          <w:rFonts w:ascii="Times New Roman" w:cs="Times New Roman" w:eastAsia="Times New Roman" w:hAnsi="Times New Roman"/>
          <w:sz w:val="20"/>
          <w:szCs w:val="20"/>
          <w:color w:val="auto"/>
        </w:rPr>
        <w:t>” of the Notes to consolidated financial statements for a description of significant accounting policies.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Accounting Estimates</w:t>
      </w:r>
    </w:p>
    <w:p>
      <w:pPr>
        <w:spacing w:after="0" w:line="203"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20"/>
          <w:szCs w:val="20"/>
          <w:color w:val="auto"/>
        </w:rPr>
        <w:t>Management has not identified any estimates made in accordance with generally accepted accounting principles that involve a significant level of estimation uncertainty and have had or are reasonably likely to have a material impact on the financial condition or results of operations of the registrant.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 Accounting Pronouncements</w:t>
      </w:r>
    </w:p>
    <w:p>
      <w:pPr>
        <w:spacing w:after="0" w:line="203" w:lineRule="exact"/>
        <w:rPr>
          <w:sz w:val="20"/>
          <w:szCs w:val="20"/>
          <w:color w:val="auto"/>
        </w:rPr>
      </w:pPr>
    </w:p>
    <w:p>
      <w:pPr>
        <w:ind w:right="220"/>
        <w:spacing w:after="0" w:line="259" w:lineRule="auto"/>
        <w:rPr>
          <w:sz w:val="20"/>
          <w:szCs w:val="20"/>
          <w:color w:val="auto"/>
        </w:rPr>
      </w:pPr>
      <w:r>
        <w:rPr>
          <w:rFonts w:ascii="Times New Roman" w:cs="Times New Roman" w:eastAsia="Times New Roman" w:hAnsi="Times New Roman"/>
          <w:sz w:val="20"/>
          <w:szCs w:val="20"/>
          <w:color w:val="auto"/>
        </w:rPr>
        <w:t>See “</w:t>
      </w:r>
      <w:r>
        <w:rPr>
          <w:rFonts w:ascii="Times New Roman" w:cs="Times New Roman" w:eastAsia="Times New Roman" w:hAnsi="Times New Roman"/>
          <w:sz w:val="20"/>
          <w:szCs w:val="20"/>
          <w:i w:val="1"/>
          <w:iCs w:val="1"/>
          <w:color w:val="auto"/>
        </w:rPr>
        <w:t>Note 1. Summary of Significant Accounting Policies —1.25 Recent Accounting Pronouncements</w:t>
      </w:r>
      <w:r>
        <w:rPr>
          <w:rFonts w:ascii="Times New Roman" w:cs="Times New Roman" w:eastAsia="Times New Roman" w:hAnsi="Times New Roman"/>
          <w:sz w:val="20"/>
          <w:szCs w:val="20"/>
          <w:color w:val="auto"/>
        </w:rPr>
        <w:t>” of the Notes to consolidated financial statements for a description of recent accounting pronouncements including the respective expected dates of adoption and estimated effects, if any, on our Consolidated Financial Statements.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Off-Balance Sheet Arrangements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At December 31, 2025, we had no off-balance sheet arrangements.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7A. Quantitative and Qualitative Disclosures About Market Risk.</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a Smaller Reporting Company, we are not required to provide the information under Item 7A.</w:t>
      </w:r>
    </w:p>
    <w:p>
      <w:pPr>
        <w:sectPr>
          <w:pgSz w:w="12240" w:h="15840" w:orient="portrait"/>
          <w:cols w:equalWidth="0" w:num="1">
            <w:col w:w="9660"/>
          </w:cols>
          <w:pgMar w:left="1260" w:top="1248" w:right="1320" w:bottom="72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52</w:t>
      </w:r>
    </w:p>
    <w:p>
      <w:pPr>
        <w:sectPr>
          <w:pgSz w:w="12240" w:h="15840" w:orient="portrait"/>
          <w:cols w:equalWidth="0" w:num="1">
            <w:col w:w="9660"/>
          </w:cols>
          <w:pgMar w:left="1260" w:top="1248" w:right="1320" w:bottom="723" w:gutter="0" w:footer="0" w:header="0"/>
          <w:type w:val="continuous"/>
        </w:sectPr>
      </w:pPr>
    </w:p>
    <w:bookmarkStart w:id="55" w:name="page56"/>
    <w:bookmarkEnd w:id="55"/>
    <w:p>
      <w:pPr>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795655</wp:posOffset>
            </wp:positionH>
            <wp:positionV relativeFrom="page">
              <wp:posOffset>292735</wp:posOffset>
            </wp:positionV>
            <wp:extent cx="929005" cy="1149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64">
                      <a:extLst>
                        <a:ext uri="{28A0092B-C50C-407E-A947-70E740481C1C}"/>
                      </a:extLst>
                    </a:blip>
                    <a:srcRect/>
                    <a:stretch>
                      <a:fillRect/>
                    </a:stretch>
                  </pic:blipFill>
                  <pic:spPr bwMode="auto">
                    <a:xfrm>
                      <a:off x="0" y="0"/>
                      <a:ext cx="929005" cy="114935"/>
                    </a:xfrm>
                    <a:prstGeom prst="rect">
                      <a:avLst/>
                    </a:prstGeom>
                    <a:noFill/>
                  </pic:spPr>
                </pic:pic>
              </a:graphicData>
            </a:graphic>
          </wp:anchor>
        </w:drawing>
        <w:t>Item 8. Financial Statements and Supplementary Data.</w:t>
      </w: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INDEX TO FINANCIAL STATEMENTS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760" w:type="dxa"/>
            <w:vAlign w:val="bottom"/>
          </w:tcPr>
          <w:p>
            <w:pPr>
              <w:spacing w:after="0"/>
              <w:rPr>
                <w:sz w:val="20"/>
                <w:szCs w:val="20"/>
                <w:color w:val="auto"/>
              </w:rPr>
            </w:pPr>
            <w:r>
              <w:rPr>
                <w:rFonts w:ascii="Times New Roman" w:cs="Times New Roman" w:eastAsia="Times New Roman" w:hAnsi="Times New Roman"/>
                <w:sz w:val="20"/>
                <w:szCs w:val="20"/>
                <w:color w:val="auto"/>
              </w:rPr>
              <w:t>Report of Independent Registered Public Accounting Firm on the Consolidated Financial Statements</w:t>
            </w:r>
          </w:p>
        </w:tc>
        <w:tc>
          <w:tcPr>
            <w:tcW w:w="960" w:type="dxa"/>
            <w:vAlign w:val="bottom"/>
          </w:tcPr>
          <w:p>
            <w:pPr>
              <w:spacing w:after="0"/>
              <w:rPr>
                <w:sz w:val="19"/>
                <w:szCs w:val="19"/>
                <w:color w:val="auto"/>
              </w:rPr>
            </w:pPr>
          </w:p>
        </w:tc>
      </w:tr>
      <w:tr>
        <w:trPr>
          <w:trHeight w:val="232"/>
        </w:trPr>
        <w:tc>
          <w:tcPr>
            <w:tcW w:w="8760" w:type="dxa"/>
            <w:vAlign w:val="bottom"/>
          </w:tcPr>
          <w:p>
            <w:pPr>
              <w:spacing w:after="0"/>
              <w:rPr>
                <w:sz w:val="20"/>
                <w:szCs w:val="20"/>
                <w:color w:val="auto"/>
              </w:rPr>
            </w:pPr>
            <w:r>
              <w:rPr>
                <w:rFonts w:ascii="Times New Roman" w:cs="Times New Roman" w:eastAsia="Times New Roman" w:hAnsi="Times New Roman"/>
                <w:sz w:val="20"/>
                <w:szCs w:val="20"/>
                <w:color w:val="auto"/>
              </w:rPr>
              <w:t>(KPMG S.A., Lyon, France, PCAOB ID 1253)</w:t>
            </w:r>
          </w:p>
        </w:tc>
        <w:tc>
          <w:tcPr>
            <w:tcW w:w="960" w:type="dxa"/>
            <w:vAlign w:val="bottom"/>
          </w:tcPr>
          <w:p>
            <w:pPr>
              <w:ind w:left="680"/>
              <w:spacing w:after="0"/>
              <w:rPr>
                <w:sz w:val="20"/>
                <w:szCs w:val="20"/>
                <w:color w:val="auto"/>
              </w:rPr>
            </w:pPr>
            <w:r>
              <w:rPr>
                <w:rFonts w:ascii="Times New Roman" w:cs="Times New Roman" w:eastAsia="Times New Roman" w:hAnsi="Times New Roman"/>
                <w:sz w:val="20"/>
                <w:szCs w:val="20"/>
                <w:color w:val="auto"/>
                <w:w w:val="93"/>
              </w:rPr>
              <w:t>F-2</w:t>
            </w:r>
          </w:p>
        </w:tc>
      </w:tr>
      <w:tr>
        <w:trPr>
          <w:trHeight w:val="230"/>
        </w:trPr>
        <w:tc>
          <w:tcPr>
            <w:tcW w:w="8760" w:type="dxa"/>
            <w:vAlign w:val="bottom"/>
          </w:tcPr>
          <w:p>
            <w:pPr>
              <w:spacing w:after="0"/>
              <w:rPr>
                <w:sz w:val="20"/>
                <w:szCs w:val="20"/>
                <w:color w:val="auto"/>
              </w:rPr>
            </w:pPr>
            <w:r>
              <w:rPr>
                <w:rFonts w:ascii="Times New Roman" w:cs="Times New Roman" w:eastAsia="Times New Roman" w:hAnsi="Times New Roman"/>
                <w:sz w:val="20"/>
                <w:szCs w:val="20"/>
                <w:color w:val="auto"/>
              </w:rPr>
              <w:t>Consolidated Balance Sheets</w:t>
            </w:r>
          </w:p>
        </w:tc>
        <w:tc>
          <w:tcPr>
            <w:tcW w:w="960" w:type="dxa"/>
            <w:vAlign w:val="bottom"/>
          </w:tcPr>
          <w:p>
            <w:pPr>
              <w:ind w:left="680"/>
              <w:spacing w:after="0"/>
              <w:rPr>
                <w:sz w:val="20"/>
                <w:szCs w:val="20"/>
                <w:color w:val="auto"/>
              </w:rPr>
            </w:pPr>
            <w:r>
              <w:rPr>
                <w:rFonts w:ascii="Times New Roman" w:cs="Times New Roman" w:eastAsia="Times New Roman" w:hAnsi="Times New Roman"/>
                <w:sz w:val="20"/>
                <w:szCs w:val="20"/>
                <w:color w:val="auto"/>
                <w:w w:val="93"/>
              </w:rPr>
              <w:t>F-4</w:t>
            </w:r>
          </w:p>
        </w:tc>
      </w:tr>
      <w:tr>
        <w:trPr>
          <w:trHeight w:val="226"/>
        </w:trPr>
        <w:tc>
          <w:tcPr>
            <w:tcW w:w="8760" w:type="dxa"/>
            <w:vAlign w:val="bottom"/>
          </w:tcPr>
          <w:p>
            <w:pPr>
              <w:spacing w:after="0" w:line="227" w:lineRule="exact"/>
              <w:rPr>
                <w:sz w:val="20"/>
                <w:szCs w:val="20"/>
                <w:color w:val="auto"/>
              </w:rPr>
            </w:pPr>
            <w:r>
              <w:rPr>
                <w:rFonts w:ascii="Times New Roman" w:cs="Times New Roman" w:eastAsia="Times New Roman" w:hAnsi="Times New Roman"/>
                <w:sz w:val="20"/>
                <w:szCs w:val="20"/>
                <w:color w:val="auto"/>
              </w:rPr>
              <w:t>Consolidated Statements of Operations</w:t>
            </w:r>
          </w:p>
        </w:tc>
        <w:tc>
          <w:tcPr>
            <w:tcW w:w="960" w:type="dxa"/>
            <w:vAlign w:val="bottom"/>
          </w:tcPr>
          <w:p>
            <w:pPr>
              <w:ind w:left="680"/>
              <w:spacing w:after="0" w:line="227" w:lineRule="exact"/>
              <w:rPr>
                <w:sz w:val="20"/>
                <w:szCs w:val="20"/>
                <w:color w:val="auto"/>
              </w:rPr>
            </w:pPr>
            <w:r>
              <w:rPr>
                <w:rFonts w:ascii="Times New Roman" w:cs="Times New Roman" w:eastAsia="Times New Roman" w:hAnsi="Times New Roman"/>
                <w:sz w:val="20"/>
                <w:szCs w:val="20"/>
                <w:color w:val="auto"/>
                <w:w w:val="93"/>
              </w:rPr>
              <w:t>F-5</w:t>
            </w:r>
          </w:p>
        </w:tc>
      </w:tr>
      <w:tr>
        <w:trPr>
          <w:trHeight w:val="232"/>
        </w:trPr>
        <w:tc>
          <w:tcPr>
            <w:tcW w:w="8760" w:type="dxa"/>
            <w:vAlign w:val="bottom"/>
          </w:tcPr>
          <w:p>
            <w:pPr>
              <w:spacing w:after="0"/>
              <w:rPr>
                <w:sz w:val="20"/>
                <w:szCs w:val="20"/>
                <w:color w:val="auto"/>
              </w:rPr>
            </w:pPr>
            <w:r>
              <w:rPr>
                <w:rFonts w:ascii="Times New Roman" w:cs="Times New Roman" w:eastAsia="Times New Roman" w:hAnsi="Times New Roman"/>
                <w:sz w:val="20"/>
                <w:szCs w:val="20"/>
                <w:color w:val="auto"/>
              </w:rPr>
              <w:t>Consolidated Statements of Comprehensive Loss</w:t>
            </w:r>
          </w:p>
        </w:tc>
        <w:tc>
          <w:tcPr>
            <w:tcW w:w="960" w:type="dxa"/>
            <w:vAlign w:val="bottom"/>
          </w:tcPr>
          <w:p>
            <w:pPr>
              <w:ind w:left="680"/>
              <w:spacing w:after="0"/>
              <w:rPr>
                <w:sz w:val="20"/>
                <w:szCs w:val="20"/>
                <w:color w:val="auto"/>
              </w:rPr>
            </w:pPr>
            <w:r>
              <w:rPr>
                <w:rFonts w:ascii="Times New Roman" w:cs="Times New Roman" w:eastAsia="Times New Roman" w:hAnsi="Times New Roman"/>
                <w:sz w:val="20"/>
                <w:szCs w:val="20"/>
                <w:color w:val="auto"/>
                <w:w w:val="93"/>
              </w:rPr>
              <w:t>F-6</w:t>
            </w:r>
          </w:p>
        </w:tc>
      </w:tr>
      <w:tr>
        <w:trPr>
          <w:trHeight w:val="230"/>
        </w:trPr>
        <w:tc>
          <w:tcPr>
            <w:tcW w:w="8760" w:type="dxa"/>
            <w:vAlign w:val="bottom"/>
          </w:tcPr>
          <w:p>
            <w:pPr>
              <w:spacing w:after="0"/>
              <w:rPr>
                <w:sz w:val="20"/>
                <w:szCs w:val="20"/>
                <w:color w:val="auto"/>
              </w:rPr>
            </w:pPr>
            <w:r>
              <w:rPr>
                <w:rFonts w:ascii="Times New Roman" w:cs="Times New Roman" w:eastAsia="Times New Roman" w:hAnsi="Times New Roman"/>
                <w:sz w:val="20"/>
                <w:szCs w:val="20"/>
                <w:color w:val="auto"/>
              </w:rPr>
              <w:t>Consolidated Statements of Shareholders’ Equity</w:t>
            </w:r>
          </w:p>
        </w:tc>
        <w:tc>
          <w:tcPr>
            <w:tcW w:w="960" w:type="dxa"/>
            <w:vAlign w:val="bottom"/>
          </w:tcPr>
          <w:p>
            <w:pPr>
              <w:ind w:left="680"/>
              <w:spacing w:after="0"/>
              <w:rPr>
                <w:sz w:val="20"/>
                <w:szCs w:val="20"/>
                <w:color w:val="auto"/>
              </w:rPr>
            </w:pPr>
            <w:r>
              <w:rPr>
                <w:rFonts w:ascii="Times New Roman" w:cs="Times New Roman" w:eastAsia="Times New Roman" w:hAnsi="Times New Roman"/>
                <w:sz w:val="20"/>
                <w:szCs w:val="20"/>
                <w:color w:val="auto"/>
                <w:w w:val="93"/>
              </w:rPr>
              <w:t>F-7</w:t>
            </w:r>
          </w:p>
        </w:tc>
      </w:tr>
      <w:tr>
        <w:trPr>
          <w:trHeight w:val="230"/>
        </w:trPr>
        <w:tc>
          <w:tcPr>
            <w:tcW w:w="8760" w:type="dxa"/>
            <w:vAlign w:val="bottom"/>
          </w:tcPr>
          <w:p>
            <w:pPr>
              <w:spacing w:after="0"/>
              <w:rPr>
                <w:sz w:val="20"/>
                <w:szCs w:val="20"/>
                <w:color w:val="auto"/>
              </w:rPr>
            </w:pPr>
            <w:r>
              <w:rPr>
                <w:rFonts w:ascii="Times New Roman" w:cs="Times New Roman" w:eastAsia="Times New Roman" w:hAnsi="Times New Roman"/>
                <w:sz w:val="20"/>
                <w:szCs w:val="20"/>
                <w:color w:val="auto"/>
              </w:rPr>
              <w:t>Consolidated Statements of Cash Flows</w:t>
            </w:r>
          </w:p>
        </w:tc>
        <w:tc>
          <w:tcPr>
            <w:tcW w:w="960" w:type="dxa"/>
            <w:vAlign w:val="bottom"/>
          </w:tcPr>
          <w:p>
            <w:pPr>
              <w:ind w:left="680"/>
              <w:spacing w:after="0"/>
              <w:rPr>
                <w:sz w:val="20"/>
                <w:szCs w:val="20"/>
                <w:color w:val="auto"/>
              </w:rPr>
            </w:pPr>
            <w:r>
              <w:rPr>
                <w:rFonts w:ascii="Times New Roman" w:cs="Times New Roman" w:eastAsia="Times New Roman" w:hAnsi="Times New Roman"/>
                <w:sz w:val="20"/>
                <w:szCs w:val="20"/>
                <w:color w:val="auto"/>
                <w:w w:val="93"/>
              </w:rPr>
              <w:t>F-8</w:t>
            </w:r>
          </w:p>
        </w:tc>
      </w:tr>
      <w:tr>
        <w:trPr>
          <w:trHeight w:val="265"/>
        </w:trPr>
        <w:tc>
          <w:tcPr>
            <w:tcW w:w="8760" w:type="dxa"/>
            <w:vAlign w:val="bottom"/>
          </w:tcPr>
          <w:p>
            <w:pPr>
              <w:spacing w:after="0"/>
              <w:rPr>
                <w:sz w:val="20"/>
                <w:szCs w:val="20"/>
                <w:color w:val="auto"/>
              </w:rPr>
            </w:pPr>
            <w:r>
              <w:rPr>
                <w:rFonts w:ascii="Times New Roman" w:cs="Times New Roman" w:eastAsia="Times New Roman" w:hAnsi="Times New Roman"/>
                <w:sz w:val="20"/>
                <w:szCs w:val="20"/>
                <w:color w:val="auto"/>
              </w:rPr>
              <w:t>Notes to Consolidated Financial Statements</w:t>
            </w:r>
          </w:p>
        </w:tc>
        <w:tc>
          <w:tcPr>
            <w:tcW w:w="960" w:type="dxa"/>
            <w:vAlign w:val="bottom"/>
          </w:tcPr>
          <w:p>
            <w:pPr>
              <w:ind w:left="680"/>
              <w:spacing w:after="0"/>
              <w:rPr>
                <w:sz w:val="20"/>
                <w:szCs w:val="20"/>
                <w:color w:val="auto"/>
              </w:rPr>
            </w:pPr>
            <w:r>
              <w:rPr>
                <w:rFonts w:ascii="Times New Roman" w:cs="Times New Roman" w:eastAsia="Times New Roman" w:hAnsi="Times New Roman"/>
                <w:sz w:val="20"/>
                <w:szCs w:val="20"/>
                <w:color w:val="auto"/>
                <w:w w:val="93"/>
              </w:rPr>
              <w:t>F-9</w:t>
            </w:r>
          </w:p>
        </w:tc>
      </w:tr>
    </w:tbl>
    <w:p>
      <w:pPr>
        <w:spacing w:after="0" w:line="200" w:lineRule="exact"/>
        <w:rPr>
          <w:sz w:val="20"/>
          <w:szCs w:val="20"/>
          <w:color w:val="auto"/>
        </w:rPr>
      </w:pPr>
    </w:p>
    <w:p>
      <w:pPr>
        <w:sectPr>
          <w:pgSz w:w="12240" w:h="15840" w:orient="portrait"/>
          <w:cols w:equalWidth="0" w:num="1">
            <w:col w:w="9720"/>
          </w:cols>
          <w:pgMar w:left="1260" w:top="1243" w:right="1260" w:bottom="72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F-1</w:t>
      </w:r>
    </w:p>
    <w:p>
      <w:pPr>
        <w:sectPr>
          <w:pgSz w:w="12240" w:h="15840" w:orient="portrait"/>
          <w:cols w:equalWidth="0" w:num="1">
            <w:col w:w="9720"/>
          </w:cols>
          <w:pgMar w:left="1260" w:top="1243" w:right="1260" w:bottom="723" w:gutter="0" w:footer="0" w:header="0"/>
          <w:type w:val="continuous"/>
        </w:sectPr>
      </w:pPr>
    </w:p>
    <w:bookmarkStart w:id="56" w:name="page57"/>
    <w:bookmarkEnd w:id="56"/>
    <w:p>
      <w:pPr>
        <w:jc w:val="center"/>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795655</wp:posOffset>
            </wp:positionH>
            <wp:positionV relativeFrom="page">
              <wp:posOffset>292735</wp:posOffset>
            </wp:positionV>
            <wp:extent cx="929005" cy="1149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65">
                      <a:extLst>
                        <a:ext uri="{28A0092B-C50C-407E-A947-70E740481C1C}"/>
                      </a:extLst>
                    </a:blip>
                    <a:srcRect/>
                    <a:stretch>
                      <a:fillRect/>
                    </a:stretch>
                  </pic:blipFill>
                  <pic:spPr bwMode="auto">
                    <a:xfrm>
                      <a:off x="0" y="0"/>
                      <a:ext cx="929005" cy="114935"/>
                    </a:xfrm>
                    <a:prstGeom prst="rect">
                      <a:avLst/>
                    </a:prstGeom>
                    <a:noFill/>
                  </pic:spPr>
                </pic:pic>
              </a:graphicData>
            </a:graphic>
          </wp:anchor>
        </w:drawing>
        <w:t>Report of Independent Registered Public Accounting Firm</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the Shareholders and Board of Directors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EDAP TMS S.A.</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Opinion on the Consolidated Financial Statements</w:t>
      </w:r>
    </w:p>
    <w:p>
      <w:pPr>
        <w:spacing w:after="0" w:line="1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We have audited the accompanying consolidated balance sheets of EDAP TMS S.A. and subsidiaries (the Company) as of December 31, 2025 and 2024, the related consolidated statements of operations, comprehensive loss, shareholders’ equity, and cash flows for the years then ended, and the related notes (collectively, the consolidated financial statements). In our opinion, the consolidated financial statements present fairly, in all material respects, the financial position of the Company as of December 31, 2025 and 2024, and the results of its operations and its cash flows for the years then ended, in conformity with U.S. generally accepted accounting principles.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Basis for Opinion</w:t>
      </w:r>
    </w:p>
    <w:p>
      <w:pPr>
        <w:spacing w:after="0" w:line="10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Critical Audit Matter</w:t>
      </w:r>
    </w:p>
    <w:p>
      <w:pPr>
        <w:spacing w:after="0" w:line="10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9"/>
          <w:szCs w:val="19"/>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line="287"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20"/>
          <w:szCs w:val="20"/>
          <w:i w:val="1"/>
          <w:iCs w:val="1"/>
          <w:color w:val="auto"/>
        </w:rPr>
        <w:t>Revenue recognition – Identification of distinct performance obligations in multiple-element arrangements related to sales of medical devices produced by the Company</w:t>
      </w:r>
    </w:p>
    <w:p>
      <w:pPr>
        <w:spacing w:after="0" w:line="13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color w:val="auto"/>
        </w:rPr>
        <w:t>As discussed in Note 1-5 to the consolidated financial statements, the Company’s sale arrangements may contain multiple elements, including medical devices produced by the Company, consumables, and services such as maintenance or warranty extensions. The Company identifies goods or services within the contract that constitute distinct performance obligations.</w:t>
      </w:r>
    </w:p>
    <w:p>
      <w:pPr>
        <w:sectPr>
          <w:pgSz w:w="12240" w:h="15840" w:orient="portrait"/>
          <w:cols w:equalWidth="0" w:num="1">
            <w:col w:w="9720"/>
          </w:cols>
          <w:pgMar w:left="1260" w:top="1253" w:right="1260" w:bottom="72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F-2</w:t>
      </w:r>
    </w:p>
    <w:p>
      <w:pPr>
        <w:sectPr>
          <w:pgSz w:w="12240" w:h="15840" w:orient="portrait"/>
          <w:cols w:equalWidth="0" w:num="1">
            <w:col w:w="9720"/>
          </w:cols>
          <w:pgMar w:left="1260" w:top="1253" w:right="1260" w:bottom="723" w:gutter="0" w:footer="0" w:header="0"/>
          <w:type w:val="continuous"/>
        </w:sectPr>
      </w:pPr>
    </w:p>
    <w:bookmarkStart w:id="57" w:name="page58"/>
    <w:bookmarkEnd w:id="57"/>
    <w:p>
      <w:pPr>
        <w:jc w:val="both"/>
        <w:spacing w:after="0" w:line="281" w:lineRule="auto"/>
        <w:rPr>
          <w:sz w:val="20"/>
          <w:szCs w:val="20"/>
          <w:color w:val="auto"/>
        </w:rPr>
      </w:pPr>
      <w:r>
        <w:rPr>
          <w:rFonts w:ascii="Times New Roman" w:cs="Times New Roman" w:eastAsia="Times New Roman" w:hAnsi="Times New Roman"/>
          <w:sz w:val="19"/>
          <w:szCs w:val="19"/>
          <w:color w:val="auto"/>
        </w:rPr>
        <w:drawing>
          <wp:anchor simplePos="0" relativeHeight="251657728" behindDoc="1" locked="0" layoutInCell="0" allowOverlap="1">
            <wp:simplePos x="0" y="0"/>
            <wp:positionH relativeFrom="page">
              <wp:posOffset>795655</wp:posOffset>
            </wp:positionH>
            <wp:positionV relativeFrom="page">
              <wp:posOffset>292735</wp:posOffset>
            </wp:positionV>
            <wp:extent cx="929005" cy="1149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66">
                      <a:extLst>
                        <a:ext uri="{28A0092B-C50C-407E-A947-70E740481C1C}"/>
                      </a:extLst>
                    </a:blip>
                    <a:srcRect/>
                    <a:stretch>
                      <a:fillRect/>
                    </a:stretch>
                  </pic:blipFill>
                  <pic:spPr bwMode="auto">
                    <a:xfrm>
                      <a:off x="0" y="0"/>
                      <a:ext cx="929005" cy="114935"/>
                    </a:xfrm>
                    <a:prstGeom prst="rect">
                      <a:avLst/>
                    </a:prstGeom>
                    <a:noFill/>
                  </pic:spPr>
                </pic:pic>
              </a:graphicData>
            </a:graphic>
          </wp:anchor>
        </w:drawing>
        <w:t>We identified the identification of distinct performance obligations included in the contracts with customers for the sales of medical devices produced by the Company as a critical audit matter, because each customer contract is a specific contract, with distinct performance obligations. Challenging auditor judgment was required in evaluating the impact of the terms and conditions in contracts with multiple elements to assess the identification of distinct performance obligations.</w:t>
      </w:r>
    </w:p>
    <w:p>
      <w:pPr>
        <w:spacing w:after="0" w:line="13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The following are the primary procedures we performed to address this critical audit matter. We evaluated the design and tested the operating effectiveness of certain internal controls over the Company’s revenue recognition process related to the identification of distinct performance obligations included in multiple- element arrangements. For certain medical device sales, we obtained and read the executed contracts and assessed the Company’s identification of distinct performance obligations</w:t>
      </w:r>
      <w:r>
        <w:rPr>
          <w:rFonts w:ascii="Times New Roman" w:cs="Times New Roman" w:eastAsia="Times New Roman" w:hAnsi="Times New Roman"/>
          <w:sz w:val="20"/>
          <w:szCs w:val="20"/>
          <w:i w:val="1"/>
          <w:iCs w:val="1"/>
          <w:color w:val="auto"/>
        </w:rPr>
        <w:t>.</w:t>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have served as the Company’s auditor since 2018.</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Lyon, March 25, 2026</w:t>
      </w:r>
    </w:p>
    <w:p>
      <w:pPr>
        <w:spacing w:after="0" w:line="1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KPMG 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Stéphane Gabriel Devin</w:t>
      </w:r>
    </w:p>
    <w:p>
      <w:pPr>
        <w:spacing w:after="0" w:line="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Partner</w:t>
      </w: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w:t>
      </w:r>
    </w:p>
    <w:p>
      <w:pPr>
        <w:sectPr>
          <w:pgSz w:w="12240" w:h="15840" w:orient="portrait"/>
          <w:cols w:equalWidth="0" w:num="1">
            <w:col w:w="9720"/>
          </w:cols>
          <w:pgMar w:left="1260" w:top="1256" w:right="1260" w:bottom="72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F-3</w:t>
      </w:r>
    </w:p>
    <w:p>
      <w:pPr>
        <w:sectPr>
          <w:pgSz w:w="12240" w:h="15840" w:orient="portrait"/>
          <w:cols w:equalWidth="0" w:num="1">
            <w:col w:w="9720"/>
          </w:cols>
          <w:pgMar w:left="1260" w:top="1256" w:right="1260" w:bottom="723" w:gutter="0" w:footer="0" w:header="0"/>
          <w:type w:val="continuous"/>
        </w:sectPr>
      </w:pPr>
    </w:p>
    <w:bookmarkStart w:id="58" w:name="page59"/>
    <w:bookmarkEnd w:id="58"/>
    <w:p>
      <w:pPr>
        <w:jc w:val="center"/>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795655</wp:posOffset>
            </wp:positionH>
            <wp:positionV relativeFrom="page">
              <wp:posOffset>292735</wp:posOffset>
            </wp:positionV>
            <wp:extent cx="929005" cy="1149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67">
                      <a:extLst>
                        <a:ext uri="{28A0092B-C50C-407E-A947-70E740481C1C}"/>
                      </a:extLst>
                    </a:blip>
                    <a:srcRect/>
                    <a:stretch>
                      <a:fillRect/>
                    </a:stretch>
                  </pic:blipFill>
                  <pic:spPr bwMode="auto">
                    <a:xfrm>
                      <a:off x="0" y="0"/>
                      <a:ext cx="929005" cy="114935"/>
                    </a:xfrm>
                    <a:prstGeom prst="rect">
                      <a:avLst/>
                    </a:prstGeom>
                    <a:noFill/>
                  </pic:spPr>
                </pic:pic>
              </a:graphicData>
            </a:graphic>
          </wp:anchor>
        </w:drawing>
        <w:t>EDAP TMS S.A. AND SUBSIDIARIES</w:t>
      </w:r>
    </w:p>
    <w:p>
      <w:pPr>
        <w:jc w:val="center"/>
        <w:spacing w:after="0" w:line="238" w:lineRule="auto"/>
        <w:rPr>
          <w:sz w:val="20"/>
          <w:szCs w:val="20"/>
          <w:color w:val="auto"/>
        </w:rPr>
      </w:pPr>
      <w:r>
        <w:rPr>
          <w:rFonts w:ascii="Times New Roman" w:cs="Times New Roman" w:eastAsia="Times New Roman" w:hAnsi="Times New Roman"/>
          <w:sz w:val="20"/>
          <w:szCs w:val="20"/>
          <w:b w:val="1"/>
          <w:bCs w:val="1"/>
          <w:color w:val="auto"/>
        </w:rPr>
        <w:t>CONSOLIDATED BALANCE SHEETS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As of December 31, 2025 and 2024</w:t>
      </w: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of U.S. dollars unless otherwise noted)</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6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20" w:type="dxa"/>
            <w:vAlign w:val="bottom"/>
          </w:tcPr>
          <w:p>
            <w:pPr>
              <w:spacing w:after="0"/>
              <w:rPr>
                <w:sz w:val="17"/>
                <w:szCs w:val="17"/>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Notes</w:t>
            </w:r>
          </w:p>
        </w:tc>
        <w:tc>
          <w:tcPr>
            <w:tcW w:w="1120" w:type="dxa"/>
            <w:vAlign w:val="bottom"/>
            <w:gridSpan w:val="3"/>
          </w:tcPr>
          <w:p>
            <w:pPr>
              <w:jc w:val="right"/>
              <w:ind w:right="205"/>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60" w:type="dxa"/>
            <w:vAlign w:val="bottom"/>
            <w:gridSpan w:val="3"/>
          </w:tcPr>
          <w:p>
            <w:pPr>
              <w:jc w:val="right"/>
              <w:ind w:right="165"/>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08"/>
        </w:trPr>
        <w:tc>
          <w:tcPr>
            <w:tcW w:w="6600" w:type="dxa"/>
            <w:vAlign w:val="bottom"/>
            <w:tcBorders>
              <w:top w:val="single" w:sz="8" w:color="auto"/>
            </w:tcBorders>
            <w:shd w:val="clear" w:color="auto" w:fill="CCEEFF"/>
          </w:tcPr>
          <w:p>
            <w:pPr>
              <w:spacing w:after="0" w:line="208" w:lineRule="exact"/>
              <w:rPr>
                <w:sz w:val="20"/>
                <w:szCs w:val="20"/>
                <w:color w:val="auto"/>
              </w:rPr>
            </w:pPr>
            <w:r>
              <w:rPr>
                <w:rFonts w:ascii="Times New Roman" w:cs="Times New Roman" w:eastAsia="Times New Roman" w:hAnsi="Times New Roman"/>
                <w:sz w:val="19"/>
                <w:szCs w:val="19"/>
                <w:b w:val="1"/>
                <w:bCs w:val="1"/>
                <w:color w:val="auto"/>
              </w:rPr>
              <w:t>Current assets</w:t>
            </w:r>
          </w:p>
        </w:tc>
        <w:tc>
          <w:tcPr>
            <w:tcW w:w="2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r>
      <w:tr>
        <w:trPr>
          <w:trHeight w:val="218"/>
        </w:trPr>
        <w:tc>
          <w:tcPr>
            <w:tcW w:w="6600" w:type="dxa"/>
            <w:vAlign w:val="bottom"/>
          </w:tcPr>
          <w:p>
            <w:pPr>
              <w:spacing w:after="0"/>
              <w:rPr>
                <w:sz w:val="20"/>
                <w:szCs w:val="20"/>
                <w:color w:val="auto"/>
              </w:rPr>
            </w:pPr>
            <w:r>
              <w:rPr>
                <w:rFonts w:ascii="Times New Roman" w:cs="Times New Roman" w:eastAsia="Times New Roman" w:hAnsi="Times New Roman"/>
                <w:sz w:val="19"/>
                <w:szCs w:val="19"/>
                <w:color w:val="auto"/>
              </w:rPr>
              <w:t>Cash and cash equivalents</w:t>
            </w:r>
          </w:p>
        </w:tc>
        <w:tc>
          <w:tcPr>
            <w:tcW w:w="940" w:type="dxa"/>
            <w:vAlign w:val="bottom"/>
            <w:gridSpan w:val="2"/>
          </w:tcPr>
          <w:p>
            <w:pPr>
              <w:jc w:val="center"/>
              <w:ind w:left="125"/>
              <w:spacing w:after="0"/>
              <w:rPr>
                <w:sz w:val="20"/>
                <w:szCs w:val="20"/>
                <w:color w:val="auto"/>
              </w:rPr>
            </w:pPr>
            <w:r>
              <w:rPr>
                <w:rFonts w:ascii="Times New Roman" w:cs="Times New Roman" w:eastAsia="Times New Roman" w:hAnsi="Times New Roman"/>
                <w:sz w:val="19"/>
                <w:szCs w:val="19"/>
                <w:color w:val="auto"/>
                <w:w w:val="83"/>
              </w:rPr>
              <w:t>2</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20,452</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30,995</w:t>
            </w:r>
          </w:p>
        </w:tc>
      </w:tr>
      <w:tr>
        <w:trPr>
          <w:trHeight w:val="218"/>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9"/>
                <w:szCs w:val="19"/>
                <w:color w:val="auto"/>
              </w:rPr>
              <w:t>Current portion of net trade accounts and notes receivable</w:t>
            </w:r>
          </w:p>
        </w:tc>
        <w:tc>
          <w:tcPr>
            <w:tcW w:w="940" w:type="dxa"/>
            <w:vAlign w:val="bottom"/>
            <w:gridSpan w:val="2"/>
            <w:shd w:val="clear" w:color="auto" w:fill="CCEEFF"/>
          </w:tcPr>
          <w:p>
            <w:pPr>
              <w:jc w:val="center"/>
              <w:ind w:left="125"/>
              <w:spacing w:after="0"/>
              <w:rPr>
                <w:sz w:val="20"/>
                <w:szCs w:val="20"/>
                <w:color w:val="auto"/>
              </w:rPr>
            </w:pPr>
            <w:r>
              <w:rPr>
                <w:rFonts w:ascii="Times New Roman" w:cs="Times New Roman" w:eastAsia="Times New Roman" w:hAnsi="Times New Roman"/>
                <w:sz w:val="19"/>
                <w:szCs w:val="19"/>
                <w:color w:val="auto"/>
                <w:w w:val="83"/>
              </w:rPr>
              <w:t>3</w:t>
            </w:r>
          </w:p>
        </w:tc>
        <w:tc>
          <w:tcPr>
            <w:tcW w:w="1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21,286</w:t>
            </w: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19,324</w:t>
            </w:r>
          </w:p>
        </w:tc>
      </w:tr>
      <w:tr>
        <w:trPr>
          <w:trHeight w:val="218"/>
        </w:trPr>
        <w:tc>
          <w:tcPr>
            <w:tcW w:w="6600" w:type="dxa"/>
            <w:vAlign w:val="bottom"/>
          </w:tcPr>
          <w:p>
            <w:pPr>
              <w:spacing w:after="0"/>
              <w:rPr>
                <w:sz w:val="20"/>
                <w:szCs w:val="20"/>
                <w:color w:val="auto"/>
              </w:rPr>
            </w:pPr>
            <w:r>
              <w:rPr>
                <w:rFonts w:ascii="Times New Roman" w:cs="Times New Roman" w:eastAsia="Times New Roman" w:hAnsi="Times New Roman"/>
                <w:sz w:val="19"/>
                <w:szCs w:val="19"/>
                <w:color w:val="auto"/>
              </w:rPr>
              <w:t>Other receivables</w:t>
            </w:r>
          </w:p>
        </w:tc>
        <w:tc>
          <w:tcPr>
            <w:tcW w:w="940" w:type="dxa"/>
            <w:vAlign w:val="bottom"/>
            <w:gridSpan w:val="2"/>
          </w:tcPr>
          <w:p>
            <w:pPr>
              <w:jc w:val="center"/>
              <w:ind w:left="125"/>
              <w:spacing w:after="0"/>
              <w:rPr>
                <w:sz w:val="20"/>
                <w:szCs w:val="20"/>
                <w:color w:val="auto"/>
              </w:rPr>
            </w:pPr>
            <w:r>
              <w:rPr>
                <w:rFonts w:ascii="Times New Roman" w:cs="Times New Roman" w:eastAsia="Times New Roman" w:hAnsi="Times New Roman"/>
                <w:sz w:val="19"/>
                <w:szCs w:val="19"/>
                <w:color w:val="auto"/>
                <w:w w:val="83"/>
              </w:rPr>
              <w:t>4</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1,297</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1,753</w:t>
            </w:r>
          </w:p>
        </w:tc>
      </w:tr>
      <w:tr>
        <w:trPr>
          <w:trHeight w:val="218"/>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9"/>
                <w:szCs w:val="19"/>
                <w:color w:val="auto"/>
              </w:rPr>
              <w:t>Inventories</w:t>
            </w:r>
          </w:p>
        </w:tc>
        <w:tc>
          <w:tcPr>
            <w:tcW w:w="940" w:type="dxa"/>
            <w:vAlign w:val="bottom"/>
            <w:gridSpan w:val="2"/>
            <w:shd w:val="clear" w:color="auto" w:fill="CCEEFF"/>
          </w:tcPr>
          <w:p>
            <w:pPr>
              <w:jc w:val="center"/>
              <w:ind w:left="125"/>
              <w:spacing w:after="0"/>
              <w:rPr>
                <w:sz w:val="20"/>
                <w:szCs w:val="20"/>
                <w:color w:val="auto"/>
              </w:rPr>
            </w:pPr>
            <w:r>
              <w:rPr>
                <w:rFonts w:ascii="Times New Roman" w:cs="Times New Roman" w:eastAsia="Times New Roman" w:hAnsi="Times New Roman"/>
                <w:sz w:val="19"/>
                <w:szCs w:val="19"/>
                <w:color w:val="auto"/>
                <w:w w:val="83"/>
              </w:rPr>
              <w:t>5</w:t>
            </w:r>
          </w:p>
        </w:tc>
        <w:tc>
          <w:tcPr>
            <w:tcW w:w="1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12,830</w:t>
            </w: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19,213</w:t>
            </w:r>
          </w:p>
        </w:tc>
      </w:tr>
      <w:tr>
        <w:trPr>
          <w:trHeight w:val="218"/>
        </w:trPr>
        <w:tc>
          <w:tcPr>
            <w:tcW w:w="6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9"/>
                <w:szCs w:val="19"/>
                <w:color w:val="auto"/>
              </w:rPr>
              <w:t>Other assets, current portion</w:t>
            </w:r>
          </w:p>
        </w:tc>
        <w:tc>
          <w:tcPr>
            <w:tcW w:w="940" w:type="dxa"/>
            <w:vAlign w:val="bottom"/>
            <w:tcBorders>
              <w:bottom w:val="single" w:sz="8" w:color="CCEEFF"/>
            </w:tcBorders>
            <w:gridSpan w:val="2"/>
          </w:tcPr>
          <w:p>
            <w:pPr>
              <w:jc w:val="center"/>
              <w:ind w:left="125"/>
              <w:spacing w:after="0"/>
              <w:rPr>
                <w:sz w:val="20"/>
                <w:szCs w:val="20"/>
                <w:color w:val="auto"/>
              </w:rPr>
            </w:pPr>
            <w:r>
              <w:rPr>
                <w:rFonts w:ascii="Times New Roman" w:cs="Times New Roman" w:eastAsia="Times New Roman" w:hAnsi="Times New Roman"/>
                <w:sz w:val="19"/>
                <w:szCs w:val="19"/>
                <w:color w:val="auto"/>
                <w:w w:val="83"/>
              </w:rPr>
              <w:t>6</w:t>
            </w:r>
          </w:p>
        </w:tc>
        <w:tc>
          <w:tcPr>
            <w:tcW w:w="220" w:type="dxa"/>
            <w:vAlign w:val="bottom"/>
            <w:tcBorders>
              <w:bottom w:val="single" w:sz="8" w:color="CCEEFF"/>
            </w:tcBorders>
            <w:gridSpan w:val="2"/>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1,299</w:t>
            </w:r>
          </w:p>
        </w:tc>
        <w:tc>
          <w:tcPr>
            <w:tcW w:w="220" w:type="dxa"/>
            <w:vAlign w:val="bottom"/>
            <w:tcBorders>
              <w:bottom w:val="single" w:sz="8" w:color="CCEEFF"/>
            </w:tcBorders>
            <w:gridSpan w:val="2"/>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1,307</w:t>
            </w:r>
          </w:p>
        </w:tc>
      </w:tr>
      <w:tr>
        <w:trPr>
          <w:trHeight w:val="230"/>
        </w:trPr>
        <w:tc>
          <w:tcPr>
            <w:tcW w:w="6600" w:type="dxa"/>
            <w:vAlign w:val="bottom"/>
            <w:shd w:val="clear" w:color="auto" w:fill="CCEEFF"/>
          </w:tcPr>
          <w:p>
            <w:pPr>
              <w:spacing w:after="0" w:line="211" w:lineRule="exact"/>
              <w:rPr>
                <w:sz w:val="20"/>
                <w:szCs w:val="20"/>
                <w:color w:val="auto"/>
              </w:rPr>
            </w:pPr>
            <w:r>
              <w:rPr>
                <w:rFonts w:ascii="Times New Roman" w:cs="Times New Roman" w:eastAsia="Times New Roman" w:hAnsi="Times New Roman"/>
                <w:sz w:val="19"/>
                <w:szCs w:val="19"/>
                <w:color w:val="auto"/>
              </w:rPr>
              <w:t>Total current assets</w:t>
            </w:r>
          </w:p>
        </w:tc>
        <w:tc>
          <w:tcPr>
            <w:tcW w:w="2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120" w:type="dxa"/>
            <w:vAlign w:val="bottom"/>
            <w:gridSpan w:val="3"/>
            <w:shd w:val="clear" w:color="auto" w:fill="CCEEFF"/>
          </w:tcPr>
          <w:p>
            <w:pPr>
              <w:jc w:val="right"/>
              <w:spacing w:after="0" w:line="211" w:lineRule="exact"/>
              <w:rPr>
                <w:sz w:val="20"/>
                <w:szCs w:val="20"/>
                <w:color w:val="auto"/>
              </w:rPr>
            </w:pPr>
            <w:r>
              <w:rPr>
                <w:rFonts w:ascii="Times New Roman" w:cs="Times New Roman" w:eastAsia="Times New Roman" w:hAnsi="Times New Roman"/>
                <w:sz w:val="19"/>
                <w:szCs w:val="19"/>
                <w:color w:val="auto"/>
              </w:rPr>
              <w:t>57,164</w:t>
            </w:r>
          </w:p>
        </w:tc>
        <w:tc>
          <w:tcPr>
            <w:tcW w:w="1060" w:type="dxa"/>
            <w:vAlign w:val="bottom"/>
            <w:gridSpan w:val="3"/>
            <w:shd w:val="clear" w:color="auto" w:fill="CCEEFF"/>
          </w:tcPr>
          <w:p>
            <w:pPr>
              <w:jc w:val="right"/>
              <w:spacing w:after="0" w:line="211" w:lineRule="exact"/>
              <w:rPr>
                <w:sz w:val="20"/>
                <w:szCs w:val="20"/>
                <w:color w:val="auto"/>
              </w:rPr>
            </w:pPr>
            <w:r>
              <w:rPr>
                <w:rFonts w:ascii="Times New Roman" w:cs="Times New Roman" w:eastAsia="Times New Roman" w:hAnsi="Times New Roman"/>
                <w:sz w:val="19"/>
                <w:szCs w:val="19"/>
                <w:color w:val="auto"/>
              </w:rPr>
              <w:t>72,591</w:t>
            </w:r>
          </w:p>
        </w:tc>
      </w:tr>
      <w:tr>
        <w:trPr>
          <w:trHeight w:val="188"/>
        </w:trPr>
        <w:tc>
          <w:tcPr>
            <w:tcW w:w="6600" w:type="dxa"/>
            <w:vAlign w:val="bottom"/>
            <w:tcBorders>
              <w:top w:val="single" w:sz="8" w:color="CCEEFF"/>
            </w:tcBorders>
          </w:tcPr>
          <w:p>
            <w:pPr>
              <w:spacing w:after="0" w:line="188" w:lineRule="exact"/>
              <w:rPr>
                <w:sz w:val="20"/>
                <w:szCs w:val="20"/>
                <w:color w:val="auto"/>
              </w:rPr>
            </w:pPr>
            <w:r>
              <w:rPr>
                <w:rFonts w:ascii="Times New Roman" w:cs="Times New Roman" w:eastAsia="Times New Roman" w:hAnsi="Times New Roman"/>
                <w:sz w:val="19"/>
                <w:szCs w:val="19"/>
                <w:b w:val="1"/>
                <w:bCs w:val="1"/>
                <w:color w:val="auto"/>
              </w:rPr>
              <w:t>Non-current assets</w:t>
            </w:r>
          </w:p>
        </w:tc>
        <w:tc>
          <w:tcPr>
            <w:tcW w:w="220" w:type="dxa"/>
            <w:vAlign w:val="bottom"/>
            <w:tcBorders>
              <w:top w:val="single" w:sz="8" w:color="CCEEFF"/>
            </w:tcBorders>
          </w:tcPr>
          <w:p>
            <w:pPr>
              <w:spacing w:after="0"/>
              <w:rPr>
                <w:sz w:val="16"/>
                <w:szCs w:val="16"/>
                <w:color w:val="auto"/>
              </w:rPr>
            </w:pPr>
          </w:p>
        </w:tc>
        <w:tc>
          <w:tcPr>
            <w:tcW w:w="72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r>
      <w:tr>
        <w:trPr>
          <w:trHeight w:val="218"/>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9"/>
                <w:szCs w:val="19"/>
                <w:color w:val="auto"/>
              </w:rPr>
              <w:t>Property and equipment, net</w:t>
            </w:r>
          </w:p>
        </w:tc>
        <w:tc>
          <w:tcPr>
            <w:tcW w:w="940" w:type="dxa"/>
            <w:vAlign w:val="bottom"/>
            <w:gridSpan w:val="2"/>
            <w:shd w:val="clear" w:color="auto" w:fill="CCEEFF"/>
          </w:tcPr>
          <w:p>
            <w:pPr>
              <w:jc w:val="center"/>
              <w:ind w:left="125"/>
              <w:spacing w:after="0"/>
              <w:rPr>
                <w:sz w:val="20"/>
                <w:szCs w:val="20"/>
                <w:color w:val="auto"/>
              </w:rPr>
            </w:pPr>
            <w:r>
              <w:rPr>
                <w:rFonts w:ascii="Times New Roman" w:cs="Times New Roman" w:eastAsia="Times New Roman" w:hAnsi="Times New Roman"/>
                <w:sz w:val="19"/>
                <w:szCs w:val="19"/>
                <w:color w:val="auto"/>
                <w:w w:val="83"/>
              </w:rPr>
              <w:t>7</w:t>
            </w:r>
          </w:p>
        </w:tc>
        <w:tc>
          <w:tcPr>
            <w:tcW w:w="1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10,394</w:t>
            </w: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8,085</w:t>
            </w:r>
          </w:p>
        </w:tc>
      </w:tr>
      <w:tr>
        <w:trPr>
          <w:trHeight w:val="218"/>
        </w:trPr>
        <w:tc>
          <w:tcPr>
            <w:tcW w:w="6600" w:type="dxa"/>
            <w:vAlign w:val="bottom"/>
          </w:tcPr>
          <w:p>
            <w:pPr>
              <w:spacing w:after="0"/>
              <w:rPr>
                <w:sz w:val="20"/>
                <w:szCs w:val="20"/>
                <w:color w:val="auto"/>
              </w:rPr>
            </w:pPr>
            <w:r>
              <w:rPr>
                <w:rFonts w:ascii="Times New Roman" w:cs="Times New Roman" w:eastAsia="Times New Roman" w:hAnsi="Times New Roman"/>
                <w:sz w:val="19"/>
                <w:szCs w:val="19"/>
                <w:color w:val="auto"/>
              </w:rPr>
              <w:t>Operating lease right-of-use assets</w:t>
            </w:r>
          </w:p>
        </w:tc>
        <w:tc>
          <w:tcPr>
            <w:tcW w:w="940" w:type="dxa"/>
            <w:vAlign w:val="bottom"/>
            <w:gridSpan w:val="2"/>
          </w:tcPr>
          <w:p>
            <w:pPr>
              <w:jc w:val="center"/>
              <w:ind w:left="125"/>
              <w:spacing w:after="0"/>
              <w:rPr>
                <w:sz w:val="20"/>
                <w:szCs w:val="20"/>
                <w:color w:val="auto"/>
              </w:rPr>
            </w:pPr>
            <w:r>
              <w:rPr>
                <w:rFonts w:ascii="Times New Roman" w:cs="Times New Roman" w:eastAsia="Times New Roman" w:hAnsi="Times New Roman"/>
                <w:sz w:val="19"/>
                <w:szCs w:val="19"/>
                <w:color w:val="auto"/>
                <w:w w:val="83"/>
              </w:rPr>
              <w:t>8</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3,111</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2,653</w:t>
            </w:r>
          </w:p>
        </w:tc>
      </w:tr>
      <w:tr>
        <w:trPr>
          <w:trHeight w:val="218"/>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9"/>
                <w:szCs w:val="19"/>
                <w:color w:val="auto"/>
              </w:rPr>
              <w:t>Intangible assets, net</w:t>
            </w:r>
          </w:p>
        </w:tc>
        <w:tc>
          <w:tcPr>
            <w:tcW w:w="940" w:type="dxa"/>
            <w:vAlign w:val="bottom"/>
            <w:gridSpan w:val="2"/>
            <w:shd w:val="clear" w:color="auto" w:fill="CCEEFF"/>
          </w:tcPr>
          <w:p>
            <w:pPr>
              <w:jc w:val="center"/>
              <w:ind w:left="125"/>
              <w:spacing w:after="0"/>
              <w:rPr>
                <w:sz w:val="20"/>
                <w:szCs w:val="20"/>
                <w:color w:val="auto"/>
              </w:rPr>
            </w:pPr>
            <w:r>
              <w:rPr>
                <w:rFonts w:ascii="Times New Roman" w:cs="Times New Roman" w:eastAsia="Times New Roman" w:hAnsi="Times New Roman"/>
                <w:sz w:val="19"/>
                <w:szCs w:val="19"/>
                <w:color w:val="auto"/>
                <w:w w:val="83"/>
              </w:rPr>
              <w:t>9</w:t>
            </w:r>
          </w:p>
        </w:tc>
        <w:tc>
          <w:tcPr>
            <w:tcW w:w="1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1,796</w:t>
            </w: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1,127</w:t>
            </w:r>
          </w:p>
        </w:tc>
      </w:tr>
      <w:tr>
        <w:trPr>
          <w:trHeight w:val="218"/>
        </w:trPr>
        <w:tc>
          <w:tcPr>
            <w:tcW w:w="6600" w:type="dxa"/>
            <w:vAlign w:val="bottom"/>
          </w:tcPr>
          <w:p>
            <w:pPr>
              <w:spacing w:after="0"/>
              <w:rPr>
                <w:sz w:val="20"/>
                <w:szCs w:val="20"/>
                <w:color w:val="auto"/>
              </w:rPr>
            </w:pPr>
            <w:r>
              <w:rPr>
                <w:rFonts w:ascii="Times New Roman" w:cs="Times New Roman" w:eastAsia="Times New Roman" w:hAnsi="Times New Roman"/>
                <w:sz w:val="19"/>
                <w:szCs w:val="19"/>
                <w:color w:val="auto"/>
              </w:rPr>
              <w:t>Goodwill</w:t>
            </w:r>
          </w:p>
        </w:tc>
        <w:tc>
          <w:tcPr>
            <w:tcW w:w="940" w:type="dxa"/>
            <w:vAlign w:val="bottom"/>
            <w:gridSpan w:val="2"/>
          </w:tcPr>
          <w:p>
            <w:pPr>
              <w:jc w:val="center"/>
              <w:ind w:left="125"/>
              <w:spacing w:after="0"/>
              <w:rPr>
                <w:sz w:val="20"/>
                <w:szCs w:val="20"/>
                <w:color w:val="auto"/>
              </w:rPr>
            </w:pPr>
            <w:r>
              <w:rPr>
                <w:rFonts w:ascii="Times New Roman" w:cs="Times New Roman" w:eastAsia="Times New Roman" w:hAnsi="Times New Roman"/>
                <w:sz w:val="19"/>
                <w:szCs w:val="19"/>
                <w:color w:val="auto"/>
                <w:w w:val="83"/>
              </w:rPr>
              <w:t>9</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2,834</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2,505</w:t>
            </w:r>
          </w:p>
        </w:tc>
      </w:tr>
      <w:tr>
        <w:trPr>
          <w:trHeight w:val="218"/>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9"/>
                <w:szCs w:val="19"/>
                <w:color w:val="auto"/>
              </w:rPr>
              <w:t>Deposits and other non-current assets</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9"/>
                <w:szCs w:val="19"/>
                <w:color w:val="auto"/>
              </w:rPr>
              <w:t>10</w:t>
            </w:r>
          </w:p>
        </w:tc>
        <w:tc>
          <w:tcPr>
            <w:tcW w:w="1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2,059</w:t>
            </w: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1,581</w:t>
            </w:r>
          </w:p>
        </w:tc>
      </w:tr>
      <w:tr>
        <w:trPr>
          <w:trHeight w:val="218"/>
        </w:trPr>
        <w:tc>
          <w:tcPr>
            <w:tcW w:w="6600" w:type="dxa"/>
            <w:vAlign w:val="bottom"/>
          </w:tcPr>
          <w:p>
            <w:pPr>
              <w:spacing w:after="0"/>
              <w:rPr>
                <w:sz w:val="20"/>
                <w:szCs w:val="20"/>
                <w:color w:val="auto"/>
              </w:rPr>
            </w:pPr>
            <w:r>
              <w:rPr>
                <w:rFonts w:ascii="Times New Roman" w:cs="Times New Roman" w:eastAsia="Times New Roman" w:hAnsi="Times New Roman"/>
                <w:sz w:val="19"/>
                <w:szCs w:val="19"/>
                <w:color w:val="auto"/>
              </w:rPr>
              <w:t>Deferred tax assets</w:t>
            </w:r>
          </w:p>
        </w:tc>
        <w:tc>
          <w:tcPr>
            <w:tcW w:w="220" w:type="dxa"/>
            <w:vAlign w:val="bottom"/>
          </w:tcPr>
          <w:p>
            <w:pPr>
              <w:spacing w:after="0"/>
              <w:rPr>
                <w:sz w:val="18"/>
                <w:szCs w:val="18"/>
                <w:color w:val="auto"/>
              </w:rPr>
            </w:pPr>
          </w:p>
        </w:tc>
        <w:tc>
          <w:tcPr>
            <w:tcW w:w="720" w:type="dxa"/>
            <w:vAlign w:val="bottom"/>
          </w:tcPr>
          <w:p>
            <w:pPr>
              <w:jc w:val="center"/>
              <w:spacing w:after="0" w:line="219" w:lineRule="exact"/>
              <w:rPr>
                <w:sz w:val="20"/>
                <w:szCs w:val="20"/>
                <w:color w:val="auto"/>
              </w:rPr>
            </w:pPr>
            <w:r>
              <w:rPr>
                <w:rFonts w:ascii="Arial" w:cs="Arial" w:eastAsia="Arial" w:hAnsi="Arial"/>
                <w:sz w:val="19"/>
                <w:szCs w:val="19"/>
                <w:color w:val="auto"/>
                <w:w w:val="95"/>
              </w:rPr>
              <w:t>23</w:t>
            </w:r>
            <w:r>
              <w:rPr>
                <w:rFonts w:ascii="MS PMincho" w:cs="MS PMincho" w:eastAsia="MS PMincho" w:hAnsi="MS PMincho"/>
                <w:sz w:val="19"/>
                <w:szCs w:val="19"/>
                <w:color w:val="auto"/>
                <w:w w:val="95"/>
              </w:rPr>
              <w:t>‑</w:t>
            </w:r>
            <w:r>
              <w:rPr>
                <w:rFonts w:ascii="Arial" w:cs="Arial" w:eastAsia="Arial" w:hAnsi="Arial"/>
                <w:sz w:val="19"/>
                <w:szCs w:val="19"/>
                <w:color w:val="auto"/>
                <w:w w:val="95"/>
              </w:rPr>
              <w:t>3</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1,094</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865</w:t>
            </w:r>
          </w:p>
        </w:tc>
      </w:tr>
      <w:tr>
        <w:trPr>
          <w:trHeight w:val="238"/>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9"/>
                <w:szCs w:val="19"/>
                <w:color w:val="auto"/>
              </w:rPr>
              <w:t>Net Trade accounts and notes receivable, non-current</w:t>
            </w:r>
          </w:p>
        </w:tc>
        <w:tc>
          <w:tcPr>
            <w:tcW w:w="940" w:type="dxa"/>
            <w:vAlign w:val="bottom"/>
            <w:gridSpan w:val="2"/>
            <w:shd w:val="clear" w:color="auto" w:fill="CCEEFF"/>
          </w:tcPr>
          <w:p>
            <w:pPr>
              <w:jc w:val="center"/>
              <w:ind w:left="125"/>
              <w:spacing w:after="0"/>
              <w:rPr>
                <w:sz w:val="20"/>
                <w:szCs w:val="20"/>
                <w:color w:val="auto"/>
              </w:rPr>
            </w:pPr>
            <w:r>
              <w:rPr>
                <w:rFonts w:ascii="Times New Roman" w:cs="Times New Roman" w:eastAsia="Times New Roman" w:hAnsi="Times New Roman"/>
                <w:sz w:val="19"/>
                <w:szCs w:val="19"/>
                <w:color w:val="auto"/>
                <w:w w:val="83"/>
              </w:rPr>
              <w:t>3</w:t>
            </w:r>
          </w:p>
        </w:tc>
        <w:tc>
          <w:tcPr>
            <w:tcW w:w="1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546</w:t>
            </w: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w:t>
            </w:r>
          </w:p>
        </w:tc>
      </w:tr>
      <w:tr>
        <w:trPr>
          <w:trHeight w:val="197"/>
        </w:trPr>
        <w:tc>
          <w:tcPr>
            <w:tcW w:w="6600" w:type="dxa"/>
            <w:vAlign w:val="bottom"/>
            <w:tcBorders>
              <w:top w:val="single" w:sz="8" w:color="CCEEFF"/>
              <w:bottom w:val="single" w:sz="8" w:color="CCEEFF"/>
            </w:tcBorders>
          </w:tcPr>
          <w:p>
            <w:pPr>
              <w:spacing w:after="0" w:line="188" w:lineRule="exact"/>
              <w:rPr>
                <w:sz w:val="20"/>
                <w:szCs w:val="20"/>
                <w:color w:val="auto"/>
              </w:rPr>
            </w:pPr>
            <w:r>
              <w:rPr>
                <w:rFonts w:ascii="Times New Roman" w:cs="Times New Roman" w:eastAsia="Times New Roman" w:hAnsi="Times New Roman"/>
                <w:sz w:val="19"/>
                <w:szCs w:val="19"/>
                <w:b w:val="1"/>
                <w:bCs w:val="1"/>
                <w:color w:val="auto"/>
              </w:rPr>
              <w:t>Total assets</w:t>
            </w:r>
          </w:p>
        </w:tc>
        <w:tc>
          <w:tcPr>
            <w:tcW w:w="220" w:type="dxa"/>
            <w:vAlign w:val="bottom"/>
            <w:tcBorders>
              <w:top w:val="single" w:sz="8" w:color="CCEEFF"/>
              <w:bottom w:val="single" w:sz="8" w:color="CCEEFF"/>
            </w:tcBorders>
          </w:tcPr>
          <w:p>
            <w:pPr>
              <w:spacing w:after="0"/>
              <w:rPr>
                <w:sz w:val="17"/>
                <w:szCs w:val="17"/>
                <w:color w:val="auto"/>
              </w:rPr>
            </w:pPr>
          </w:p>
        </w:tc>
        <w:tc>
          <w:tcPr>
            <w:tcW w:w="720" w:type="dxa"/>
            <w:vAlign w:val="bottom"/>
            <w:tcBorders>
              <w:top w:val="single" w:sz="8" w:color="CCEEFF"/>
              <w:bottom w:val="single" w:sz="8" w:color="CCEEFF"/>
            </w:tcBorders>
          </w:tcPr>
          <w:p>
            <w:pPr>
              <w:spacing w:after="0"/>
              <w:rPr>
                <w:sz w:val="17"/>
                <w:szCs w:val="17"/>
                <w:color w:val="auto"/>
              </w:rPr>
            </w:pPr>
          </w:p>
        </w:tc>
        <w:tc>
          <w:tcPr>
            <w:tcW w:w="200" w:type="dxa"/>
            <w:vAlign w:val="bottom"/>
            <w:tcBorders>
              <w:top w:val="single" w:sz="8" w:color="CCEEFF"/>
              <w:bottom w:val="single" w:sz="8" w:color="CCEEFF"/>
            </w:tcBorders>
          </w:tcPr>
          <w:p>
            <w:pPr>
              <w:spacing w:after="0"/>
              <w:rPr>
                <w:sz w:val="17"/>
                <w:szCs w:val="17"/>
                <w:color w:val="auto"/>
              </w:rPr>
            </w:pPr>
          </w:p>
        </w:tc>
        <w:tc>
          <w:tcPr>
            <w:tcW w:w="20" w:type="dxa"/>
            <w:vAlign w:val="bottom"/>
            <w:tcBorders>
              <w:top w:val="single" w:sz="8" w:color="CCEEFF"/>
              <w:bottom w:val="single" w:sz="8" w:color="CCEEFF"/>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line="188" w:lineRule="exact"/>
              <w:rPr>
                <w:sz w:val="20"/>
                <w:szCs w:val="20"/>
                <w:color w:val="auto"/>
              </w:rPr>
            </w:pPr>
            <w:r>
              <w:rPr>
                <w:rFonts w:ascii="Times New Roman" w:cs="Times New Roman" w:eastAsia="Times New Roman" w:hAnsi="Times New Roman"/>
                <w:sz w:val="19"/>
                <w:szCs w:val="19"/>
                <w:b w:val="1"/>
                <w:bCs w:val="1"/>
                <w:color w:val="auto"/>
              </w:rPr>
              <w:t>78,997</w:t>
            </w:r>
          </w:p>
        </w:tc>
        <w:tc>
          <w:tcPr>
            <w:tcW w:w="200" w:type="dxa"/>
            <w:vAlign w:val="bottom"/>
            <w:tcBorders>
              <w:top w:val="single" w:sz="8" w:color="CCEEFF"/>
              <w:bottom w:val="single" w:sz="8" w:color="CCEEFF"/>
            </w:tcBorders>
          </w:tcPr>
          <w:p>
            <w:pPr>
              <w:spacing w:after="0"/>
              <w:rPr>
                <w:sz w:val="17"/>
                <w:szCs w:val="17"/>
                <w:color w:val="auto"/>
              </w:rPr>
            </w:pPr>
          </w:p>
        </w:tc>
        <w:tc>
          <w:tcPr>
            <w:tcW w:w="20" w:type="dxa"/>
            <w:vAlign w:val="bottom"/>
            <w:tcBorders>
              <w:top w:val="single" w:sz="8" w:color="CCEEFF"/>
              <w:bottom w:val="single" w:sz="8" w:color="CCEEFF"/>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line="188" w:lineRule="exact"/>
              <w:rPr>
                <w:sz w:val="20"/>
                <w:szCs w:val="20"/>
                <w:color w:val="auto"/>
              </w:rPr>
            </w:pPr>
            <w:r>
              <w:rPr>
                <w:rFonts w:ascii="Times New Roman" w:cs="Times New Roman" w:eastAsia="Times New Roman" w:hAnsi="Times New Roman"/>
                <w:sz w:val="19"/>
                <w:szCs w:val="19"/>
                <w:b w:val="1"/>
                <w:bCs w:val="1"/>
                <w:color w:val="auto"/>
              </w:rPr>
              <w:t>89,407</w:t>
            </w:r>
          </w:p>
        </w:tc>
      </w:tr>
      <w:tr>
        <w:trPr>
          <w:trHeight w:val="221"/>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9"/>
                <w:szCs w:val="19"/>
                <w:b w:val="1"/>
                <w:bCs w:val="1"/>
                <w:color w:val="auto"/>
              </w:rPr>
              <w:t>LIABILITIES AND SHAREHOLDERS’ EQUITY</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18"/>
        </w:trPr>
        <w:tc>
          <w:tcPr>
            <w:tcW w:w="660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Current liabilities</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8"/>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9"/>
                <w:szCs w:val="19"/>
                <w:color w:val="auto"/>
              </w:rPr>
              <w:t>Trade accounts and notes payable</w:t>
            </w:r>
          </w:p>
        </w:tc>
        <w:tc>
          <w:tcPr>
            <w:tcW w:w="940" w:type="dxa"/>
            <w:vAlign w:val="bottom"/>
            <w:gridSpan w:val="2"/>
            <w:shd w:val="clear" w:color="auto" w:fill="CCEEFF"/>
          </w:tcPr>
          <w:p>
            <w:pPr>
              <w:jc w:val="center"/>
              <w:ind w:left="125"/>
              <w:spacing w:after="0"/>
              <w:rPr>
                <w:sz w:val="20"/>
                <w:szCs w:val="20"/>
                <w:color w:val="auto"/>
              </w:rPr>
            </w:pPr>
            <w:r>
              <w:rPr>
                <w:rFonts w:ascii="Times New Roman" w:cs="Times New Roman" w:eastAsia="Times New Roman" w:hAnsi="Times New Roman"/>
                <w:sz w:val="19"/>
                <w:szCs w:val="19"/>
                <w:color w:val="auto"/>
              </w:rPr>
              <w:t>11</w:t>
            </w:r>
          </w:p>
        </w:tc>
        <w:tc>
          <w:tcPr>
            <w:tcW w:w="1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11,783</w:t>
            </w: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13,101</w:t>
            </w:r>
          </w:p>
        </w:tc>
      </w:tr>
      <w:tr>
        <w:trPr>
          <w:trHeight w:val="218"/>
        </w:trPr>
        <w:tc>
          <w:tcPr>
            <w:tcW w:w="6600" w:type="dxa"/>
            <w:vAlign w:val="bottom"/>
          </w:tcPr>
          <w:p>
            <w:pPr>
              <w:spacing w:after="0"/>
              <w:rPr>
                <w:sz w:val="20"/>
                <w:szCs w:val="20"/>
                <w:color w:val="auto"/>
              </w:rPr>
            </w:pPr>
            <w:r>
              <w:rPr>
                <w:rFonts w:ascii="Times New Roman" w:cs="Times New Roman" w:eastAsia="Times New Roman" w:hAnsi="Times New Roman"/>
                <w:sz w:val="19"/>
                <w:szCs w:val="19"/>
                <w:color w:val="auto"/>
              </w:rPr>
              <w:t>Deferred revenues, current portion</w:t>
            </w:r>
          </w:p>
        </w:tc>
        <w:tc>
          <w:tcPr>
            <w:tcW w:w="940" w:type="dxa"/>
            <w:vAlign w:val="bottom"/>
            <w:gridSpan w:val="2"/>
          </w:tcPr>
          <w:p>
            <w:pPr>
              <w:jc w:val="center"/>
              <w:ind w:left="125"/>
              <w:spacing w:after="0"/>
              <w:rPr>
                <w:sz w:val="20"/>
                <w:szCs w:val="20"/>
                <w:color w:val="auto"/>
              </w:rPr>
            </w:pPr>
            <w:r>
              <w:rPr>
                <w:rFonts w:ascii="Times New Roman" w:cs="Times New Roman" w:eastAsia="Times New Roman" w:hAnsi="Times New Roman"/>
                <w:sz w:val="19"/>
                <w:szCs w:val="19"/>
                <w:color w:val="auto"/>
              </w:rPr>
              <w:t>12</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7,098</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6,899</w:t>
            </w:r>
          </w:p>
        </w:tc>
      </w:tr>
      <w:tr>
        <w:trPr>
          <w:trHeight w:val="218"/>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9"/>
                <w:szCs w:val="19"/>
                <w:color w:val="auto"/>
              </w:rPr>
              <w:t>Social security and other payroll withholdings taxes</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2,138</w:t>
            </w: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2,331</w:t>
            </w:r>
          </w:p>
        </w:tc>
      </w:tr>
      <w:tr>
        <w:trPr>
          <w:trHeight w:val="218"/>
        </w:trPr>
        <w:tc>
          <w:tcPr>
            <w:tcW w:w="6600" w:type="dxa"/>
            <w:vAlign w:val="bottom"/>
          </w:tcPr>
          <w:p>
            <w:pPr>
              <w:spacing w:after="0"/>
              <w:rPr>
                <w:sz w:val="20"/>
                <w:szCs w:val="20"/>
                <w:color w:val="auto"/>
              </w:rPr>
            </w:pPr>
            <w:r>
              <w:rPr>
                <w:rFonts w:ascii="Times New Roman" w:cs="Times New Roman" w:eastAsia="Times New Roman" w:hAnsi="Times New Roman"/>
                <w:sz w:val="19"/>
                <w:szCs w:val="19"/>
                <w:color w:val="auto"/>
              </w:rPr>
              <w:t>Employee absences compensation</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1,189</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1,020</w:t>
            </w:r>
          </w:p>
        </w:tc>
      </w:tr>
      <w:tr>
        <w:trPr>
          <w:trHeight w:val="218"/>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9"/>
                <w:szCs w:val="19"/>
                <w:color w:val="auto"/>
              </w:rPr>
              <w:t>Income taxes payable</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193</w:t>
            </w: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(8)</w:t>
            </w:r>
          </w:p>
        </w:tc>
      </w:tr>
      <w:tr>
        <w:trPr>
          <w:trHeight w:val="218"/>
        </w:trPr>
        <w:tc>
          <w:tcPr>
            <w:tcW w:w="6600" w:type="dxa"/>
            <w:vAlign w:val="bottom"/>
          </w:tcPr>
          <w:p>
            <w:pPr>
              <w:spacing w:after="0"/>
              <w:rPr>
                <w:sz w:val="20"/>
                <w:szCs w:val="20"/>
                <w:color w:val="auto"/>
              </w:rPr>
            </w:pPr>
            <w:r>
              <w:rPr>
                <w:rFonts w:ascii="Times New Roman" w:cs="Times New Roman" w:eastAsia="Times New Roman" w:hAnsi="Times New Roman"/>
                <w:sz w:val="19"/>
                <w:szCs w:val="19"/>
                <w:color w:val="auto"/>
              </w:rPr>
              <w:t>Other accrued liabilities</w:t>
            </w:r>
          </w:p>
        </w:tc>
        <w:tc>
          <w:tcPr>
            <w:tcW w:w="940" w:type="dxa"/>
            <w:vAlign w:val="bottom"/>
            <w:gridSpan w:val="2"/>
          </w:tcPr>
          <w:p>
            <w:pPr>
              <w:jc w:val="center"/>
              <w:ind w:left="125"/>
              <w:spacing w:after="0"/>
              <w:rPr>
                <w:sz w:val="20"/>
                <w:szCs w:val="20"/>
                <w:color w:val="auto"/>
              </w:rPr>
            </w:pPr>
            <w:r>
              <w:rPr>
                <w:rFonts w:ascii="Times New Roman" w:cs="Times New Roman" w:eastAsia="Times New Roman" w:hAnsi="Times New Roman"/>
                <w:sz w:val="19"/>
                <w:szCs w:val="19"/>
                <w:color w:val="auto"/>
              </w:rPr>
              <w:t>13</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5,389</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5,737</w:t>
            </w:r>
          </w:p>
        </w:tc>
      </w:tr>
      <w:tr>
        <w:trPr>
          <w:trHeight w:val="218"/>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9"/>
                <w:szCs w:val="19"/>
                <w:color w:val="auto"/>
              </w:rPr>
              <w:t>Short-term borrowings</w:t>
            </w:r>
          </w:p>
        </w:tc>
        <w:tc>
          <w:tcPr>
            <w:tcW w:w="940" w:type="dxa"/>
            <w:vAlign w:val="bottom"/>
            <w:gridSpan w:val="2"/>
            <w:shd w:val="clear" w:color="auto" w:fill="CCEEFF"/>
          </w:tcPr>
          <w:p>
            <w:pPr>
              <w:jc w:val="center"/>
              <w:ind w:left="125"/>
              <w:spacing w:after="0"/>
              <w:rPr>
                <w:sz w:val="20"/>
                <w:szCs w:val="20"/>
                <w:color w:val="auto"/>
              </w:rPr>
            </w:pPr>
            <w:r>
              <w:rPr>
                <w:rFonts w:ascii="Times New Roman" w:cs="Times New Roman" w:eastAsia="Times New Roman" w:hAnsi="Times New Roman"/>
                <w:sz w:val="19"/>
                <w:szCs w:val="19"/>
                <w:color w:val="auto"/>
              </w:rPr>
              <w:t>15</w:t>
            </w:r>
          </w:p>
        </w:tc>
        <w:tc>
          <w:tcPr>
            <w:tcW w:w="1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5,986</w:t>
            </w: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6,485</w:t>
            </w:r>
          </w:p>
        </w:tc>
      </w:tr>
      <w:tr>
        <w:trPr>
          <w:trHeight w:val="218"/>
        </w:trPr>
        <w:tc>
          <w:tcPr>
            <w:tcW w:w="6600" w:type="dxa"/>
            <w:vAlign w:val="bottom"/>
          </w:tcPr>
          <w:p>
            <w:pPr>
              <w:spacing w:after="0"/>
              <w:rPr>
                <w:sz w:val="20"/>
                <w:szCs w:val="20"/>
                <w:color w:val="auto"/>
              </w:rPr>
            </w:pPr>
            <w:r>
              <w:rPr>
                <w:rFonts w:ascii="Times New Roman" w:cs="Times New Roman" w:eastAsia="Times New Roman" w:hAnsi="Times New Roman"/>
                <w:sz w:val="19"/>
                <w:szCs w:val="19"/>
                <w:color w:val="auto"/>
              </w:rPr>
              <w:t>Current obligations under finance leases</w:t>
            </w:r>
          </w:p>
        </w:tc>
        <w:tc>
          <w:tcPr>
            <w:tcW w:w="220" w:type="dxa"/>
            <w:vAlign w:val="bottom"/>
          </w:tcPr>
          <w:p>
            <w:pPr>
              <w:spacing w:after="0"/>
              <w:rPr>
                <w:sz w:val="18"/>
                <w:szCs w:val="18"/>
                <w:color w:val="auto"/>
              </w:rPr>
            </w:pPr>
          </w:p>
        </w:tc>
        <w:tc>
          <w:tcPr>
            <w:tcW w:w="720" w:type="dxa"/>
            <w:vAlign w:val="bottom"/>
          </w:tcPr>
          <w:p>
            <w:pPr>
              <w:jc w:val="center"/>
              <w:spacing w:after="0" w:line="219" w:lineRule="exact"/>
              <w:rPr>
                <w:sz w:val="20"/>
                <w:szCs w:val="20"/>
                <w:color w:val="auto"/>
              </w:rPr>
            </w:pPr>
            <w:r>
              <w:rPr>
                <w:rFonts w:ascii="Arial" w:cs="Arial" w:eastAsia="Arial" w:hAnsi="Arial"/>
                <w:sz w:val="19"/>
                <w:szCs w:val="19"/>
                <w:color w:val="auto"/>
                <w:w w:val="95"/>
              </w:rPr>
              <w:t>14</w:t>
            </w:r>
            <w:r>
              <w:rPr>
                <w:rFonts w:ascii="MS PMincho" w:cs="MS PMincho" w:eastAsia="MS PMincho" w:hAnsi="MS PMincho"/>
                <w:sz w:val="19"/>
                <w:szCs w:val="19"/>
                <w:color w:val="auto"/>
                <w:w w:val="95"/>
              </w:rPr>
              <w:t>‑</w:t>
            </w:r>
            <w:r>
              <w:rPr>
                <w:rFonts w:ascii="Arial" w:cs="Arial" w:eastAsia="Arial" w:hAnsi="Arial"/>
                <w:sz w:val="19"/>
                <w:szCs w:val="19"/>
                <w:color w:val="auto"/>
                <w:w w:val="95"/>
              </w:rPr>
              <w:t>1</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182</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175</w:t>
            </w:r>
          </w:p>
        </w:tc>
      </w:tr>
      <w:tr>
        <w:trPr>
          <w:trHeight w:val="218"/>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9"/>
                <w:szCs w:val="19"/>
                <w:color w:val="auto"/>
              </w:rPr>
              <w:t>Current portion of operating lease obligations</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line="219" w:lineRule="exact"/>
              <w:rPr>
                <w:sz w:val="20"/>
                <w:szCs w:val="20"/>
                <w:color w:val="auto"/>
              </w:rPr>
            </w:pPr>
            <w:r>
              <w:rPr>
                <w:rFonts w:ascii="Arial" w:cs="Arial" w:eastAsia="Arial" w:hAnsi="Arial"/>
                <w:sz w:val="19"/>
                <w:szCs w:val="19"/>
                <w:color w:val="auto"/>
                <w:w w:val="95"/>
              </w:rPr>
              <w:t>14</w:t>
            </w:r>
            <w:r>
              <w:rPr>
                <w:rFonts w:ascii="MS PMincho" w:cs="MS PMincho" w:eastAsia="MS PMincho" w:hAnsi="MS PMincho"/>
                <w:sz w:val="19"/>
                <w:szCs w:val="19"/>
                <w:color w:val="auto"/>
                <w:w w:val="95"/>
              </w:rPr>
              <w:t>‑</w:t>
            </w:r>
            <w:r>
              <w:rPr>
                <w:rFonts w:ascii="Arial" w:cs="Arial" w:eastAsia="Arial" w:hAnsi="Arial"/>
                <w:sz w:val="19"/>
                <w:szCs w:val="19"/>
                <w:color w:val="auto"/>
                <w:w w:val="95"/>
              </w:rPr>
              <w:t>2</w:t>
            </w:r>
          </w:p>
        </w:tc>
        <w:tc>
          <w:tcPr>
            <w:tcW w:w="1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1,063</w:t>
            </w: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1,038</w:t>
            </w:r>
          </w:p>
        </w:tc>
      </w:tr>
      <w:tr>
        <w:trPr>
          <w:trHeight w:val="218"/>
        </w:trPr>
        <w:tc>
          <w:tcPr>
            <w:tcW w:w="6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9"/>
                <w:szCs w:val="19"/>
                <w:color w:val="auto"/>
              </w:rPr>
              <w:t>Current portion of long-term debt</w:t>
            </w:r>
          </w:p>
        </w:tc>
        <w:tc>
          <w:tcPr>
            <w:tcW w:w="22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jc w:val="center"/>
              <w:spacing w:after="0" w:line="219" w:lineRule="exact"/>
              <w:rPr>
                <w:sz w:val="20"/>
                <w:szCs w:val="20"/>
                <w:color w:val="auto"/>
              </w:rPr>
            </w:pPr>
            <w:r>
              <w:rPr>
                <w:rFonts w:ascii="Arial" w:cs="Arial" w:eastAsia="Arial" w:hAnsi="Arial"/>
                <w:sz w:val="19"/>
                <w:szCs w:val="19"/>
                <w:color w:val="auto"/>
                <w:w w:val="95"/>
              </w:rPr>
              <w:t>16</w:t>
            </w:r>
            <w:r>
              <w:rPr>
                <w:rFonts w:ascii="MS PMincho" w:cs="MS PMincho" w:eastAsia="MS PMincho" w:hAnsi="MS PMincho"/>
                <w:sz w:val="19"/>
                <w:szCs w:val="19"/>
                <w:color w:val="auto"/>
                <w:w w:val="95"/>
              </w:rPr>
              <w:t>‑</w:t>
            </w:r>
            <w:r>
              <w:rPr>
                <w:rFonts w:ascii="Arial" w:cs="Arial" w:eastAsia="Arial" w:hAnsi="Arial"/>
                <w:sz w:val="19"/>
                <w:szCs w:val="19"/>
                <w:color w:val="auto"/>
                <w:w w:val="95"/>
              </w:rPr>
              <w:t>1</w:t>
            </w:r>
          </w:p>
        </w:tc>
        <w:tc>
          <w:tcPr>
            <w:tcW w:w="220" w:type="dxa"/>
            <w:vAlign w:val="bottom"/>
            <w:tcBorders>
              <w:bottom w:val="single" w:sz="8" w:color="CCEEFF"/>
            </w:tcBorders>
            <w:gridSpan w:val="2"/>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2,120</w:t>
            </w:r>
          </w:p>
        </w:tc>
        <w:tc>
          <w:tcPr>
            <w:tcW w:w="220" w:type="dxa"/>
            <w:vAlign w:val="bottom"/>
            <w:tcBorders>
              <w:bottom w:val="single" w:sz="8" w:color="CCEEFF"/>
            </w:tcBorders>
            <w:gridSpan w:val="2"/>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2,503</w:t>
            </w:r>
          </w:p>
        </w:tc>
      </w:tr>
      <w:tr>
        <w:trPr>
          <w:trHeight w:val="208"/>
        </w:trPr>
        <w:tc>
          <w:tcPr>
            <w:tcW w:w="6600" w:type="dxa"/>
            <w:vAlign w:val="bottom"/>
            <w:shd w:val="clear" w:color="auto" w:fill="CCEEFF"/>
          </w:tcPr>
          <w:p>
            <w:pPr>
              <w:spacing w:after="0" w:line="208" w:lineRule="exact"/>
              <w:rPr>
                <w:sz w:val="20"/>
                <w:szCs w:val="20"/>
                <w:color w:val="auto"/>
              </w:rPr>
            </w:pPr>
            <w:r>
              <w:rPr>
                <w:rFonts w:ascii="Times New Roman" w:cs="Times New Roman" w:eastAsia="Times New Roman" w:hAnsi="Times New Roman"/>
                <w:sz w:val="19"/>
                <w:szCs w:val="19"/>
                <w:color w:val="auto"/>
              </w:rPr>
              <w:t>Total current liabilities</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spacing w:after="0" w:line="208" w:lineRule="exact"/>
              <w:rPr>
                <w:sz w:val="20"/>
                <w:szCs w:val="20"/>
                <w:color w:val="auto"/>
              </w:rPr>
            </w:pPr>
            <w:r>
              <w:rPr>
                <w:rFonts w:ascii="Times New Roman" w:cs="Times New Roman" w:eastAsia="Times New Roman" w:hAnsi="Times New Roman"/>
                <w:sz w:val="19"/>
                <w:szCs w:val="19"/>
                <w:color w:val="auto"/>
              </w:rPr>
              <w:t>37,141</w:t>
            </w:r>
          </w:p>
        </w:tc>
        <w:tc>
          <w:tcPr>
            <w:tcW w:w="1060" w:type="dxa"/>
            <w:vAlign w:val="bottom"/>
            <w:gridSpan w:val="3"/>
            <w:shd w:val="clear" w:color="auto" w:fill="CCEEFF"/>
          </w:tcPr>
          <w:p>
            <w:pPr>
              <w:jc w:val="right"/>
              <w:spacing w:after="0" w:line="208" w:lineRule="exact"/>
              <w:rPr>
                <w:sz w:val="20"/>
                <w:szCs w:val="20"/>
                <w:color w:val="auto"/>
              </w:rPr>
            </w:pPr>
            <w:r>
              <w:rPr>
                <w:rFonts w:ascii="Times New Roman" w:cs="Times New Roman" w:eastAsia="Times New Roman" w:hAnsi="Times New Roman"/>
                <w:sz w:val="19"/>
                <w:szCs w:val="19"/>
                <w:color w:val="auto"/>
              </w:rPr>
              <w:t>39,280</w:t>
            </w:r>
          </w:p>
        </w:tc>
      </w:tr>
      <w:tr>
        <w:trPr>
          <w:trHeight w:val="210"/>
        </w:trPr>
        <w:tc>
          <w:tcPr>
            <w:tcW w:w="6600" w:type="dxa"/>
            <w:vAlign w:val="bottom"/>
            <w:tcBorders>
              <w:bottom w:val="single" w:sz="8" w:color="CCEEFF"/>
            </w:tcBorders>
          </w:tcPr>
          <w:p>
            <w:pPr>
              <w:spacing w:after="0" w:line="211" w:lineRule="exact"/>
              <w:rPr>
                <w:sz w:val="20"/>
                <w:szCs w:val="20"/>
                <w:color w:val="auto"/>
              </w:rPr>
            </w:pPr>
            <w:r>
              <w:rPr>
                <w:rFonts w:ascii="Times New Roman" w:cs="Times New Roman" w:eastAsia="Times New Roman" w:hAnsi="Times New Roman"/>
                <w:sz w:val="19"/>
                <w:szCs w:val="19"/>
                <w:b w:val="1"/>
                <w:bCs w:val="1"/>
                <w:color w:val="auto"/>
              </w:rPr>
              <w:t>Non-current liabilities</w:t>
            </w:r>
          </w:p>
        </w:tc>
        <w:tc>
          <w:tcPr>
            <w:tcW w:w="22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spacing w:after="0"/>
              <w:rPr>
                <w:sz w:val="18"/>
                <w:szCs w:val="18"/>
                <w:color w:val="auto"/>
              </w:rPr>
            </w:pPr>
          </w:p>
        </w:tc>
      </w:tr>
      <w:tr>
        <w:trPr>
          <w:trHeight w:val="208"/>
        </w:trPr>
        <w:tc>
          <w:tcPr>
            <w:tcW w:w="6600" w:type="dxa"/>
            <w:vAlign w:val="bottom"/>
            <w:shd w:val="clear" w:color="auto" w:fill="CCEEFF"/>
          </w:tcPr>
          <w:p>
            <w:pPr>
              <w:spacing w:after="0" w:line="208" w:lineRule="exact"/>
              <w:rPr>
                <w:sz w:val="20"/>
                <w:szCs w:val="20"/>
                <w:color w:val="auto"/>
              </w:rPr>
            </w:pPr>
            <w:r>
              <w:rPr>
                <w:rFonts w:ascii="Times New Roman" w:cs="Times New Roman" w:eastAsia="Times New Roman" w:hAnsi="Times New Roman"/>
                <w:sz w:val="19"/>
                <w:szCs w:val="19"/>
                <w:color w:val="auto"/>
              </w:rPr>
              <w:t>Deferred revenues, non-current</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line="208" w:lineRule="exact"/>
              <w:rPr>
                <w:sz w:val="20"/>
                <w:szCs w:val="20"/>
                <w:color w:val="auto"/>
              </w:rPr>
            </w:pPr>
            <w:r>
              <w:rPr>
                <w:rFonts w:ascii="Times New Roman" w:cs="Times New Roman" w:eastAsia="Times New Roman" w:hAnsi="Times New Roman"/>
                <w:sz w:val="19"/>
                <w:szCs w:val="19"/>
                <w:color w:val="auto"/>
              </w:rPr>
              <w:t>12</w:t>
            </w:r>
          </w:p>
        </w:tc>
        <w:tc>
          <w:tcPr>
            <w:tcW w:w="1120" w:type="dxa"/>
            <w:vAlign w:val="bottom"/>
            <w:gridSpan w:val="3"/>
            <w:shd w:val="clear" w:color="auto" w:fill="CCEEFF"/>
          </w:tcPr>
          <w:p>
            <w:pPr>
              <w:jc w:val="right"/>
              <w:spacing w:after="0" w:line="208" w:lineRule="exact"/>
              <w:rPr>
                <w:sz w:val="20"/>
                <w:szCs w:val="20"/>
                <w:color w:val="auto"/>
              </w:rPr>
            </w:pPr>
            <w:r>
              <w:rPr>
                <w:rFonts w:ascii="Times New Roman" w:cs="Times New Roman" w:eastAsia="Times New Roman" w:hAnsi="Times New Roman"/>
                <w:sz w:val="19"/>
                <w:szCs w:val="19"/>
                <w:color w:val="auto"/>
              </w:rPr>
              <w:t>966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line="208" w:lineRule="exact"/>
              <w:rPr>
                <w:sz w:val="20"/>
                <w:szCs w:val="20"/>
                <w:color w:val="auto"/>
              </w:rPr>
            </w:pPr>
            <w:r>
              <w:rPr>
                <w:rFonts w:ascii="Times New Roman" w:cs="Times New Roman" w:eastAsia="Times New Roman" w:hAnsi="Times New Roman"/>
                <w:sz w:val="19"/>
                <w:szCs w:val="19"/>
                <w:color w:val="auto"/>
              </w:rPr>
              <w:t>372</w:t>
            </w:r>
          </w:p>
        </w:tc>
      </w:tr>
      <w:tr>
        <w:trPr>
          <w:trHeight w:val="218"/>
        </w:trPr>
        <w:tc>
          <w:tcPr>
            <w:tcW w:w="6600" w:type="dxa"/>
            <w:vAlign w:val="bottom"/>
          </w:tcPr>
          <w:p>
            <w:pPr>
              <w:spacing w:after="0"/>
              <w:rPr>
                <w:sz w:val="20"/>
                <w:szCs w:val="20"/>
                <w:color w:val="auto"/>
              </w:rPr>
            </w:pPr>
            <w:r>
              <w:rPr>
                <w:rFonts w:ascii="Times New Roman" w:cs="Times New Roman" w:eastAsia="Times New Roman" w:hAnsi="Times New Roman"/>
                <w:sz w:val="19"/>
                <w:szCs w:val="19"/>
                <w:color w:val="auto"/>
              </w:rPr>
              <w:t>Obligations under finance leases</w:t>
            </w:r>
          </w:p>
        </w:tc>
        <w:tc>
          <w:tcPr>
            <w:tcW w:w="220" w:type="dxa"/>
            <w:vAlign w:val="bottom"/>
          </w:tcPr>
          <w:p>
            <w:pPr>
              <w:spacing w:after="0"/>
              <w:rPr>
                <w:sz w:val="18"/>
                <w:szCs w:val="18"/>
                <w:color w:val="auto"/>
              </w:rPr>
            </w:pPr>
          </w:p>
        </w:tc>
        <w:tc>
          <w:tcPr>
            <w:tcW w:w="720" w:type="dxa"/>
            <w:vAlign w:val="bottom"/>
          </w:tcPr>
          <w:p>
            <w:pPr>
              <w:jc w:val="center"/>
              <w:spacing w:after="0" w:line="219" w:lineRule="exact"/>
              <w:rPr>
                <w:sz w:val="20"/>
                <w:szCs w:val="20"/>
                <w:color w:val="auto"/>
              </w:rPr>
            </w:pPr>
            <w:r>
              <w:rPr>
                <w:rFonts w:ascii="Arial" w:cs="Arial" w:eastAsia="Arial" w:hAnsi="Arial"/>
                <w:sz w:val="19"/>
                <w:szCs w:val="19"/>
                <w:color w:val="auto"/>
                <w:w w:val="95"/>
              </w:rPr>
              <w:t>14</w:t>
            </w:r>
            <w:r>
              <w:rPr>
                <w:rFonts w:ascii="MS PMincho" w:cs="MS PMincho" w:eastAsia="MS PMincho" w:hAnsi="MS PMincho"/>
                <w:sz w:val="19"/>
                <w:szCs w:val="19"/>
                <w:color w:val="auto"/>
                <w:w w:val="95"/>
              </w:rPr>
              <w:t>‑</w:t>
            </w:r>
            <w:r>
              <w:rPr>
                <w:rFonts w:ascii="Arial" w:cs="Arial" w:eastAsia="Arial" w:hAnsi="Arial"/>
                <w:sz w:val="19"/>
                <w:szCs w:val="19"/>
                <w:color w:val="auto"/>
                <w:w w:val="95"/>
              </w:rPr>
              <w:t>1</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355</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364</w:t>
            </w:r>
          </w:p>
        </w:tc>
      </w:tr>
      <w:tr>
        <w:trPr>
          <w:trHeight w:val="218"/>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9"/>
                <w:szCs w:val="19"/>
                <w:color w:val="auto"/>
              </w:rPr>
              <w:t>Operating lease obligations, non-current</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line="219" w:lineRule="exact"/>
              <w:rPr>
                <w:sz w:val="20"/>
                <w:szCs w:val="20"/>
                <w:color w:val="auto"/>
              </w:rPr>
            </w:pPr>
            <w:r>
              <w:rPr>
                <w:rFonts w:ascii="Arial" w:cs="Arial" w:eastAsia="Arial" w:hAnsi="Arial"/>
                <w:sz w:val="19"/>
                <w:szCs w:val="19"/>
                <w:color w:val="auto"/>
                <w:w w:val="95"/>
              </w:rPr>
              <w:t>14</w:t>
            </w:r>
            <w:r>
              <w:rPr>
                <w:rFonts w:ascii="MS PMincho" w:cs="MS PMincho" w:eastAsia="MS PMincho" w:hAnsi="MS PMincho"/>
                <w:sz w:val="19"/>
                <w:szCs w:val="19"/>
                <w:color w:val="auto"/>
                <w:w w:val="95"/>
              </w:rPr>
              <w:t>‑</w:t>
            </w:r>
            <w:r>
              <w:rPr>
                <w:rFonts w:ascii="Arial" w:cs="Arial" w:eastAsia="Arial" w:hAnsi="Arial"/>
                <w:sz w:val="19"/>
                <w:szCs w:val="19"/>
                <w:color w:val="auto"/>
                <w:w w:val="95"/>
              </w:rPr>
              <w:t>2</w:t>
            </w:r>
          </w:p>
        </w:tc>
        <w:tc>
          <w:tcPr>
            <w:tcW w:w="1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2,075</w:t>
            </w: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1,650</w:t>
            </w:r>
          </w:p>
        </w:tc>
      </w:tr>
      <w:tr>
        <w:trPr>
          <w:trHeight w:val="218"/>
        </w:trPr>
        <w:tc>
          <w:tcPr>
            <w:tcW w:w="6600" w:type="dxa"/>
            <w:vAlign w:val="bottom"/>
          </w:tcPr>
          <w:p>
            <w:pPr>
              <w:spacing w:after="0"/>
              <w:rPr>
                <w:sz w:val="20"/>
                <w:szCs w:val="20"/>
                <w:color w:val="auto"/>
              </w:rPr>
            </w:pPr>
            <w:r>
              <w:rPr>
                <w:rFonts w:ascii="Times New Roman" w:cs="Times New Roman" w:eastAsia="Times New Roman" w:hAnsi="Times New Roman"/>
                <w:sz w:val="19"/>
                <w:szCs w:val="19"/>
                <w:color w:val="auto"/>
              </w:rPr>
              <w:t>Long-term debt, non-current</w:t>
            </w:r>
          </w:p>
        </w:tc>
        <w:tc>
          <w:tcPr>
            <w:tcW w:w="220" w:type="dxa"/>
            <w:vAlign w:val="bottom"/>
          </w:tcPr>
          <w:p>
            <w:pPr>
              <w:spacing w:after="0"/>
              <w:rPr>
                <w:sz w:val="18"/>
                <w:szCs w:val="18"/>
                <w:color w:val="auto"/>
              </w:rPr>
            </w:pPr>
          </w:p>
        </w:tc>
        <w:tc>
          <w:tcPr>
            <w:tcW w:w="720" w:type="dxa"/>
            <w:vAlign w:val="bottom"/>
          </w:tcPr>
          <w:p>
            <w:pPr>
              <w:jc w:val="center"/>
              <w:spacing w:after="0" w:line="219" w:lineRule="exact"/>
              <w:rPr>
                <w:sz w:val="20"/>
                <w:szCs w:val="20"/>
                <w:color w:val="auto"/>
              </w:rPr>
            </w:pPr>
            <w:r>
              <w:rPr>
                <w:rFonts w:ascii="Arial" w:cs="Arial" w:eastAsia="Arial" w:hAnsi="Arial"/>
                <w:sz w:val="19"/>
                <w:szCs w:val="19"/>
                <w:color w:val="auto"/>
                <w:w w:val="95"/>
              </w:rPr>
              <w:t>16</w:t>
            </w:r>
            <w:r>
              <w:rPr>
                <w:rFonts w:ascii="MS PMincho" w:cs="MS PMincho" w:eastAsia="MS PMincho" w:hAnsi="MS PMincho"/>
                <w:sz w:val="19"/>
                <w:szCs w:val="19"/>
                <w:color w:val="auto"/>
                <w:w w:val="95"/>
              </w:rPr>
              <w:t>‑</w:t>
            </w:r>
            <w:r>
              <w:rPr>
                <w:rFonts w:ascii="Arial" w:cs="Arial" w:eastAsia="Arial" w:hAnsi="Arial"/>
                <w:sz w:val="19"/>
                <w:szCs w:val="19"/>
                <w:color w:val="auto"/>
                <w:w w:val="95"/>
              </w:rPr>
              <w:t>1</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15,903</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2,246</w:t>
            </w:r>
          </w:p>
        </w:tc>
      </w:tr>
      <w:tr>
        <w:trPr>
          <w:trHeight w:val="218"/>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9"/>
                <w:szCs w:val="19"/>
                <w:color w:val="auto"/>
              </w:rPr>
              <w:t>Other long-term liabilities</w:t>
            </w:r>
          </w:p>
        </w:tc>
        <w:tc>
          <w:tcPr>
            <w:tcW w:w="940" w:type="dxa"/>
            <w:vAlign w:val="bottom"/>
            <w:gridSpan w:val="2"/>
            <w:shd w:val="clear" w:color="auto" w:fill="CCEEFF"/>
          </w:tcPr>
          <w:p>
            <w:pPr>
              <w:jc w:val="center"/>
              <w:ind w:left="125"/>
              <w:spacing w:after="0"/>
              <w:rPr>
                <w:sz w:val="20"/>
                <w:szCs w:val="20"/>
                <w:color w:val="auto"/>
              </w:rPr>
            </w:pPr>
            <w:r>
              <w:rPr>
                <w:rFonts w:ascii="Times New Roman" w:cs="Times New Roman" w:eastAsia="Times New Roman" w:hAnsi="Times New Roman"/>
                <w:sz w:val="19"/>
                <w:szCs w:val="19"/>
                <w:color w:val="auto"/>
              </w:rPr>
              <w:t>17</w:t>
            </w:r>
          </w:p>
        </w:tc>
        <w:tc>
          <w:tcPr>
            <w:tcW w:w="1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3,145</w:t>
            </w: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3,010</w:t>
            </w:r>
          </w:p>
        </w:tc>
      </w:tr>
      <w:tr>
        <w:trPr>
          <w:trHeight w:val="208"/>
        </w:trPr>
        <w:tc>
          <w:tcPr>
            <w:tcW w:w="6600" w:type="dxa"/>
            <w:vAlign w:val="bottom"/>
          </w:tcPr>
          <w:p>
            <w:pPr>
              <w:spacing w:after="0" w:line="208" w:lineRule="exact"/>
              <w:rPr>
                <w:sz w:val="20"/>
                <w:szCs w:val="20"/>
                <w:color w:val="auto"/>
              </w:rPr>
            </w:pPr>
            <w:r>
              <w:rPr>
                <w:rFonts w:ascii="Times New Roman" w:cs="Times New Roman" w:eastAsia="Times New Roman" w:hAnsi="Times New Roman"/>
                <w:sz w:val="19"/>
                <w:szCs w:val="19"/>
                <w:color w:val="auto"/>
              </w:rPr>
              <w:t>Total liabilities</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Borders>
              <w:top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color w:val="auto"/>
              </w:rPr>
              <w:t>59,584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Borders>
              <w:top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color w:val="auto"/>
              </w:rPr>
              <w:t>46,922</w:t>
            </w:r>
          </w:p>
        </w:tc>
      </w:tr>
      <w:tr>
        <w:trPr>
          <w:trHeight w:val="218"/>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9"/>
                <w:szCs w:val="19"/>
                <w:b w:val="1"/>
                <w:bCs w:val="1"/>
                <w:color w:val="auto"/>
              </w:rPr>
              <w:t>Shareholders’ equity</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199"/>
        </w:trPr>
        <w:tc>
          <w:tcPr>
            <w:tcW w:w="6600" w:type="dxa"/>
            <w:vAlign w:val="bottom"/>
          </w:tcPr>
          <w:p>
            <w:pPr>
              <w:ind w:left="120"/>
              <w:spacing w:after="0" w:line="199" w:lineRule="exact"/>
              <w:rPr>
                <w:sz w:val="20"/>
                <w:szCs w:val="20"/>
                <w:color w:val="auto"/>
              </w:rPr>
            </w:pPr>
            <w:r>
              <w:rPr>
                <w:rFonts w:ascii="Times New Roman" w:cs="Times New Roman" w:eastAsia="Times New Roman" w:hAnsi="Times New Roman"/>
                <w:sz w:val="19"/>
                <w:szCs w:val="19"/>
                <w:color w:val="auto"/>
              </w:rPr>
              <w:t>Common stock at €0.13, or $0.15 at closing rate par value; 37,751,519 shares</w:t>
            </w: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18"/>
        </w:trPr>
        <w:tc>
          <w:tcPr>
            <w:tcW w:w="660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authorized and issued and 37,481,986 shares outstanding at December 31, 2025</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8"/>
        </w:trPr>
        <w:tc>
          <w:tcPr>
            <w:tcW w:w="660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€0.13 or $0.14 at closing rate par value 37,661,619 shares authorized and issued and</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38"/>
        </w:trPr>
        <w:tc>
          <w:tcPr>
            <w:tcW w:w="660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37,392,086 shares outstanding at December 31, 2024</w:t>
            </w: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6,071</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6,058</w:t>
            </w:r>
          </w:p>
        </w:tc>
      </w:tr>
      <w:tr>
        <w:trPr>
          <w:trHeight w:val="218"/>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9"/>
                <w:szCs w:val="19"/>
                <w:color w:val="auto"/>
              </w:rPr>
              <w:t>Additional paid-in capital</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151,314</w:t>
            </w: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148,768</w:t>
            </w:r>
          </w:p>
        </w:tc>
      </w:tr>
      <w:tr>
        <w:trPr>
          <w:trHeight w:val="218"/>
        </w:trPr>
        <w:tc>
          <w:tcPr>
            <w:tcW w:w="6600" w:type="dxa"/>
            <w:vAlign w:val="bottom"/>
          </w:tcPr>
          <w:p>
            <w:pPr>
              <w:spacing w:after="0"/>
              <w:rPr>
                <w:sz w:val="20"/>
                <w:szCs w:val="20"/>
                <w:color w:val="auto"/>
              </w:rPr>
            </w:pPr>
            <w:r>
              <w:rPr>
                <w:rFonts w:ascii="Times New Roman" w:cs="Times New Roman" w:eastAsia="Times New Roman" w:hAnsi="Times New Roman"/>
                <w:sz w:val="19"/>
                <w:szCs w:val="19"/>
                <w:color w:val="auto"/>
              </w:rPr>
              <w:t>Accumulated deficit</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(128,616)</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(99,370)</w:t>
            </w:r>
          </w:p>
        </w:tc>
      </w:tr>
      <w:tr>
        <w:trPr>
          <w:trHeight w:val="218"/>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9"/>
                <w:szCs w:val="19"/>
                <w:color w:val="auto"/>
              </w:rPr>
              <w:t>Cumulative other comprehensive loss</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(8,337)</w:t>
            </w: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shd w:val="clear" w:color="auto" w:fill="CCEEFF"/>
              </w:rPr>
              <w:t>(11,952)</w:t>
            </w:r>
          </w:p>
        </w:tc>
      </w:tr>
      <w:tr>
        <w:trPr>
          <w:trHeight w:val="199"/>
        </w:trPr>
        <w:tc>
          <w:tcPr>
            <w:tcW w:w="6600" w:type="dxa"/>
            <w:vAlign w:val="bottom"/>
          </w:tcPr>
          <w:p>
            <w:pPr>
              <w:spacing w:after="0" w:line="199" w:lineRule="exact"/>
              <w:rPr>
                <w:sz w:val="20"/>
                <w:szCs w:val="20"/>
                <w:color w:val="auto"/>
              </w:rPr>
            </w:pPr>
            <w:r>
              <w:rPr>
                <w:rFonts w:ascii="Times New Roman" w:cs="Times New Roman" w:eastAsia="Times New Roman" w:hAnsi="Times New Roman"/>
                <w:sz w:val="19"/>
                <w:szCs w:val="19"/>
                <w:color w:val="auto"/>
              </w:rPr>
              <w:t>Treasury stock, at cost 269,533 shares at December 31, 2025 and 269,533 shares at</w:t>
            </w: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38"/>
        </w:trPr>
        <w:tc>
          <w:tcPr>
            <w:tcW w:w="6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9"/>
                <w:szCs w:val="19"/>
                <w:color w:val="auto"/>
              </w:rPr>
              <w:t>December 31, 2024</w:t>
            </w:r>
          </w:p>
        </w:tc>
        <w:tc>
          <w:tcPr>
            <w:tcW w:w="940" w:type="dxa"/>
            <w:vAlign w:val="bottom"/>
            <w:tcBorders>
              <w:bottom w:val="single" w:sz="8" w:color="CCEEFF"/>
            </w:tcBorders>
            <w:gridSpan w:val="2"/>
          </w:tcPr>
          <w:p>
            <w:pPr>
              <w:jc w:val="center"/>
              <w:ind w:left="125"/>
              <w:spacing w:after="0"/>
              <w:rPr>
                <w:sz w:val="20"/>
                <w:szCs w:val="20"/>
                <w:color w:val="auto"/>
              </w:rPr>
            </w:pPr>
            <w:r>
              <w:rPr>
                <w:rFonts w:ascii="Times New Roman" w:cs="Times New Roman" w:eastAsia="Times New Roman" w:hAnsi="Times New Roman"/>
                <w:sz w:val="19"/>
                <w:szCs w:val="19"/>
                <w:color w:val="auto"/>
              </w:rPr>
              <w:t>18</w:t>
            </w:r>
          </w:p>
        </w:tc>
        <w:tc>
          <w:tcPr>
            <w:tcW w:w="220" w:type="dxa"/>
            <w:vAlign w:val="bottom"/>
            <w:tcBorders>
              <w:bottom w:val="single" w:sz="8" w:color="CCEEFF"/>
            </w:tcBorders>
            <w:gridSpan w:val="2"/>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(1,019)</w:t>
            </w:r>
          </w:p>
        </w:tc>
        <w:tc>
          <w:tcPr>
            <w:tcW w:w="220" w:type="dxa"/>
            <w:vAlign w:val="bottom"/>
            <w:tcBorders>
              <w:bottom w:val="single" w:sz="8" w:color="CCEEFF"/>
            </w:tcBorders>
            <w:gridSpan w:val="2"/>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(1,019)</w:t>
            </w:r>
          </w:p>
        </w:tc>
      </w:tr>
      <w:tr>
        <w:trPr>
          <w:trHeight w:val="210"/>
        </w:trPr>
        <w:tc>
          <w:tcPr>
            <w:tcW w:w="6600" w:type="dxa"/>
            <w:vAlign w:val="bottom"/>
            <w:shd w:val="clear" w:color="auto" w:fill="CCEEFF"/>
          </w:tcPr>
          <w:p>
            <w:pPr>
              <w:spacing w:after="0" w:line="211" w:lineRule="exact"/>
              <w:rPr>
                <w:sz w:val="20"/>
                <w:szCs w:val="20"/>
                <w:color w:val="auto"/>
              </w:rPr>
            </w:pPr>
            <w:r>
              <w:rPr>
                <w:rFonts w:ascii="Times New Roman" w:cs="Times New Roman" w:eastAsia="Times New Roman" w:hAnsi="Times New Roman"/>
                <w:sz w:val="19"/>
                <w:szCs w:val="19"/>
                <w:color w:val="auto"/>
              </w:rPr>
              <w:t>Total shareholders’ equity</w:t>
            </w:r>
          </w:p>
        </w:tc>
        <w:tc>
          <w:tcPr>
            <w:tcW w:w="940" w:type="dxa"/>
            <w:vAlign w:val="bottom"/>
            <w:gridSpan w:val="2"/>
            <w:shd w:val="clear" w:color="auto" w:fill="CCEEFF"/>
          </w:tcPr>
          <w:p>
            <w:pPr>
              <w:jc w:val="center"/>
              <w:ind w:left="125"/>
              <w:spacing w:after="0" w:line="211" w:lineRule="exact"/>
              <w:rPr>
                <w:sz w:val="20"/>
                <w:szCs w:val="20"/>
                <w:color w:val="auto"/>
              </w:rPr>
            </w:pPr>
            <w:r>
              <w:rPr>
                <w:rFonts w:ascii="Times New Roman" w:cs="Times New Roman" w:eastAsia="Times New Roman" w:hAnsi="Times New Roman"/>
                <w:sz w:val="19"/>
                <w:szCs w:val="19"/>
                <w:color w:val="auto"/>
              </w:rPr>
              <w:t>18</w:t>
            </w:r>
          </w:p>
        </w:tc>
        <w:tc>
          <w:tcPr>
            <w:tcW w:w="1120" w:type="dxa"/>
            <w:vAlign w:val="bottom"/>
            <w:gridSpan w:val="3"/>
            <w:shd w:val="clear" w:color="auto" w:fill="CCEEFF"/>
          </w:tcPr>
          <w:p>
            <w:pPr>
              <w:jc w:val="right"/>
              <w:spacing w:after="0" w:line="211" w:lineRule="exact"/>
              <w:rPr>
                <w:sz w:val="20"/>
                <w:szCs w:val="20"/>
                <w:color w:val="auto"/>
              </w:rPr>
            </w:pPr>
            <w:r>
              <w:rPr>
                <w:rFonts w:ascii="Times New Roman" w:cs="Times New Roman" w:eastAsia="Times New Roman" w:hAnsi="Times New Roman"/>
                <w:sz w:val="19"/>
                <w:szCs w:val="19"/>
                <w:color w:val="auto"/>
              </w:rPr>
              <w:t>19,413</w:t>
            </w:r>
          </w:p>
        </w:tc>
        <w:tc>
          <w:tcPr>
            <w:tcW w:w="1060" w:type="dxa"/>
            <w:vAlign w:val="bottom"/>
            <w:gridSpan w:val="3"/>
            <w:shd w:val="clear" w:color="auto" w:fill="CCEEFF"/>
          </w:tcPr>
          <w:p>
            <w:pPr>
              <w:jc w:val="right"/>
              <w:spacing w:after="0" w:line="211" w:lineRule="exact"/>
              <w:rPr>
                <w:sz w:val="20"/>
                <w:szCs w:val="20"/>
                <w:color w:val="auto"/>
              </w:rPr>
            </w:pPr>
            <w:r>
              <w:rPr>
                <w:rFonts w:ascii="Times New Roman" w:cs="Times New Roman" w:eastAsia="Times New Roman" w:hAnsi="Times New Roman"/>
                <w:sz w:val="19"/>
                <w:szCs w:val="19"/>
                <w:color w:val="auto"/>
              </w:rPr>
              <w:t>42,485</w:t>
            </w:r>
          </w:p>
        </w:tc>
      </w:tr>
      <w:tr>
        <w:trPr>
          <w:trHeight w:val="217"/>
        </w:trPr>
        <w:tc>
          <w:tcPr>
            <w:tcW w:w="6600" w:type="dxa"/>
            <w:vAlign w:val="bottom"/>
          </w:tcPr>
          <w:p>
            <w:pPr>
              <w:spacing w:after="0" w:line="208" w:lineRule="exact"/>
              <w:rPr>
                <w:sz w:val="20"/>
                <w:szCs w:val="20"/>
                <w:color w:val="auto"/>
              </w:rPr>
            </w:pPr>
            <w:r>
              <w:rPr>
                <w:rFonts w:ascii="Times New Roman" w:cs="Times New Roman" w:eastAsia="Times New Roman" w:hAnsi="Times New Roman"/>
                <w:sz w:val="19"/>
                <w:szCs w:val="19"/>
                <w:b w:val="1"/>
                <w:bCs w:val="1"/>
                <w:color w:val="auto"/>
              </w:rPr>
              <w:t>Total liabilities and shareholders’ equity</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78,997</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89,407</w:t>
            </w: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accompanying notes are an integral part of the consolidated financial statements.</w:t>
      </w:r>
    </w:p>
    <w:p>
      <w:pPr>
        <w:sectPr>
          <w:pgSz w:w="12240" w:h="15840" w:orient="portrait"/>
          <w:cols w:equalWidth="0" w:num="1">
            <w:col w:w="9720"/>
          </w:cols>
          <w:pgMar w:left="1260" w:top="1243" w:right="1260" w:bottom="72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F-4</w:t>
      </w:r>
    </w:p>
    <w:p>
      <w:pPr>
        <w:sectPr>
          <w:pgSz w:w="12240" w:h="15840" w:orient="portrait"/>
          <w:cols w:equalWidth="0" w:num="1">
            <w:col w:w="9720"/>
          </w:cols>
          <w:pgMar w:left="1260" w:top="1243" w:right="1260" w:bottom="723" w:gutter="0" w:footer="0" w:header="0"/>
          <w:type w:val="continuous"/>
        </w:sectPr>
      </w:pPr>
    </w:p>
    <w:bookmarkStart w:id="59" w:name="page60"/>
    <w:bookmarkEnd w:id="59"/>
    <w:p>
      <w:pPr>
        <w:spacing w:after="0" w:line="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795655</wp:posOffset>
            </wp:positionH>
            <wp:positionV relativeFrom="page">
              <wp:posOffset>292735</wp:posOffset>
            </wp:positionV>
            <wp:extent cx="929005" cy="1149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68">
                      <a:extLst>
                        <a:ext uri="{28A0092B-C50C-407E-A947-70E740481C1C}"/>
                      </a:extLst>
                    </a:blip>
                    <a:srcRect/>
                    <a:stretch>
                      <a:fillRect/>
                    </a:stretch>
                  </pic:blipFill>
                  <pic:spPr bwMode="auto">
                    <a:xfrm>
                      <a:off x="0" y="0"/>
                      <a:ext cx="929005" cy="114935"/>
                    </a:xfrm>
                    <a:prstGeom prst="rect">
                      <a:avLst/>
                    </a:prstGeom>
                    <a:noFill/>
                  </pic:spPr>
                </pic:pic>
              </a:graphicData>
            </a:graphic>
          </wp:anchor>
        </w:drawing>
      </w:r>
    </w:p>
    <w:p>
      <w:pPr>
        <w:jc w:val="center"/>
        <w:spacing w:after="0" w:line="255" w:lineRule="auto"/>
        <w:rPr>
          <w:sz w:val="20"/>
          <w:szCs w:val="20"/>
          <w:color w:val="auto"/>
        </w:rPr>
      </w:pPr>
      <w:r>
        <w:rPr>
          <w:rFonts w:ascii="Times New Roman" w:cs="Times New Roman" w:eastAsia="Times New Roman" w:hAnsi="Times New Roman"/>
          <w:sz w:val="20"/>
          <w:szCs w:val="20"/>
          <w:b w:val="1"/>
          <w:bCs w:val="1"/>
          <w:color w:val="auto"/>
        </w:rPr>
        <w:t>EDAP TMS S.A. AND SUBSIDIARIES CONSOLIDATED STATEMENTS OF OPERATIONS For the years ended December 31, 2025 and 2024 (in thousands of U.S. dollars except share and per share data)</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26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6"/>
                <w:szCs w:val="16"/>
                <w:b w:val="1"/>
                <w:bCs w:val="1"/>
                <w:color w:val="auto"/>
              </w:rPr>
              <w:t>Note</w:t>
            </w:r>
          </w:p>
        </w:tc>
        <w:tc>
          <w:tcPr>
            <w:tcW w:w="26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ind w:right="264"/>
              <w:spacing w:after="0"/>
              <w:rPr>
                <w:sz w:val="20"/>
                <w:szCs w:val="20"/>
                <w:color w:val="auto"/>
              </w:rPr>
            </w:pPr>
            <w:r>
              <w:rPr>
                <w:rFonts w:ascii="Times New Roman" w:cs="Times New Roman" w:eastAsia="Times New Roman" w:hAnsi="Times New Roman"/>
                <w:sz w:val="16"/>
                <w:szCs w:val="16"/>
                <w:b w:val="1"/>
                <w:bCs w:val="1"/>
                <w:color w:val="auto"/>
              </w:rPr>
              <w:t>2025</w:t>
            </w:r>
          </w:p>
        </w:tc>
        <w:tc>
          <w:tcPr>
            <w:tcW w:w="26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ind w:right="284"/>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0"/>
        </w:trPr>
        <w:tc>
          <w:tcPr>
            <w:tcW w:w="6260" w:type="dxa"/>
            <w:vAlign w:val="bottom"/>
            <w:shd w:val="clear" w:color="auto" w:fill="CCEEFF"/>
          </w:tcPr>
          <w:p>
            <w:pPr>
              <w:spacing w:after="0" w:line="220" w:lineRule="exact"/>
              <w:rPr>
                <w:sz w:val="20"/>
                <w:szCs w:val="20"/>
                <w:color w:val="auto"/>
              </w:rPr>
            </w:pPr>
            <w:r>
              <w:rPr>
                <w:rFonts w:ascii="Times New Roman" w:cs="Times New Roman" w:eastAsia="Times New Roman" w:hAnsi="Times New Roman"/>
                <w:sz w:val="20"/>
                <w:szCs w:val="20"/>
                <w:color w:val="auto"/>
              </w:rPr>
              <w:t>Sales of goods</w:t>
            </w:r>
          </w:p>
        </w:tc>
        <w:tc>
          <w:tcPr>
            <w:tcW w:w="8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48,896</w:t>
            </w:r>
          </w:p>
        </w:tc>
        <w:tc>
          <w:tcPr>
            <w:tcW w:w="1320" w:type="dxa"/>
            <w:vAlign w:val="bottom"/>
            <w:gridSpan w:val="2"/>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47,664</w:t>
            </w:r>
          </w:p>
        </w:tc>
      </w:tr>
      <w:tr>
        <w:trPr>
          <w:trHeight w:val="230"/>
        </w:trPr>
        <w:tc>
          <w:tcPr>
            <w:tcW w:w="6260" w:type="dxa"/>
            <w:vAlign w:val="bottom"/>
          </w:tcPr>
          <w:p>
            <w:pPr>
              <w:spacing w:after="0"/>
              <w:rPr>
                <w:sz w:val="20"/>
                <w:szCs w:val="20"/>
                <w:color w:val="auto"/>
              </w:rPr>
            </w:pPr>
            <w:r>
              <w:rPr>
                <w:rFonts w:ascii="Times New Roman" w:cs="Times New Roman" w:eastAsia="Times New Roman" w:hAnsi="Times New Roman"/>
                <w:sz w:val="20"/>
                <w:szCs w:val="20"/>
                <w:color w:val="auto"/>
              </w:rPr>
              <w:t>Sales of RPPs &amp; leases</w:t>
            </w:r>
          </w:p>
        </w:tc>
        <w:tc>
          <w:tcPr>
            <w:tcW w:w="82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10,289</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8,237</w:t>
            </w:r>
          </w:p>
        </w:tc>
      </w:tr>
      <w:tr>
        <w:trPr>
          <w:trHeight w:val="250"/>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Sales of spare parts and services</w:t>
            </w:r>
          </w:p>
        </w:tc>
        <w:tc>
          <w:tcPr>
            <w:tcW w:w="82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11,342</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13,495</w:t>
            </w:r>
          </w:p>
        </w:tc>
      </w:tr>
      <w:tr>
        <w:trPr>
          <w:trHeight w:val="198"/>
        </w:trPr>
        <w:tc>
          <w:tcPr>
            <w:tcW w:w="6260" w:type="dxa"/>
            <w:vAlign w:val="bottom"/>
            <w:tcBorders>
              <w:top w:val="single" w:sz="8" w:color="CCEEFF"/>
              <w:bottom w:val="single" w:sz="8" w:color="CCEEFF"/>
            </w:tcBorders>
          </w:tcPr>
          <w:p>
            <w:pPr>
              <w:spacing w:after="0" w:line="198" w:lineRule="exact"/>
              <w:rPr>
                <w:sz w:val="20"/>
                <w:szCs w:val="20"/>
                <w:color w:val="auto"/>
              </w:rPr>
            </w:pPr>
            <w:r>
              <w:rPr>
                <w:rFonts w:ascii="Times New Roman" w:cs="Times New Roman" w:eastAsia="Times New Roman" w:hAnsi="Times New Roman"/>
                <w:sz w:val="20"/>
                <w:szCs w:val="20"/>
                <w:color w:val="auto"/>
              </w:rPr>
              <w:t>Total revenues</w:t>
            </w:r>
          </w:p>
        </w:tc>
        <w:tc>
          <w:tcPr>
            <w:tcW w:w="820" w:type="dxa"/>
            <w:vAlign w:val="bottom"/>
            <w:tcBorders>
              <w:top w:val="single" w:sz="8" w:color="CCEEFF"/>
              <w:bottom w:val="single" w:sz="8" w:color="CCEEFF"/>
            </w:tcBorders>
          </w:tcPr>
          <w:p>
            <w:pPr>
              <w:jc w:val="center"/>
              <w:spacing w:after="0" w:line="198" w:lineRule="exact"/>
              <w:rPr>
                <w:sz w:val="20"/>
                <w:szCs w:val="20"/>
                <w:color w:val="auto"/>
              </w:rPr>
            </w:pPr>
            <w:r>
              <w:rPr>
                <w:rFonts w:ascii="Times New Roman" w:cs="Times New Roman" w:eastAsia="Times New Roman" w:hAnsi="Times New Roman"/>
                <w:sz w:val="20"/>
                <w:szCs w:val="20"/>
                <w:color w:val="auto"/>
                <w:w w:val="99"/>
              </w:rPr>
              <w:t>19</w:t>
            </w:r>
          </w:p>
        </w:tc>
        <w:tc>
          <w:tcPr>
            <w:tcW w:w="260" w:type="dxa"/>
            <w:vAlign w:val="bottom"/>
            <w:tcBorders>
              <w:top w:val="single" w:sz="8" w:color="CCEEFF"/>
              <w:bottom w:val="single" w:sz="8" w:color="CCEEFF"/>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20"/>
                <w:szCs w:val="20"/>
                <w:color w:val="auto"/>
              </w:rPr>
              <w:t>70,527</w:t>
            </w:r>
          </w:p>
        </w:tc>
        <w:tc>
          <w:tcPr>
            <w:tcW w:w="260" w:type="dxa"/>
            <w:vAlign w:val="bottom"/>
            <w:tcBorders>
              <w:top w:val="single" w:sz="8" w:color="CCEEFF"/>
              <w:bottom w:val="single" w:sz="8" w:color="CCEEFF"/>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20"/>
                <w:szCs w:val="20"/>
                <w:color w:val="auto"/>
              </w:rPr>
              <w:t>69,395</w:t>
            </w:r>
          </w:p>
        </w:tc>
      </w:tr>
      <w:tr>
        <w:trPr>
          <w:trHeight w:val="220"/>
        </w:trPr>
        <w:tc>
          <w:tcPr>
            <w:tcW w:w="6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spacing w:after="0"/>
              <w:rPr>
                <w:sz w:val="19"/>
                <w:szCs w:val="19"/>
                <w:color w:val="auto"/>
              </w:rPr>
            </w:pPr>
          </w:p>
        </w:tc>
        <w:tc>
          <w:tcPr>
            <w:tcW w:w="1320" w:type="dxa"/>
            <w:vAlign w:val="bottom"/>
            <w:gridSpan w:val="2"/>
            <w:shd w:val="clear" w:color="auto" w:fill="CCEEFF"/>
          </w:tcPr>
          <w:p>
            <w:pPr>
              <w:spacing w:after="0"/>
              <w:rPr>
                <w:sz w:val="19"/>
                <w:szCs w:val="19"/>
                <w:color w:val="auto"/>
              </w:rPr>
            </w:pPr>
          </w:p>
        </w:tc>
      </w:tr>
      <w:tr>
        <w:trPr>
          <w:trHeight w:val="230"/>
        </w:trPr>
        <w:tc>
          <w:tcPr>
            <w:tcW w:w="6260" w:type="dxa"/>
            <w:vAlign w:val="bottom"/>
          </w:tcPr>
          <w:p>
            <w:pPr>
              <w:spacing w:after="0"/>
              <w:rPr>
                <w:sz w:val="20"/>
                <w:szCs w:val="20"/>
                <w:color w:val="auto"/>
              </w:rPr>
            </w:pPr>
            <w:r>
              <w:rPr>
                <w:rFonts w:ascii="Times New Roman" w:cs="Times New Roman" w:eastAsia="Times New Roman" w:hAnsi="Times New Roman"/>
                <w:sz w:val="20"/>
                <w:szCs w:val="20"/>
                <w:color w:val="auto"/>
              </w:rPr>
              <w:t>Cost of goods</w:t>
            </w:r>
          </w:p>
        </w:tc>
        <w:tc>
          <w:tcPr>
            <w:tcW w:w="82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(27,150)</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(26,625)</w:t>
            </w:r>
          </w:p>
        </w:tc>
      </w:tr>
      <w:tr>
        <w:trPr>
          <w:trHeight w:val="230"/>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Cost of RPPs &amp; leases</w:t>
            </w:r>
          </w:p>
        </w:tc>
        <w:tc>
          <w:tcPr>
            <w:tcW w:w="8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(6,243)</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(5,372)</w:t>
            </w:r>
          </w:p>
        </w:tc>
      </w:tr>
      <w:tr>
        <w:trPr>
          <w:trHeight w:val="230"/>
        </w:trPr>
        <w:tc>
          <w:tcPr>
            <w:tcW w:w="62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20"/>
                <w:szCs w:val="20"/>
                <w:color w:val="auto"/>
              </w:rPr>
              <w:t>Cost of spare parts and services</w:t>
            </w:r>
          </w:p>
        </w:tc>
        <w:tc>
          <w:tcPr>
            <w:tcW w:w="82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(7,133)</w:t>
            </w:r>
          </w:p>
        </w:tc>
        <w:tc>
          <w:tcPr>
            <w:tcW w:w="260" w:type="dxa"/>
            <w:vAlign w:val="bottom"/>
            <w:tcBorders>
              <w:bottom w:val="single" w:sz="8" w:color="CCEEFF"/>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(8,654)</w:t>
            </w:r>
          </w:p>
        </w:tc>
      </w:tr>
      <w:tr>
        <w:trPr>
          <w:trHeight w:val="220"/>
        </w:trPr>
        <w:tc>
          <w:tcPr>
            <w:tcW w:w="6260" w:type="dxa"/>
            <w:vAlign w:val="bottom"/>
            <w:shd w:val="clear" w:color="auto" w:fill="CCEEFF"/>
          </w:tcPr>
          <w:p>
            <w:pPr>
              <w:spacing w:after="0" w:line="220" w:lineRule="exact"/>
              <w:rPr>
                <w:sz w:val="20"/>
                <w:szCs w:val="20"/>
                <w:color w:val="auto"/>
              </w:rPr>
            </w:pPr>
            <w:r>
              <w:rPr>
                <w:rFonts w:ascii="Times New Roman" w:cs="Times New Roman" w:eastAsia="Times New Roman" w:hAnsi="Times New Roman"/>
                <w:sz w:val="20"/>
                <w:szCs w:val="20"/>
                <w:color w:val="auto"/>
              </w:rPr>
              <w:t>Total cost of sales</w:t>
            </w:r>
          </w:p>
        </w:tc>
        <w:tc>
          <w:tcPr>
            <w:tcW w:w="820" w:type="dxa"/>
            <w:vAlign w:val="bottom"/>
            <w:shd w:val="clear" w:color="auto" w:fill="CCEEFF"/>
          </w:tcPr>
          <w:p>
            <w:pPr>
              <w:jc w:val="center"/>
              <w:spacing w:after="0" w:line="220" w:lineRule="exact"/>
              <w:rPr>
                <w:sz w:val="20"/>
                <w:szCs w:val="20"/>
                <w:color w:val="auto"/>
              </w:rPr>
            </w:pPr>
            <w:r>
              <w:rPr>
                <w:rFonts w:ascii="Times New Roman" w:cs="Times New Roman" w:eastAsia="Times New Roman" w:hAnsi="Times New Roman"/>
                <w:sz w:val="20"/>
                <w:szCs w:val="20"/>
                <w:color w:val="auto"/>
                <w:w w:val="99"/>
              </w:rPr>
              <w:t>20</w:t>
            </w:r>
          </w:p>
        </w:tc>
        <w:tc>
          <w:tcPr>
            <w:tcW w:w="1320" w:type="dxa"/>
            <w:vAlign w:val="bottom"/>
            <w:gridSpan w:val="2"/>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(40,526)</w:t>
            </w:r>
          </w:p>
        </w:tc>
        <w:tc>
          <w:tcPr>
            <w:tcW w:w="1320" w:type="dxa"/>
            <w:vAlign w:val="bottom"/>
            <w:gridSpan w:val="2"/>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(40,652)</w:t>
            </w:r>
          </w:p>
        </w:tc>
      </w:tr>
      <w:tr>
        <w:trPr>
          <w:trHeight w:val="230"/>
        </w:trPr>
        <w:tc>
          <w:tcPr>
            <w:tcW w:w="6260" w:type="dxa"/>
            <w:vAlign w:val="bottom"/>
            <w:tcBorders>
              <w:bottom w:val="single" w:sz="8" w:color="CCEEFF"/>
            </w:tcBorders>
          </w:tcPr>
          <w:p>
            <w:pPr>
              <w:spacing w:after="0"/>
              <w:rPr>
                <w:sz w:val="20"/>
                <w:szCs w:val="20"/>
                <w:color w:val="auto"/>
              </w:rPr>
            </w:pPr>
          </w:p>
        </w:tc>
        <w:tc>
          <w:tcPr>
            <w:tcW w:w="82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r>
      <w:tr>
        <w:trPr>
          <w:trHeight w:val="220"/>
        </w:trPr>
        <w:tc>
          <w:tcPr>
            <w:tcW w:w="6260" w:type="dxa"/>
            <w:vAlign w:val="bottom"/>
            <w:shd w:val="clear" w:color="auto" w:fill="CCEEFF"/>
          </w:tcPr>
          <w:p>
            <w:pPr>
              <w:spacing w:after="0" w:line="220" w:lineRule="exact"/>
              <w:rPr>
                <w:sz w:val="20"/>
                <w:szCs w:val="20"/>
                <w:color w:val="auto"/>
              </w:rPr>
            </w:pPr>
            <w:r>
              <w:rPr>
                <w:rFonts w:ascii="Times New Roman" w:cs="Times New Roman" w:eastAsia="Times New Roman" w:hAnsi="Times New Roman"/>
                <w:sz w:val="20"/>
                <w:szCs w:val="20"/>
                <w:color w:val="auto"/>
              </w:rPr>
              <w:t>Gross profit</w:t>
            </w:r>
          </w:p>
        </w:tc>
        <w:tc>
          <w:tcPr>
            <w:tcW w:w="8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30,001</w:t>
            </w:r>
          </w:p>
        </w:tc>
        <w:tc>
          <w:tcPr>
            <w:tcW w:w="1320" w:type="dxa"/>
            <w:vAlign w:val="bottom"/>
            <w:gridSpan w:val="2"/>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28,744</w:t>
            </w:r>
          </w:p>
        </w:tc>
      </w:tr>
      <w:tr>
        <w:trPr>
          <w:trHeight w:val="230"/>
        </w:trPr>
        <w:tc>
          <w:tcPr>
            <w:tcW w:w="6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320" w:type="dxa"/>
            <w:vAlign w:val="bottom"/>
            <w:gridSpan w:val="2"/>
          </w:tcPr>
          <w:p>
            <w:pPr>
              <w:spacing w:after="0"/>
              <w:rPr>
                <w:sz w:val="20"/>
                <w:szCs w:val="20"/>
                <w:color w:val="auto"/>
              </w:rPr>
            </w:pPr>
          </w:p>
        </w:tc>
        <w:tc>
          <w:tcPr>
            <w:tcW w:w="1320" w:type="dxa"/>
            <w:vAlign w:val="bottom"/>
            <w:gridSpan w:val="2"/>
          </w:tcPr>
          <w:p>
            <w:pPr>
              <w:spacing w:after="0"/>
              <w:rPr>
                <w:sz w:val="20"/>
                <w:szCs w:val="20"/>
                <w:color w:val="auto"/>
              </w:rPr>
            </w:pPr>
          </w:p>
        </w:tc>
      </w:tr>
      <w:tr>
        <w:trPr>
          <w:trHeight w:val="228"/>
        </w:trPr>
        <w:tc>
          <w:tcPr>
            <w:tcW w:w="6260" w:type="dxa"/>
            <w:vAlign w:val="bottom"/>
            <w:shd w:val="clear" w:color="auto" w:fill="CCEEFF"/>
          </w:tcPr>
          <w:p>
            <w:pPr>
              <w:spacing w:after="0" w:line="228" w:lineRule="exact"/>
              <w:rPr>
                <w:sz w:val="20"/>
                <w:szCs w:val="20"/>
                <w:color w:val="auto"/>
              </w:rPr>
            </w:pPr>
            <w:r>
              <w:rPr>
                <w:rFonts w:ascii="Times New Roman" w:cs="Times New Roman" w:eastAsia="Times New Roman" w:hAnsi="Times New Roman"/>
                <w:sz w:val="20"/>
                <w:szCs w:val="20"/>
                <w:color w:val="auto"/>
              </w:rPr>
              <w:t>Research and development expenses</w:t>
            </w:r>
          </w:p>
        </w:tc>
        <w:tc>
          <w:tcPr>
            <w:tcW w:w="820" w:type="dxa"/>
            <w:vAlign w:val="bottom"/>
            <w:shd w:val="clear" w:color="auto" w:fill="CCEEFF"/>
          </w:tcPr>
          <w:p>
            <w:pPr>
              <w:jc w:val="center"/>
              <w:spacing w:after="0" w:line="228" w:lineRule="exact"/>
              <w:rPr>
                <w:sz w:val="20"/>
                <w:szCs w:val="20"/>
                <w:color w:val="auto"/>
              </w:rPr>
            </w:pPr>
            <w:r>
              <w:rPr>
                <w:rFonts w:ascii="Times New Roman" w:cs="Times New Roman" w:eastAsia="Times New Roman" w:hAnsi="Times New Roman"/>
                <w:sz w:val="20"/>
                <w:szCs w:val="20"/>
                <w:color w:val="auto"/>
                <w:w w:val="99"/>
              </w:rPr>
              <w:t>21</w:t>
            </w:r>
          </w:p>
        </w:tc>
        <w:tc>
          <w:tcPr>
            <w:tcW w:w="1320" w:type="dxa"/>
            <w:vAlign w:val="bottom"/>
            <w:gridSpan w:val="2"/>
            <w:shd w:val="clear" w:color="auto" w:fill="CCEEFF"/>
          </w:tcPr>
          <w:p>
            <w:pPr>
              <w:jc w:val="right"/>
              <w:spacing w:after="0" w:line="228" w:lineRule="exact"/>
              <w:rPr>
                <w:sz w:val="20"/>
                <w:szCs w:val="20"/>
                <w:color w:val="auto"/>
              </w:rPr>
            </w:pPr>
            <w:r>
              <w:rPr>
                <w:rFonts w:ascii="Times New Roman" w:cs="Times New Roman" w:eastAsia="Times New Roman" w:hAnsi="Times New Roman"/>
                <w:sz w:val="20"/>
                <w:szCs w:val="20"/>
                <w:color w:val="auto"/>
              </w:rPr>
              <w:t>(9,661)</w:t>
            </w:r>
          </w:p>
        </w:tc>
        <w:tc>
          <w:tcPr>
            <w:tcW w:w="1320" w:type="dxa"/>
            <w:vAlign w:val="bottom"/>
            <w:gridSpan w:val="2"/>
            <w:shd w:val="clear" w:color="auto" w:fill="CCEEFF"/>
          </w:tcPr>
          <w:p>
            <w:pPr>
              <w:jc w:val="right"/>
              <w:spacing w:after="0" w:line="228" w:lineRule="exact"/>
              <w:rPr>
                <w:sz w:val="20"/>
                <w:szCs w:val="20"/>
                <w:color w:val="auto"/>
              </w:rPr>
            </w:pPr>
            <w:r>
              <w:rPr>
                <w:rFonts w:ascii="Times New Roman" w:cs="Times New Roman" w:eastAsia="Times New Roman" w:hAnsi="Times New Roman"/>
                <w:sz w:val="20"/>
                <w:szCs w:val="20"/>
                <w:color w:val="auto"/>
              </w:rPr>
              <w:t>(8,363)</w:t>
            </w:r>
          </w:p>
        </w:tc>
      </w:tr>
      <w:tr>
        <w:trPr>
          <w:trHeight w:val="230"/>
        </w:trPr>
        <w:tc>
          <w:tcPr>
            <w:tcW w:w="6260" w:type="dxa"/>
            <w:vAlign w:val="bottom"/>
          </w:tcPr>
          <w:p>
            <w:pPr>
              <w:spacing w:after="0"/>
              <w:rPr>
                <w:sz w:val="20"/>
                <w:szCs w:val="20"/>
                <w:color w:val="auto"/>
              </w:rPr>
            </w:pPr>
            <w:r>
              <w:rPr>
                <w:rFonts w:ascii="Times New Roman" w:cs="Times New Roman" w:eastAsia="Times New Roman" w:hAnsi="Times New Roman"/>
                <w:sz w:val="20"/>
                <w:szCs w:val="20"/>
                <w:color w:val="auto"/>
              </w:rPr>
              <w:t>Selling and marketing expenses</w:t>
            </w:r>
          </w:p>
        </w:tc>
        <w:tc>
          <w:tcPr>
            <w:tcW w:w="82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(27,315)</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(27,363)</w:t>
            </w:r>
          </w:p>
        </w:tc>
      </w:tr>
      <w:tr>
        <w:trPr>
          <w:trHeight w:val="230"/>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General and administrative expenses</w:t>
            </w:r>
          </w:p>
        </w:tc>
        <w:tc>
          <w:tcPr>
            <w:tcW w:w="8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(17,720)</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(15,243)</w:t>
            </w:r>
          </w:p>
        </w:tc>
      </w:tr>
      <w:tr>
        <w:trPr>
          <w:trHeight w:val="230"/>
        </w:trPr>
        <w:tc>
          <w:tcPr>
            <w:tcW w:w="6260" w:type="dxa"/>
            <w:vAlign w:val="bottom"/>
            <w:tcBorders>
              <w:bottom w:val="single" w:sz="8" w:color="CCEEFF"/>
            </w:tcBorders>
          </w:tcPr>
          <w:p>
            <w:pPr>
              <w:spacing w:after="0"/>
              <w:rPr>
                <w:sz w:val="20"/>
                <w:szCs w:val="20"/>
                <w:color w:val="auto"/>
              </w:rPr>
            </w:pPr>
          </w:p>
        </w:tc>
        <w:tc>
          <w:tcPr>
            <w:tcW w:w="82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r>
      <w:tr>
        <w:trPr>
          <w:trHeight w:val="220"/>
        </w:trPr>
        <w:tc>
          <w:tcPr>
            <w:tcW w:w="6260" w:type="dxa"/>
            <w:vAlign w:val="bottom"/>
            <w:shd w:val="clear" w:color="auto" w:fill="CCEEFF"/>
          </w:tcPr>
          <w:p>
            <w:pPr>
              <w:spacing w:after="0" w:line="220" w:lineRule="exact"/>
              <w:rPr>
                <w:sz w:val="20"/>
                <w:szCs w:val="20"/>
                <w:color w:val="auto"/>
              </w:rPr>
            </w:pPr>
            <w:r>
              <w:rPr>
                <w:rFonts w:ascii="Times New Roman" w:cs="Times New Roman" w:eastAsia="Times New Roman" w:hAnsi="Times New Roman"/>
                <w:sz w:val="20"/>
                <w:szCs w:val="20"/>
                <w:color w:val="auto"/>
              </w:rPr>
              <w:t>Income (loss) from operations</w:t>
            </w:r>
          </w:p>
        </w:tc>
        <w:tc>
          <w:tcPr>
            <w:tcW w:w="8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(24,694)</w:t>
            </w:r>
          </w:p>
        </w:tc>
        <w:tc>
          <w:tcPr>
            <w:tcW w:w="1320" w:type="dxa"/>
            <w:vAlign w:val="bottom"/>
            <w:gridSpan w:val="2"/>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(22,225)</w:t>
            </w:r>
          </w:p>
        </w:tc>
      </w:tr>
      <w:tr>
        <w:trPr>
          <w:trHeight w:val="230"/>
        </w:trPr>
        <w:tc>
          <w:tcPr>
            <w:tcW w:w="6260" w:type="dxa"/>
            <w:vAlign w:val="bottom"/>
          </w:tcPr>
          <w:p>
            <w:pPr>
              <w:spacing w:after="0"/>
              <w:rPr>
                <w:sz w:val="20"/>
                <w:szCs w:val="20"/>
                <w:color w:val="auto"/>
              </w:rPr>
            </w:pPr>
            <w:r>
              <w:rPr>
                <w:rFonts w:ascii="Times New Roman" w:cs="Times New Roman" w:eastAsia="Times New Roman" w:hAnsi="Times New Roman"/>
                <w:sz w:val="20"/>
                <w:szCs w:val="20"/>
                <w:color w:val="auto"/>
              </w:rPr>
              <w:t>Financial (expense) income, net</w:t>
            </w:r>
          </w:p>
        </w:tc>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22</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(3,110)</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606</w:t>
            </w:r>
          </w:p>
        </w:tc>
      </w:tr>
      <w:tr>
        <w:trPr>
          <w:trHeight w:val="230"/>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Foreign currency exchange gain (loss), net</w:t>
            </w:r>
          </w:p>
        </w:tc>
        <w:tc>
          <w:tcPr>
            <w:tcW w:w="8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(1,003)</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1,348</w:t>
            </w:r>
          </w:p>
        </w:tc>
      </w:tr>
      <w:tr>
        <w:trPr>
          <w:trHeight w:val="228"/>
        </w:trPr>
        <w:tc>
          <w:tcPr>
            <w:tcW w:w="626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r>
      <w:tr>
        <w:trPr>
          <w:trHeight w:val="220"/>
        </w:trPr>
        <w:tc>
          <w:tcPr>
            <w:tcW w:w="6260" w:type="dxa"/>
            <w:vAlign w:val="bottom"/>
            <w:shd w:val="clear" w:color="auto" w:fill="CCEEFF"/>
          </w:tcPr>
          <w:p>
            <w:pPr>
              <w:spacing w:after="0" w:line="220" w:lineRule="exact"/>
              <w:rPr>
                <w:sz w:val="20"/>
                <w:szCs w:val="20"/>
                <w:color w:val="auto"/>
              </w:rPr>
            </w:pPr>
            <w:r>
              <w:rPr>
                <w:rFonts w:ascii="Times New Roman" w:cs="Times New Roman" w:eastAsia="Times New Roman" w:hAnsi="Times New Roman"/>
                <w:sz w:val="20"/>
                <w:szCs w:val="20"/>
                <w:color w:val="auto"/>
              </w:rPr>
              <w:t>Loss before taxes</w:t>
            </w:r>
          </w:p>
        </w:tc>
        <w:tc>
          <w:tcPr>
            <w:tcW w:w="820" w:type="dxa"/>
            <w:vAlign w:val="bottom"/>
            <w:shd w:val="clear" w:color="auto" w:fill="CCEEFF"/>
          </w:tcPr>
          <w:p>
            <w:pPr>
              <w:jc w:val="center"/>
              <w:spacing w:after="0" w:line="220" w:lineRule="exact"/>
              <w:rPr>
                <w:sz w:val="20"/>
                <w:szCs w:val="20"/>
                <w:color w:val="auto"/>
              </w:rPr>
            </w:pPr>
            <w:r>
              <w:rPr>
                <w:rFonts w:ascii="Arial" w:cs="Arial" w:eastAsia="Arial" w:hAnsi="Arial"/>
                <w:sz w:val="20"/>
                <w:szCs w:val="20"/>
                <w:color w:val="auto"/>
                <w:w w:val="96"/>
              </w:rPr>
              <w:t>23</w:t>
            </w:r>
            <w:r>
              <w:rPr>
                <w:rFonts w:ascii="MS PMincho" w:cs="MS PMincho" w:eastAsia="MS PMincho" w:hAnsi="MS PMincho"/>
                <w:sz w:val="20"/>
                <w:szCs w:val="20"/>
                <w:color w:val="auto"/>
                <w:w w:val="96"/>
              </w:rPr>
              <w:t>‑</w:t>
            </w:r>
            <w:r>
              <w:rPr>
                <w:rFonts w:ascii="Arial" w:cs="Arial" w:eastAsia="Arial" w:hAnsi="Arial"/>
                <w:sz w:val="20"/>
                <w:szCs w:val="20"/>
                <w:color w:val="auto"/>
                <w:w w:val="96"/>
              </w:rPr>
              <w:t>1</w:t>
            </w:r>
          </w:p>
        </w:tc>
        <w:tc>
          <w:tcPr>
            <w:tcW w:w="1320" w:type="dxa"/>
            <w:vAlign w:val="bottom"/>
            <w:gridSpan w:val="2"/>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(28,808)</w:t>
            </w:r>
          </w:p>
        </w:tc>
        <w:tc>
          <w:tcPr>
            <w:tcW w:w="1320" w:type="dxa"/>
            <w:vAlign w:val="bottom"/>
            <w:gridSpan w:val="2"/>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(20,271)</w:t>
            </w:r>
          </w:p>
        </w:tc>
      </w:tr>
      <w:tr>
        <w:trPr>
          <w:trHeight w:val="230"/>
        </w:trPr>
        <w:tc>
          <w:tcPr>
            <w:tcW w:w="62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20"/>
                <w:szCs w:val="20"/>
                <w:color w:val="auto"/>
              </w:rPr>
              <w:t>Income tax expense</w:t>
            </w:r>
          </w:p>
        </w:tc>
        <w:tc>
          <w:tcPr>
            <w:tcW w:w="820" w:type="dxa"/>
            <w:vAlign w:val="bottom"/>
            <w:tcBorders>
              <w:bottom w:val="single" w:sz="8" w:color="CCEEFF"/>
            </w:tcBorders>
          </w:tcPr>
          <w:p>
            <w:pPr>
              <w:jc w:val="center"/>
              <w:spacing w:after="0" w:line="230" w:lineRule="exact"/>
              <w:rPr>
                <w:sz w:val="20"/>
                <w:szCs w:val="20"/>
                <w:color w:val="auto"/>
              </w:rPr>
            </w:pPr>
            <w:r>
              <w:rPr>
                <w:rFonts w:ascii="Arial" w:cs="Arial" w:eastAsia="Arial" w:hAnsi="Arial"/>
                <w:sz w:val="20"/>
                <w:szCs w:val="20"/>
                <w:color w:val="auto"/>
                <w:w w:val="96"/>
              </w:rPr>
              <w:t>23</w:t>
            </w:r>
            <w:r>
              <w:rPr>
                <w:rFonts w:ascii="MS PMincho" w:cs="MS PMincho" w:eastAsia="MS PMincho" w:hAnsi="MS PMincho"/>
                <w:sz w:val="20"/>
                <w:szCs w:val="20"/>
                <w:color w:val="auto"/>
                <w:w w:val="96"/>
              </w:rPr>
              <w:t>‑</w:t>
            </w:r>
            <w:r>
              <w:rPr>
                <w:rFonts w:ascii="Arial" w:cs="Arial" w:eastAsia="Arial" w:hAnsi="Arial"/>
                <w:sz w:val="20"/>
                <w:szCs w:val="20"/>
                <w:color w:val="auto"/>
                <w:w w:val="96"/>
              </w:rPr>
              <w:t>2</w:t>
            </w:r>
          </w:p>
        </w:tc>
        <w:tc>
          <w:tcPr>
            <w:tcW w:w="260" w:type="dxa"/>
            <w:vAlign w:val="bottom"/>
            <w:tcBorders>
              <w:bottom w:val="single" w:sz="8" w:color="CCEEFF"/>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(438)</w:t>
            </w:r>
          </w:p>
        </w:tc>
        <w:tc>
          <w:tcPr>
            <w:tcW w:w="260" w:type="dxa"/>
            <w:vAlign w:val="bottom"/>
            <w:tcBorders>
              <w:bottom w:val="single" w:sz="8" w:color="CCEEFF"/>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(313)</w:t>
            </w:r>
          </w:p>
        </w:tc>
      </w:tr>
      <w:tr>
        <w:trPr>
          <w:trHeight w:val="229"/>
        </w:trPr>
        <w:tc>
          <w:tcPr>
            <w:tcW w:w="6260" w:type="dxa"/>
            <w:vAlign w:val="bottom"/>
            <w:shd w:val="clear" w:color="auto" w:fill="CCEEFF"/>
          </w:tcPr>
          <w:p>
            <w:pPr>
              <w:spacing w:after="0" w:line="220" w:lineRule="exact"/>
              <w:rPr>
                <w:sz w:val="20"/>
                <w:szCs w:val="20"/>
                <w:color w:val="auto"/>
              </w:rPr>
            </w:pPr>
            <w:r>
              <w:rPr>
                <w:rFonts w:ascii="Times New Roman" w:cs="Times New Roman" w:eastAsia="Times New Roman" w:hAnsi="Times New Roman"/>
                <w:sz w:val="20"/>
                <w:szCs w:val="20"/>
                <w:color w:val="auto"/>
              </w:rPr>
              <w:t>Loss</w:t>
            </w:r>
          </w:p>
        </w:tc>
        <w:tc>
          <w:tcPr>
            <w:tcW w:w="8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(29,246)</w:t>
            </w:r>
          </w:p>
        </w:tc>
        <w:tc>
          <w:tcPr>
            <w:tcW w:w="1320" w:type="dxa"/>
            <w:vAlign w:val="bottom"/>
            <w:gridSpan w:val="2"/>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(20,584)</w:t>
            </w:r>
          </w:p>
        </w:tc>
      </w:tr>
      <w:tr>
        <w:trPr>
          <w:trHeight w:val="233"/>
        </w:trPr>
        <w:tc>
          <w:tcPr>
            <w:tcW w:w="6260" w:type="dxa"/>
            <w:vAlign w:val="bottom"/>
          </w:tcPr>
          <w:p>
            <w:pPr>
              <w:spacing w:after="0"/>
              <w:rPr>
                <w:sz w:val="20"/>
                <w:szCs w:val="20"/>
                <w:color w:val="auto"/>
              </w:rPr>
            </w:pPr>
            <w:r>
              <w:rPr>
                <w:rFonts w:ascii="Times New Roman" w:cs="Times New Roman" w:eastAsia="Times New Roman" w:hAnsi="Times New Roman"/>
                <w:sz w:val="20"/>
                <w:szCs w:val="20"/>
                <w:color w:val="auto"/>
              </w:rPr>
              <w:t>Basic loss per share</w:t>
            </w:r>
          </w:p>
        </w:tc>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24</w:t>
            </w:r>
          </w:p>
        </w:tc>
        <w:tc>
          <w:tcPr>
            <w:tcW w:w="260" w:type="dxa"/>
            <w:vAlign w:val="bottom"/>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(0.78)</w:t>
            </w:r>
          </w:p>
        </w:tc>
        <w:tc>
          <w:tcPr>
            <w:tcW w:w="260" w:type="dxa"/>
            <w:vAlign w:val="bottom"/>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(0.55)</w:t>
            </w:r>
          </w:p>
        </w:tc>
      </w:tr>
      <w:tr>
        <w:trPr>
          <w:trHeight w:val="228"/>
        </w:trPr>
        <w:tc>
          <w:tcPr>
            <w:tcW w:w="6260" w:type="dxa"/>
            <w:vAlign w:val="bottom"/>
            <w:shd w:val="clear" w:color="auto" w:fill="CCEEFF"/>
          </w:tcPr>
          <w:p>
            <w:pPr>
              <w:spacing w:after="0" w:line="228" w:lineRule="exact"/>
              <w:rPr>
                <w:sz w:val="20"/>
                <w:szCs w:val="20"/>
                <w:color w:val="auto"/>
              </w:rPr>
            </w:pPr>
            <w:r>
              <w:rPr>
                <w:rFonts w:ascii="Times New Roman" w:cs="Times New Roman" w:eastAsia="Times New Roman" w:hAnsi="Times New Roman"/>
                <w:sz w:val="20"/>
                <w:szCs w:val="20"/>
                <w:color w:val="auto"/>
              </w:rPr>
              <w:t>Diluted loss per share</w:t>
            </w:r>
          </w:p>
        </w:tc>
        <w:tc>
          <w:tcPr>
            <w:tcW w:w="820" w:type="dxa"/>
            <w:vAlign w:val="bottom"/>
            <w:shd w:val="clear" w:color="auto" w:fill="CCEEFF"/>
          </w:tcPr>
          <w:p>
            <w:pPr>
              <w:jc w:val="center"/>
              <w:spacing w:after="0" w:line="228" w:lineRule="exact"/>
              <w:rPr>
                <w:sz w:val="20"/>
                <w:szCs w:val="20"/>
                <w:color w:val="auto"/>
              </w:rPr>
            </w:pPr>
            <w:r>
              <w:rPr>
                <w:rFonts w:ascii="Times New Roman" w:cs="Times New Roman" w:eastAsia="Times New Roman" w:hAnsi="Times New Roman"/>
                <w:sz w:val="20"/>
                <w:szCs w:val="20"/>
                <w:color w:val="auto"/>
                <w:w w:val="99"/>
              </w:rPr>
              <w:t>24</w:t>
            </w:r>
          </w:p>
        </w:tc>
        <w:tc>
          <w:tcPr>
            <w:tcW w:w="1320" w:type="dxa"/>
            <w:vAlign w:val="bottom"/>
            <w:gridSpan w:val="2"/>
            <w:shd w:val="clear" w:color="auto" w:fill="CCEEFF"/>
          </w:tcPr>
          <w:p>
            <w:pPr>
              <w:jc w:val="right"/>
              <w:spacing w:after="0" w:line="228" w:lineRule="exact"/>
              <w:rPr>
                <w:sz w:val="20"/>
                <w:szCs w:val="20"/>
                <w:color w:val="auto"/>
              </w:rPr>
            </w:pPr>
            <w:r>
              <w:rPr>
                <w:rFonts w:ascii="Times New Roman" w:cs="Times New Roman" w:eastAsia="Times New Roman" w:hAnsi="Times New Roman"/>
                <w:sz w:val="20"/>
                <w:szCs w:val="20"/>
                <w:color w:val="auto"/>
              </w:rPr>
              <w:t>(0.78)</w:t>
            </w:r>
          </w:p>
        </w:tc>
        <w:tc>
          <w:tcPr>
            <w:tcW w:w="1320" w:type="dxa"/>
            <w:vAlign w:val="bottom"/>
            <w:gridSpan w:val="2"/>
            <w:shd w:val="clear" w:color="auto" w:fill="CCEEFF"/>
          </w:tcPr>
          <w:p>
            <w:pPr>
              <w:jc w:val="right"/>
              <w:spacing w:after="0" w:line="228" w:lineRule="exact"/>
              <w:rPr>
                <w:sz w:val="20"/>
                <w:szCs w:val="20"/>
                <w:color w:val="auto"/>
              </w:rPr>
            </w:pPr>
            <w:r>
              <w:rPr>
                <w:rFonts w:ascii="Times New Roman" w:cs="Times New Roman" w:eastAsia="Times New Roman" w:hAnsi="Times New Roman"/>
                <w:sz w:val="20"/>
                <w:szCs w:val="20"/>
                <w:color w:val="auto"/>
              </w:rPr>
              <w:t>(0.55)</w:t>
            </w:r>
          </w:p>
        </w:tc>
      </w:tr>
      <w:tr>
        <w:trPr>
          <w:trHeight w:val="230"/>
        </w:trPr>
        <w:tc>
          <w:tcPr>
            <w:tcW w:w="6260" w:type="dxa"/>
            <w:vAlign w:val="bottom"/>
          </w:tcPr>
          <w:p>
            <w:pPr>
              <w:spacing w:after="0"/>
              <w:rPr>
                <w:sz w:val="20"/>
                <w:szCs w:val="20"/>
                <w:color w:val="auto"/>
              </w:rPr>
            </w:pPr>
            <w:r>
              <w:rPr>
                <w:rFonts w:ascii="Times New Roman" w:cs="Times New Roman" w:eastAsia="Times New Roman" w:hAnsi="Times New Roman"/>
                <w:sz w:val="20"/>
                <w:szCs w:val="20"/>
                <w:color w:val="auto"/>
              </w:rPr>
              <w:t>Basic Weighted average shares outstanding</w:t>
            </w:r>
          </w:p>
        </w:tc>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24</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37,442,155</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37,286,446</w:t>
            </w:r>
          </w:p>
        </w:tc>
      </w:tr>
      <w:tr>
        <w:trPr>
          <w:trHeight w:val="230"/>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Diluted Weighted average shares outstanding</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9"/>
              </w:rPr>
              <w:t>24</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37,442,155</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37,286,446</w:t>
            </w:r>
          </w:p>
        </w:tc>
      </w:tr>
    </w:tbl>
    <w:p>
      <w:pPr>
        <w:spacing w:after="0" w:line="211"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F-5</w:t>
      </w:r>
    </w:p>
    <w:p>
      <w:pPr>
        <w:sectPr>
          <w:pgSz w:w="12240" w:h="15840" w:orient="portrait"/>
          <w:cols w:equalWidth="0" w:num="1">
            <w:col w:w="9720"/>
          </w:cols>
          <w:pgMar w:left="1260" w:top="1440" w:right="1260" w:bottom="723" w:gutter="0" w:footer="0" w:header="0"/>
        </w:sectPr>
      </w:pPr>
    </w:p>
    <w:bookmarkStart w:id="60" w:name="page61"/>
    <w:bookmarkEnd w:id="60"/>
    <w:p>
      <w:pPr>
        <w:ind w:left="1980" w:right="1980" w:firstLine="1555"/>
        <w:spacing w:after="0" w:line="251" w:lineRule="auto"/>
        <w:rPr>
          <w:sz w:val="20"/>
          <w:szCs w:val="20"/>
          <w:color w:val="auto"/>
        </w:rPr>
      </w:pPr>
      <w:r>
        <w:rPr>
          <w:rFonts w:ascii="Times New Roman" w:cs="Times New Roman" w:eastAsia="Times New Roman" w:hAnsi="Times New Roman"/>
          <w:sz w:val="19"/>
          <w:szCs w:val="19"/>
          <w:b w:val="1"/>
          <w:bCs w:val="1"/>
          <w:color w:val="auto"/>
        </w:rPr>
        <w:drawing>
          <wp:anchor simplePos="0" relativeHeight="251657728" behindDoc="1" locked="0" layoutInCell="0" allowOverlap="1">
            <wp:simplePos x="0" y="0"/>
            <wp:positionH relativeFrom="page">
              <wp:posOffset>795655</wp:posOffset>
            </wp:positionH>
            <wp:positionV relativeFrom="page">
              <wp:posOffset>292735</wp:posOffset>
            </wp:positionV>
            <wp:extent cx="929005" cy="1149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69">
                      <a:extLst>
                        <a:ext uri="{28A0092B-C50C-407E-A947-70E740481C1C}"/>
                      </a:extLst>
                    </a:blip>
                    <a:srcRect/>
                    <a:stretch>
                      <a:fillRect/>
                    </a:stretch>
                  </pic:blipFill>
                  <pic:spPr bwMode="auto">
                    <a:xfrm>
                      <a:off x="0" y="0"/>
                      <a:ext cx="929005" cy="114935"/>
                    </a:xfrm>
                    <a:prstGeom prst="rect">
                      <a:avLst/>
                    </a:prstGeom>
                    <a:noFill/>
                  </pic:spPr>
                </pic:pic>
              </a:graphicData>
            </a:graphic>
          </wp:anchor>
        </w:drawing>
        <w:t>EDAP TMS S.A. AND SUBSIDIARIES CONSOLIDATED STATEMENTS OF COMPREHENSIVE LOSS</w:t>
      </w:r>
    </w:p>
    <w:p>
      <w:pPr>
        <w:spacing w:after="0" w:line="2"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20"/>
          <w:szCs w:val="20"/>
          <w:b w:val="1"/>
          <w:bCs w:val="1"/>
          <w:color w:val="auto"/>
        </w:rPr>
        <w:t>For the years ended December 31, 2025 and 2024</w:t>
      </w:r>
    </w:p>
    <w:p>
      <w:pPr>
        <w:jc w:val="center"/>
        <w:ind w:right="-719"/>
        <w:spacing w:after="0"/>
        <w:rPr>
          <w:sz w:val="20"/>
          <w:szCs w:val="20"/>
          <w:color w:val="auto"/>
        </w:rPr>
      </w:pPr>
      <w:r>
        <w:rPr>
          <w:rFonts w:ascii="Times New Roman" w:cs="Times New Roman" w:eastAsia="Times New Roman" w:hAnsi="Times New Roman"/>
          <w:sz w:val="20"/>
          <w:szCs w:val="20"/>
          <w:b w:val="1"/>
          <w:bCs w:val="1"/>
          <w:color w:val="auto"/>
        </w:rPr>
        <w:t>(in thousands of U.S. dollars unless otherwise noted)</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920" w:type="dxa"/>
            <w:vAlign w:val="bottom"/>
            <w:tcBorders>
              <w:bottom w:val="single" w:sz="8" w:color="CCEEFF"/>
            </w:tcBorders>
          </w:tcPr>
          <w:p>
            <w:pPr>
              <w:spacing w:after="0"/>
              <w:rPr>
                <w:sz w:val="17"/>
                <w:szCs w:val="17"/>
                <w:color w:val="auto"/>
              </w:rPr>
            </w:pPr>
          </w:p>
        </w:tc>
        <w:tc>
          <w:tcPr>
            <w:tcW w:w="252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ind w:right="244"/>
              <w:spacing w:after="0"/>
              <w:rPr>
                <w:sz w:val="20"/>
                <w:szCs w:val="20"/>
                <w:color w:val="auto"/>
              </w:rPr>
            </w:pPr>
            <w:r>
              <w:rPr>
                <w:rFonts w:ascii="Times New Roman" w:cs="Times New Roman" w:eastAsia="Times New Roman" w:hAnsi="Times New Roman"/>
                <w:sz w:val="16"/>
                <w:szCs w:val="16"/>
                <w:b w:val="1"/>
                <w:bCs w:val="1"/>
                <w:color w:val="auto"/>
              </w:rPr>
              <w:t>2025</w:t>
            </w:r>
          </w:p>
        </w:tc>
        <w:tc>
          <w:tcPr>
            <w:tcW w:w="260" w:type="dxa"/>
            <w:vAlign w:val="bottom"/>
            <w:tcBorders>
              <w:bottom w:val="single" w:sz="8" w:color="CCEEFF"/>
            </w:tcBorders>
            <w:gridSpan w:val="2"/>
          </w:tcPr>
          <w:p>
            <w:pPr>
              <w:spacing w:after="0"/>
              <w:rPr>
                <w:sz w:val="17"/>
                <w:szCs w:val="17"/>
                <w:color w:val="auto"/>
              </w:rPr>
            </w:pPr>
          </w:p>
        </w:tc>
        <w:tc>
          <w:tcPr>
            <w:tcW w:w="100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0"/>
        </w:trPr>
        <w:tc>
          <w:tcPr>
            <w:tcW w:w="4920" w:type="dxa"/>
            <w:vAlign w:val="bottom"/>
            <w:shd w:val="clear" w:color="auto" w:fill="CCEEFF"/>
          </w:tcPr>
          <w:p>
            <w:pPr>
              <w:spacing w:after="0" w:line="220" w:lineRule="exact"/>
              <w:rPr>
                <w:sz w:val="20"/>
                <w:szCs w:val="20"/>
                <w:color w:val="auto"/>
              </w:rPr>
            </w:pPr>
            <w:r>
              <w:rPr>
                <w:rFonts w:ascii="Times New Roman" w:cs="Times New Roman" w:eastAsia="Times New Roman" w:hAnsi="Times New Roman"/>
                <w:sz w:val="20"/>
                <w:szCs w:val="20"/>
                <w:color w:val="auto"/>
              </w:rPr>
              <w:t>Net loss</w:t>
            </w:r>
          </w:p>
        </w:tc>
        <w:tc>
          <w:tcPr>
            <w:tcW w:w="25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(29,246)</w:t>
            </w:r>
          </w:p>
        </w:tc>
        <w:tc>
          <w:tcPr>
            <w:tcW w:w="1260" w:type="dxa"/>
            <w:vAlign w:val="bottom"/>
            <w:gridSpan w:val="3"/>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(20,584)</w:t>
            </w:r>
          </w:p>
        </w:tc>
      </w:tr>
      <w:tr>
        <w:trPr>
          <w:trHeight w:val="230"/>
        </w:trPr>
        <w:tc>
          <w:tcPr>
            <w:tcW w:w="4920" w:type="dxa"/>
            <w:vAlign w:val="bottom"/>
          </w:tcPr>
          <w:p>
            <w:pPr>
              <w:spacing w:after="0"/>
              <w:rPr>
                <w:sz w:val="20"/>
                <w:szCs w:val="20"/>
                <w:color w:val="auto"/>
              </w:rPr>
            </w:pPr>
            <w:r>
              <w:rPr>
                <w:rFonts w:ascii="Times New Roman" w:cs="Times New Roman" w:eastAsia="Times New Roman" w:hAnsi="Times New Roman"/>
                <w:sz w:val="20"/>
                <w:szCs w:val="20"/>
                <w:color w:val="auto"/>
              </w:rPr>
              <w:t>Other comprehensive loss</w:t>
            </w:r>
          </w:p>
        </w:tc>
        <w:tc>
          <w:tcPr>
            <w:tcW w:w="25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30"/>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Foreign currency translation adjustments</w:t>
            </w:r>
          </w:p>
        </w:tc>
        <w:tc>
          <w:tcPr>
            <w:tcW w:w="2520" w:type="dxa"/>
            <w:vAlign w:val="bottom"/>
            <w:shd w:val="clear" w:color="auto" w:fill="CCEEFF"/>
          </w:tcPr>
          <w:p>
            <w:pPr>
              <w:ind w:left="1660"/>
              <w:spacing w:after="0" w:line="230" w:lineRule="exact"/>
              <w:rPr>
                <w:sz w:val="20"/>
                <w:szCs w:val="20"/>
                <w:color w:val="auto"/>
              </w:rPr>
            </w:pPr>
            <w:r>
              <w:rPr>
                <w:rFonts w:ascii="Arial" w:cs="Arial" w:eastAsia="Arial" w:hAnsi="Arial"/>
                <w:sz w:val="20"/>
                <w:szCs w:val="20"/>
                <w:color w:val="auto"/>
              </w:rPr>
              <w:t>18</w:t>
            </w:r>
            <w:r>
              <w:rPr>
                <w:rFonts w:ascii="MS PMincho" w:cs="MS PMincho" w:eastAsia="MS PMincho" w:hAnsi="MS PMincho"/>
                <w:sz w:val="20"/>
                <w:szCs w:val="20"/>
                <w:color w:val="auto"/>
              </w:rPr>
              <w:t>‑</w:t>
            </w:r>
            <w:r>
              <w:rPr>
                <w:rFonts w:ascii="Arial" w:cs="Arial" w:eastAsia="Arial" w:hAnsi="Arial"/>
                <w:sz w:val="20"/>
                <w:szCs w:val="20"/>
                <w:color w:val="auto"/>
              </w:rPr>
              <w:t>6</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3,322</w:t>
            </w:r>
          </w:p>
        </w:tc>
        <w:tc>
          <w:tcPr>
            <w:tcW w:w="1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(3,602)</w:t>
            </w:r>
          </w:p>
        </w:tc>
      </w:tr>
      <w:tr>
        <w:trPr>
          <w:trHeight w:val="230"/>
        </w:trPr>
        <w:tc>
          <w:tcPr>
            <w:tcW w:w="4920" w:type="dxa"/>
            <w:vAlign w:val="bottom"/>
          </w:tcPr>
          <w:p>
            <w:pPr>
              <w:spacing w:after="0"/>
              <w:rPr>
                <w:sz w:val="20"/>
                <w:szCs w:val="20"/>
                <w:color w:val="auto"/>
              </w:rPr>
            </w:pPr>
            <w:r>
              <w:rPr>
                <w:rFonts w:ascii="Times New Roman" w:cs="Times New Roman" w:eastAsia="Times New Roman" w:hAnsi="Times New Roman"/>
                <w:sz w:val="20"/>
                <w:szCs w:val="20"/>
                <w:color w:val="auto"/>
              </w:rPr>
              <w:t>Provision for retirement indemnities</w:t>
            </w:r>
          </w:p>
        </w:tc>
        <w:tc>
          <w:tcPr>
            <w:tcW w:w="2520" w:type="dxa"/>
            <w:vAlign w:val="bottom"/>
          </w:tcPr>
          <w:p>
            <w:pPr>
              <w:ind w:left="1660"/>
              <w:spacing w:after="0" w:line="230" w:lineRule="exact"/>
              <w:rPr>
                <w:sz w:val="20"/>
                <w:szCs w:val="20"/>
                <w:color w:val="auto"/>
              </w:rPr>
            </w:pPr>
            <w:r>
              <w:rPr>
                <w:rFonts w:ascii="Arial" w:cs="Arial" w:eastAsia="Arial" w:hAnsi="Arial"/>
                <w:sz w:val="20"/>
                <w:szCs w:val="20"/>
                <w:color w:val="auto"/>
              </w:rPr>
              <w:t>18</w:t>
            </w:r>
            <w:r>
              <w:rPr>
                <w:rFonts w:ascii="MS PMincho" w:cs="MS PMincho" w:eastAsia="MS PMincho" w:hAnsi="MS PMincho"/>
                <w:sz w:val="20"/>
                <w:szCs w:val="20"/>
                <w:color w:val="auto"/>
              </w:rPr>
              <w:t>‑</w:t>
            </w:r>
            <w:r>
              <w:rPr>
                <w:rFonts w:ascii="Arial" w:cs="Arial" w:eastAsia="Arial" w:hAnsi="Arial"/>
                <w:sz w:val="20"/>
                <w:szCs w:val="20"/>
                <w:color w:val="auto"/>
              </w:rPr>
              <w:t>6</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232</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74</w:t>
            </w:r>
          </w:p>
        </w:tc>
      </w:tr>
      <w:tr>
        <w:trPr>
          <w:trHeight w:val="228"/>
        </w:trPr>
        <w:tc>
          <w:tcPr>
            <w:tcW w:w="4920" w:type="dxa"/>
            <w:vAlign w:val="bottom"/>
            <w:shd w:val="clear" w:color="auto" w:fill="CCEEFF"/>
          </w:tcPr>
          <w:p>
            <w:pPr>
              <w:spacing w:after="0" w:line="228" w:lineRule="exact"/>
              <w:rPr>
                <w:sz w:val="20"/>
                <w:szCs w:val="20"/>
                <w:color w:val="auto"/>
              </w:rPr>
            </w:pPr>
            <w:r>
              <w:rPr>
                <w:rFonts w:ascii="Times New Roman" w:cs="Times New Roman" w:eastAsia="Times New Roman" w:hAnsi="Times New Roman"/>
                <w:sz w:val="20"/>
                <w:szCs w:val="20"/>
                <w:color w:val="auto"/>
              </w:rPr>
              <w:t>Deferred tax for retirement indemnities</w:t>
            </w:r>
          </w:p>
        </w:tc>
        <w:tc>
          <w:tcPr>
            <w:tcW w:w="2520" w:type="dxa"/>
            <w:vAlign w:val="bottom"/>
            <w:shd w:val="clear" w:color="auto" w:fill="CCEEFF"/>
          </w:tcPr>
          <w:p>
            <w:pPr>
              <w:ind w:left="1660"/>
              <w:spacing w:after="0" w:line="228" w:lineRule="exact"/>
              <w:rPr>
                <w:sz w:val="20"/>
                <w:szCs w:val="20"/>
                <w:color w:val="auto"/>
              </w:rPr>
            </w:pPr>
            <w:r>
              <w:rPr>
                <w:rFonts w:ascii="Arial" w:cs="Arial" w:eastAsia="Arial" w:hAnsi="Arial"/>
                <w:sz w:val="20"/>
                <w:szCs w:val="20"/>
                <w:color w:val="auto"/>
              </w:rPr>
              <w:t>18</w:t>
            </w:r>
            <w:r>
              <w:rPr>
                <w:rFonts w:ascii="MS PMincho" w:cs="MS PMincho" w:eastAsia="MS PMincho" w:hAnsi="MS PMincho"/>
                <w:sz w:val="20"/>
                <w:szCs w:val="20"/>
                <w:color w:val="auto"/>
              </w:rPr>
              <w:t>‑</w:t>
            </w:r>
            <w:r>
              <w:rPr>
                <w:rFonts w:ascii="Arial" w:cs="Arial" w:eastAsia="Arial" w:hAnsi="Arial"/>
                <w:sz w:val="20"/>
                <w:szCs w:val="20"/>
                <w:color w:val="auto"/>
              </w:rPr>
              <w:t>6</w:t>
            </w:r>
          </w:p>
        </w:tc>
        <w:tc>
          <w:tcPr>
            <w:tcW w:w="1020" w:type="dxa"/>
            <w:vAlign w:val="bottom"/>
            <w:tcBorders>
              <w:bottom w:val="single" w:sz="8" w:color="auto"/>
            </w:tcBorders>
            <w:shd w:val="clear" w:color="auto" w:fill="CCEEFF"/>
          </w:tcPr>
          <w:p>
            <w:pPr>
              <w:jc w:val="right"/>
              <w:spacing w:after="0" w:line="228" w:lineRule="exact"/>
              <w:rPr>
                <w:sz w:val="20"/>
                <w:szCs w:val="20"/>
                <w:color w:val="auto"/>
              </w:rPr>
            </w:pPr>
            <w:r>
              <w:rPr>
                <w:rFonts w:ascii="Times New Roman" w:cs="Times New Roman" w:eastAsia="Times New Roman" w:hAnsi="Times New Roman"/>
                <w:sz w:val="20"/>
                <w:szCs w:val="20"/>
                <w:color w:val="auto"/>
              </w:rPr>
              <w:t>62</w:t>
            </w:r>
          </w:p>
        </w:tc>
        <w:tc>
          <w:tcPr>
            <w:tcW w:w="1260" w:type="dxa"/>
            <w:vAlign w:val="bottom"/>
            <w:gridSpan w:val="3"/>
            <w:shd w:val="clear" w:color="auto" w:fill="CCEEFF"/>
          </w:tcPr>
          <w:p>
            <w:pPr>
              <w:jc w:val="right"/>
              <w:spacing w:after="0" w:line="228" w:lineRule="exact"/>
              <w:rPr>
                <w:sz w:val="20"/>
                <w:szCs w:val="20"/>
                <w:color w:val="auto"/>
              </w:rPr>
            </w:pPr>
            <w:r>
              <w:rPr>
                <w:rFonts w:ascii="Times New Roman" w:cs="Times New Roman" w:eastAsia="Times New Roman" w:hAnsi="Times New Roman"/>
                <w:sz w:val="20"/>
                <w:szCs w:val="20"/>
                <w:color w:val="auto"/>
              </w:rPr>
              <w:t>21</w:t>
            </w:r>
          </w:p>
        </w:tc>
      </w:tr>
      <w:tr>
        <w:trPr>
          <w:trHeight w:val="231"/>
        </w:trPr>
        <w:tc>
          <w:tcPr>
            <w:tcW w:w="492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Comprehensive loss, net of tax</w:t>
            </w:r>
          </w:p>
        </w:tc>
        <w:tc>
          <w:tcPr>
            <w:tcW w:w="2520" w:type="dxa"/>
            <w:vAlign w:val="bottom"/>
          </w:tcPr>
          <w:p>
            <w:pPr>
              <w:spacing w:after="0"/>
              <w:rPr>
                <w:sz w:val="20"/>
                <w:szCs w:val="20"/>
                <w:color w:val="auto"/>
              </w:rPr>
            </w:pPr>
          </w:p>
        </w:tc>
        <w:tc>
          <w:tcPr>
            <w:tcW w:w="102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(25,631)</w:t>
            </w:r>
          </w:p>
        </w:tc>
        <w:tc>
          <w:tcPr>
            <w:tcW w:w="240" w:type="dxa"/>
            <w:vAlign w:val="bottom"/>
          </w:tcPr>
          <w:p>
            <w:pPr>
              <w:spacing w:after="0"/>
              <w:rPr>
                <w:sz w:val="20"/>
                <w:szCs w:val="20"/>
                <w:color w:val="auto"/>
              </w:rPr>
            </w:pPr>
          </w:p>
        </w:tc>
        <w:tc>
          <w:tcPr>
            <w:tcW w:w="1020" w:type="dxa"/>
            <w:vAlign w:val="bottom"/>
            <w:tcBorders>
              <w:bottom w:val="single" w:sz="8" w:color="auto"/>
            </w:tcBorders>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rPr>
              <w:t>(24,091)</w:t>
            </w:r>
          </w:p>
        </w:tc>
      </w:tr>
    </w:tbl>
    <w:p>
      <w:pPr>
        <w:spacing w:after="0" w:line="211"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color w:val="auto"/>
        </w:rPr>
        <w:t>The accompanying notes are an integral part of the consolidated financial statements.</w:t>
      </w:r>
    </w:p>
    <w:p>
      <w:pPr>
        <w:sectPr>
          <w:pgSz w:w="12240" w:h="15840" w:orient="portrait"/>
          <w:cols w:equalWidth="0" w:num="1">
            <w:col w:w="9720"/>
          </w:cols>
          <w:pgMar w:left="1260" w:top="1243" w:right="1260" w:bottom="72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F-6</w:t>
      </w:r>
    </w:p>
    <w:p>
      <w:pPr>
        <w:sectPr>
          <w:pgSz w:w="12240" w:h="15840" w:orient="portrait"/>
          <w:cols w:equalWidth="0" w:num="1">
            <w:col w:w="9720"/>
          </w:cols>
          <w:pgMar w:left="1260" w:top="1243" w:right="1260" w:bottom="723" w:gutter="0" w:footer="0" w:header="0"/>
          <w:type w:val="continuous"/>
        </w:sectPr>
      </w:pPr>
    </w:p>
    <w:bookmarkStart w:id="61" w:name="page62"/>
    <w:bookmarkEnd w:id="61"/>
    <w:p>
      <w:pPr>
        <w:ind w:left="1860" w:right="1860" w:firstLine="2026"/>
        <w:spacing w:after="0" w:line="239" w:lineRule="auto"/>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795655</wp:posOffset>
            </wp:positionH>
            <wp:positionV relativeFrom="page">
              <wp:posOffset>292735</wp:posOffset>
            </wp:positionV>
            <wp:extent cx="929005" cy="1149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0">
                      <a:extLst>
                        <a:ext uri="{28A0092B-C50C-407E-A947-70E740481C1C}"/>
                      </a:extLst>
                    </a:blip>
                    <a:srcRect/>
                    <a:stretch>
                      <a:fillRect/>
                    </a:stretch>
                  </pic:blipFill>
                  <pic:spPr bwMode="auto">
                    <a:xfrm>
                      <a:off x="0" y="0"/>
                      <a:ext cx="929005" cy="114935"/>
                    </a:xfrm>
                    <a:prstGeom prst="rect">
                      <a:avLst/>
                    </a:prstGeom>
                    <a:noFill/>
                  </pic:spPr>
                </pic:pic>
              </a:graphicData>
            </a:graphic>
          </wp:anchor>
        </w:drawing>
        <w:t>EDAP TMS S.A. AND SUBSIDIARIES CONSOLIDATED STATEMENTS OF SHAREHOLDERS’ EQUITY</w:t>
      </w:r>
    </w:p>
    <w:p>
      <w:pPr>
        <w:spacing w:after="0" w:line="1"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20"/>
          <w:szCs w:val="20"/>
          <w:b w:val="1"/>
          <w:bCs w:val="1"/>
          <w:color w:val="auto"/>
        </w:rPr>
        <w:t>For the years ended December 31, 2025, 2024 and 2023</w:t>
      </w:r>
    </w:p>
    <w:p>
      <w:pPr>
        <w:jc w:val="center"/>
        <w:ind w:right="-719"/>
        <w:spacing w:after="0"/>
        <w:rPr>
          <w:sz w:val="20"/>
          <w:szCs w:val="20"/>
          <w:color w:val="auto"/>
        </w:rPr>
      </w:pPr>
      <w:r>
        <w:rPr>
          <w:rFonts w:ascii="Times New Roman" w:cs="Times New Roman" w:eastAsia="Times New Roman" w:hAnsi="Times New Roman"/>
          <w:sz w:val="20"/>
          <w:szCs w:val="20"/>
          <w:b w:val="1"/>
          <w:bCs w:val="1"/>
          <w:color w:val="auto"/>
        </w:rPr>
        <w:t>(in thousands of U.S. dollars unless otherwise noted)</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Additional</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3"/>
        </w:trPr>
        <w:tc>
          <w:tcPr>
            <w:tcW w:w="2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jc w:val="right"/>
              <w:ind w:right="91"/>
              <w:spacing w:after="0" w:line="183" w:lineRule="exact"/>
              <w:rPr>
                <w:sz w:val="20"/>
                <w:szCs w:val="20"/>
                <w:color w:val="auto"/>
              </w:rPr>
            </w:pPr>
            <w:r>
              <w:rPr>
                <w:rFonts w:ascii="Times New Roman" w:cs="Times New Roman" w:eastAsia="Times New Roman" w:hAnsi="Times New Roman"/>
                <w:sz w:val="16"/>
                <w:szCs w:val="16"/>
                <w:b w:val="1"/>
                <w:bCs w:val="1"/>
                <w:color w:val="auto"/>
              </w:rPr>
              <w:t>Number</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b w:val="1"/>
                <w:bCs w:val="1"/>
                <w:color w:val="auto"/>
                <w:w w:val="98"/>
              </w:rPr>
              <w:t>Common</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b w:val="1"/>
                <w:bCs w:val="1"/>
                <w:color w:val="auto"/>
                <w:w w:val="98"/>
              </w:rPr>
              <w:t>paid-in</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8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b w:val="1"/>
                <w:bCs w:val="1"/>
                <w:color w:val="auto"/>
                <w:w w:val="98"/>
              </w:rPr>
              <w:t>Earnings /</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b w:val="1"/>
                <w:bCs w:val="1"/>
                <w:color w:val="auto"/>
                <w:w w:val="99"/>
              </w:rPr>
              <w:t>comprehensive</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gridSpan w:val="3"/>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Treasury</w:t>
            </w: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2"/>
        </w:trPr>
        <w:tc>
          <w:tcPr>
            <w:tcW w:w="27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6"/>
                <w:szCs w:val="16"/>
                <w:b w:val="1"/>
                <w:bCs w:val="1"/>
                <w:color w:val="auto"/>
              </w:rPr>
              <w:t>of shares</w:t>
            </w: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6"/>
                <w:szCs w:val="16"/>
                <w:b w:val="1"/>
                <w:bCs w:val="1"/>
                <w:color w:val="auto"/>
              </w:rPr>
              <w:t>stock</w:t>
            </w: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capital</w:t>
            </w: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Accumulated deficit</w:t>
            </w: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income (loss)</w:t>
            </w: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6"/>
                <w:szCs w:val="16"/>
                <w:b w:val="1"/>
                <w:bCs w:val="1"/>
                <w:color w:val="auto"/>
              </w:rPr>
              <w:t>stock</w:t>
            </w:r>
          </w:p>
        </w:tc>
        <w:tc>
          <w:tcPr>
            <w:tcW w:w="160" w:type="dxa"/>
            <w:vAlign w:val="bottom"/>
            <w:tcBorders>
              <w:bottom w:val="single" w:sz="8" w:color="CCEEFF"/>
            </w:tcBorders>
            <w:gridSpan w:val="2"/>
          </w:tcPr>
          <w:p>
            <w:pPr>
              <w:spacing w:after="0"/>
              <w:rPr>
                <w:sz w:val="17"/>
                <w:szCs w:val="17"/>
                <w:color w:val="auto"/>
              </w:rPr>
            </w:pPr>
          </w:p>
        </w:tc>
        <w:tc>
          <w:tcPr>
            <w:tcW w:w="6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0" w:type="dxa"/>
            <w:vAlign w:val="bottom"/>
          </w:tcPr>
          <w:p>
            <w:pPr>
              <w:spacing w:after="0"/>
              <w:rPr>
                <w:sz w:val="17"/>
                <w:szCs w:val="17"/>
                <w:color w:val="auto"/>
              </w:rPr>
            </w:pPr>
          </w:p>
        </w:tc>
      </w:tr>
      <w:tr>
        <w:trPr>
          <w:trHeight w:val="218"/>
        </w:trPr>
        <w:tc>
          <w:tcPr>
            <w:tcW w:w="2800" w:type="dxa"/>
            <w:vAlign w:val="bottom"/>
            <w:gridSpan w:val="2"/>
            <w:shd w:val="clear" w:color="auto" w:fill="CCEEFF"/>
          </w:tcPr>
          <w:p>
            <w:pPr>
              <w:spacing w:after="0" w:line="199" w:lineRule="exact"/>
              <w:rPr>
                <w:sz w:val="20"/>
                <w:szCs w:val="20"/>
                <w:color w:val="auto"/>
              </w:rPr>
            </w:pPr>
            <w:r>
              <w:rPr>
                <w:rFonts w:ascii="Times New Roman" w:cs="Times New Roman" w:eastAsia="Times New Roman" w:hAnsi="Times New Roman"/>
                <w:sz w:val="18"/>
                <w:szCs w:val="18"/>
                <w:color w:val="auto"/>
                <w:shd w:val="clear" w:color="auto" w:fill="CCEEFF"/>
              </w:rPr>
              <w:t>Balance as of December 31, 2023</w:t>
            </w:r>
          </w:p>
        </w:tc>
        <w:tc>
          <w:tcPr>
            <w:tcW w:w="920" w:type="dxa"/>
            <w:vAlign w:val="bottom"/>
            <w:shd w:val="clear" w:color="auto" w:fill="CCEEFF"/>
          </w:tcPr>
          <w:p>
            <w:pPr>
              <w:jc w:val="right"/>
              <w:spacing w:after="0" w:line="199" w:lineRule="exact"/>
              <w:rPr>
                <w:sz w:val="20"/>
                <w:szCs w:val="20"/>
                <w:color w:val="auto"/>
              </w:rPr>
            </w:pPr>
            <w:r>
              <w:rPr>
                <w:rFonts w:ascii="Times New Roman" w:cs="Times New Roman" w:eastAsia="Times New Roman" w:hAnsi="Times New Roman"/>
                <w:sz w:val="18"/>
                <w:szCs w:val="18"/>
                <w:color w:val="auto"/>
                <w:shd w:val="clear" w:color="auto" w:fill="CCEEFF"/>
              </w:rPr>
              <w:t>37,103,779</w:t>
            </w:r>
          </w:p>
        </w:tc>
        <w:tc>
          <w:tcPr>
            <w:tcW w:w="800" w:type="dxa"/>
            <w:vAlign w:val="bottom"/>
            <w:gridSpan w:val="3"/>
            <w:shd w:val="clear" w:color="auto" w:fill="CCEEFF"/>
          </w:tcPr>
          <w:p>
            <w:pPr>
              <w:jc w:val="right"/>
              <w:spacing w:after="0" w:line="199" w:lineRule="exact"/>
              <w:rPr>
                <w:sz w:val="20"/>
                <w:szCs w:val="20"/>
                <w:color w:val="auto"/>
              </w:rPr>
            </w:pPr>
            <w:r>
              <w:rPr>
                <w:rFonts w:ascii="Times New Roman" w:cs="Times New Roman" w:eastAsia="Times New Roman" w:hAnsi="Times New Roman"/>
                <w:sz w:val="18"/>
                <w:szCs w:val="18"/>
                <w:color w:val="auto"/>
              </w:rPr>
              <w:t>6,017</w:t>
            </w:r>
          </w:p>
        </w:tc>
        <w:tc>
          <w:tcPr>
            <w:tcW w:w="880" w:type="dxa"/>
            <w:vAlign w:val="bottom"/>
            <w:gridSpan w:val="3"/>
            <w:shd w:val="clear" w:color="auto" w:fill="CCEEFF"/>
          </w:tcPr>
          <w:p>
            <w:pPr>
              <w:jc w:val="right"/>
              <w:spacing w:after="0" w:line="199" w:lineRule="exact"/>
              <w:rPr>
                <w:sz w:val="20"/>
                <w:szCs w:val="20"/>
                <w:color w:val="auto"/>
              </w:rPr>
            </w:pPr>
            <w:r>
              <w:rPr>
                <w:rFonts w:ascii="Times New Roman" w:cs="Times New Roman" w:eastAsia="Times New Roman" w:hAnsi="Times New Roman"/>
                <w:sz w:val="18"/>
                <w:szCs w:val="18"/>
                <w:color w:val="auto"/>
              </w:rPr>
              <w:t>145,129</w:t>
            </w:r>
          </w:p>
        </w:tc>
        <w:tc>
          <w:tcPr>
            <w:tcW w:w="1540" w:type="dxa"/>
            <w:vAlign w:val="bottom"/>
            <w:gridSpan w:val="3"/>
            <w:shd w:val="clear" w:color="auto" w:fill="CCEEFF"/>
          </w:tcPr>
          <w:p>
            <w:pPr>
              <w:jc w:val="right"/>
              <w:spacing w:after="0" w:line="199" w:lineRule="exact"/>
              <w:rPr>
                <w:sz w:val="20"/>
                <w:szCs w:val="20"/>
                <w:color w:val="auto"/>
              </w:rPr>
            </w:pPr>
            <w:r>
              <w:rPr>
                <w:rFonts w:ascii="Times New Roman" w:cs="Times New Roman" w:eastAsia="Times New Roman" w:hAnsi="Times New Roman"/>
                <w:sz w:val="18"/>
                <w:szCs w:val="18"/>
                <w:color w:val="auto"/>
              </w:rPr>
              <w:t>(78,786)</w:t>
            </w:r>
          </w:p>
        </w:tc>
        <w:tc>
          <w:tcPr>
            <w:tcW w:w="1180" w:type="dxa"/>
            <w:vAlign w:val="bottom"/>
            <w:gridSpan w:val="3"/>
            <w:shd w:val="clear" w:color="auto" w:fill="CCEEFF"/>
          </w:tcPr>
          <w:p>
            <w:pPr>
              <w:jc w:val="right"/>
              <w:spacing w:after="0" w:line="199" w:lineRule="exact"/>
              <w:rPr>
                <w:sz w:val="20"/>
                <w:szCs w:val="20"/>
                <w:color w:val="auto"/>
              </w:rPr>
            </w:pPr>
            <w:r>
              <w:rPr>
                <w:rFonts w:ascii="Times New Roman" w:cs="Times New Roman" w:eastAsia="Times New Roman" w:hAnsi="Times New Roman"/>
                <w:sz w:val="18"/>
                <w:szCs w:val="18"/>
                <w:color w:val="auto"/>
              </w:rPr>
              <w:t>(8,445)</w:t>
            </w:r>
          </w:p>
        </w:tc>
        <w:tc>
          <w:tcPr>
            <w:tcW w:w="800" w:type="dxa"/>
            <w:vAlign w:val="bottom"/>
            <w:gridSpan w:val="3"/>
            <w:shd w:val="clear" w:color="auto" w:fill="CCEEFF"/>
          </w:tcPr>
          <w:p>
            <w:pPr>
              <w:jc w:val="right"/>
              <w:spacing w:after="0" w:line="199" w:lineRule="exact"/>
              <w:rPr>
                <w:sz w:val="20"/>
                <w:szCs w:val="20"/>
                <w:color w:val="auto"/>
              </w:rPr>
            </w:pPr>
            <w:r>
              <w:rPr>
                <w:rFonts w:ascii="Times New Roman" w:cs="Times New Roman" w:eastAsia="Times New Roman" w:hAnsi="Times New Roman"/>
                <w:sz w:val="18"/>
                <w:szCs w:val="18"/>
                <w:color w:val="auto"/>
                <w:shd w:val="clear" w:color="auto" w:fill="CCEEFF"/>
              </w:rPr>
              <w:t>(1,019)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line="199" w:lineRule="exact"/>
              <w:rPr>
                <w:sz w:val="20"/>
                <w:szCs w:val="20"/>
                <w:color w:val="auto"/>
              </w:rPr>
            </w:pPr>
            <w:r>
              <w:rPr>
                <w:rFonts w:ascii="Times New Roman" w:cs="Times New Roman" w:eastAsia="Times New Roman" w:hAnsi="Times New Roman"/>
                <w:sz w:val="18"/>
                <w:szCs w:val="18"/>
                <w:color w:val="auto"/>
                <w:shd w:val="clear" w:color="auto" w:fill="CCEEFF"/>
              </w:rPr>
              <w:t>62,897</w:t>
            </w:r>
          </w:p>
        </w:tc>
        <w:tc>
          <w:tcPr>
            <w:tcW w:w="20" w:type="dxa"/>
            <w:vAlign w:val="bottom"/>
            <w:shd w:val="clear" w:color="auto" w:fill="CCEEFF"/>
          </w:tcPr>
          <w:p>
            <w:pPr>
              <w:spacing w:after="0"/>
              <w:rPr>
                <w:sz w:val="18"/>
                <w:szCs w:val="18"/>
                <w:color w:val="auto"/>
              </w:rPr>
            </w:pPr>
          </w:p>
        </w:tc>
      </w:tr>
      <w:tr>
        <w:trPr>
          <w:trHeight w:val="198"/>
        </w:trPr>
        <w:tc>
          <w:tcPr>
            <w:tcW w:w="2800" w:type="dxa"/>
            <w:vAlign w:val="bottom"/>
            <w:tcBorders>
              <w:top w:val="single" w:sz="8" w:color="CCEEFF"/>
            </w:tcBorders>
            <w:gridSpan w:val="2"/>
          </w:tcPr>
          <w:p>
            <w:pPr>
              <w:spacing w:after="0" w:line="198" w:lineRule="exact"/>
              <w:rPr>
                <w:sz w:val="20"/>
                <w:szCs w:val="20"/>
                <w:color w:val="auto"/>
              </w:rPr>
            </w:pPr>
            <w:r>
              <w:rPr>
                <w:rFonts w:ascii="Times New Roman" w:cs="Times New Roman" w:eastAsia="Times New Roman" w:hAnsi="Times New Roman"/>
                <w:sz w:val="18"/>
                <w:szCs w:val="18"/>
                <w:color w:val="auto"/>
              </w:rPr>
              <w:t>Net loss</w:t>
            </w:r>
          </w:p>
        </w:tc>
        <w:tc>
          <w:tcPr>
            <w:tcW w:w="92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64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72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38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(20,584)</w:t>
            </w:r>
          </w:p>
        </w:tc>
        <w:tc>
          <w:tcPr>
            <w:tcW w:w="1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02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64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64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(20,584)</w:t>
            </w:r>
          </w:p>
        </w:tc>
        <w:tc>
          <w:tcPr>
            <w:tcW w:w="20" w:type="dxa"/>
            <w:vAlign w:val="bottom"/>
            <w:tcBorders>
              <w:top w:val="single" w:sz="8" w:color="CCEEFF"/>
            </w:tcBorders>
          </w:tcPr>
          <w:p>
            <w:pPr>
              <w:spacing w:after="0"/>
              <w:rPr>
                <w:sz w:val="17"/>
                <w:szCs w:val="17"/>
                <w:color w:val="auto"/>
              </w:rPr>
            </w:pPr>
          </w:p>
        </w:tc>
      </w:tr>
      <w:tr>
        <w:trPr>
          <w:trHeight w:val="206"/>
        </w:trPr>
        <w:tc>
          <w:tcPr>
            <w:tcW w:w="2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Translation adjustment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(3,602)</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(3,602)</w:t>
            </w:r>
          </w:p>
        </w:tc>
      </w:tr>
      <w:tr>
        <w:trPr>
          <w:trHeight w:val="206"/>
        </w:trPr>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3,554</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3,554</w:t>
            </w:r>
          </w:p>
        </w:tc>
        <w:tc>
          <w:tcPr>
            <w:tcW w:w="20" w:type="dxa"/>
            <w:vAlign w:val="bottom"/>
          </w:tcPr>
          <w:p>
            <w:pPr>
              <w:spacing w:after="0"/>
              <w:rPr>
                <w:sz w:val="17"/>
                <w:szCs w:val="17"/>
                <w:color w:val="auto"/>
              </w:rPr>
            </w:pPr>
          </w:p>
        </w:tc>
      </w:tr>
      <w:tr>
        <w:trPr>
          <w:trHeight w:val="206"/>
        </w:trPr>
        <w:tc>
          <w:tcPr>
            <w:tcW w:w="2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increase</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288,307</w:t>
            </w:r>
          </w:p>
        </w:tc>
        <w:tc>
          <w:tcPr>
            <w:tcW w:w="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0" w:type="dxa"/>
            <w:vAlign w:val="bottom"/>
            <w:shd w:val="clear" w:color="auto" w:fill="CCEEFF"/>
          </w:tcPr>
          <w:p>
            <w:pPr>
              <w:spacing w:after="0"/>
              <w:rPr>
                <w:sz w:val="17"/>
                <w:szCs w:val="17"/>
                <w:color w:val="auto"/>
              </w:rPr>
            </w:pPr>
          </w:p>
        </w:tc>
      </w:tr>
      <w:tr>
        <w:trPr>
          <w:trHeight w:val="206"/>
        </w:trPr>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Provision for retirement indemnities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0" w:type="dxa"/>
            <w:vAlign w:val="bottom"/>
          </w:tcPr>
          <w:p>
            <w:pPr>
              <w:spacing w:after="0"/>
              <w:rPr>
                <w:sz w:val="17"/>
                <w:szCs w:val="17"/>
                <w:color w:val="auto"/>
              </w:rPr>
            </w:pPr>
          </w:p>
        </w:tc>
      </w:tr>
      <w:tr>
        <w:trPr>
          <w:trHeight w:val="190"/>
        </w:trPr>
        <w:tc>
          <w:tcPr>
            <w:tcW w:w="280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Deferred tax for retirement</w:t>
            </w:r>
          </w:p>
        </w:tc>
        <w:tc>
          <w:tcPr>
            <w:tcW w:w="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r>
      <w:tr>
        <w:trPr>
          <w:trHeight w:val="234"/>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indemnities</w:t>
            </w:r>
          </w:p>
        </w:tc>
        <w:tc>
          <w:tcPr>
            <w:tcW w:w="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shd w:val="clear" w:color="auto" w:fill="CCEEFF"/>
          </w:tcPr>
          <w:p>
            <w:pPr>
              <w:spacing w:after="0"/>
              <w:rPr>
                <w:sz w:val="20"/>
                <w:szCs w:val="20"/>
                <w:color w:val="auto"/>
              </w:rPr>
            </w:pPr>
          </w:p>
        </w:tc>
      </w:tr>
      <w:tr>
        <w:trPr>
          <w:trHeight w:val="238"/>
        </w:trPr>
        <w:tc>
          <w:tcPr>
            <w:tcW w:w="28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37,392,086</w:t>
            </w:r>
          </w:p>
        </w:tc>
        <w:tc>
          <w:tcPr>
            <w:tcW w:w="1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6,058</w:t>
            </w:r>
          </w:p>
        </w:tc>
        <w:tc>
          <w:tcPr>
            <w:tcW w:w="1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148,768</w:t>
            </w:r>
          </w:p>
        </w:tc>
        <w:tc>
          <w:tcPr>
            <w:tcW w:w="1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(99,370)</w:t>
            </w:r>
          </w:p>
        </w:tc>
        <w:tc>
          <w:tcPr>
            <w:tcW w:w="1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(11,952)</w:t>
            </w:r>
          </w:p>
        </w:tc>
        <w:tc>
          <w:tcPr>
            <w:tcW w:w="1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1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42,485</w:t>
            </w:r>
          </w:p>
        </w:tc>
        <w:tc>
          <w:tcPr>
            <w:tcW w:w="20" w:type="dxa"/>
            <w:vAlign w:val="bottom"/>
          </w:tcPr>
          <w:p>
            <w:pPr>
              <w:spacing w:after="0"/>
              <w:rPr>
                <w:sz w:val="20"/>
                <w:szCs w:val="20"/>
                <w:color w:val="auto"/>
              </w:rPr>
            </w:pPr>
          </w:p>
        </w:tc>
      </w:tr>
      <w:tr>
        <w:trPr>
          <w:trHeight w:val="186"/>
        </w:trPr>
        <w:tc>
          <w:tcPr>
            <w:tcW w:w="2800" w:type="dxa"/>
            <w:vAlign w:val="bottom"/>
            <w:tcBorders>
              <w:top w:val="single" w:sz="8" w:color="CCEEFF"/>
            </w:tcBorders>
            <w:gridSpan w:val="2"/>
            <w:shd w:val="clear" w:color="auto" w:fill="CCEEFF"/>
          </w:tcPr>
          <w:p>
            <w:pPr>
              <w:spacing w:after="0" w:line="187" w:lineRule="exact"/>
              <w:rPr>
                <w:sz w:val="20"/>
                <w:szCs w:val="20"/>
                <w:color w:val="auto"/>
              </w:rPr>
            </w:pPr>
            <w:r>
              <w:rPr>
                <w:rFonts w:ascii="Times New Roman" w:cs="Times New Roman" w:eastAsia="Times New Roman" w:hAnsi="Times New Roman"/>
                <w:sz w:val="18"/>
                <w:szCs w:val="18"/>
                <w:color w:val="auto"/>
              </w:rPr>
              <w:t>Net loss</w:t>
            </w:r>
          </w:p>
        </w:tc>
        <w:tc>
          <w:tcPr>
            <w:tcW w:w="920" w:type="dxa"/>
            <w:vAlign w:val="bottom"/>
            <w:tcBorders>
              <w:top w:val="single" w:sz="8" w:color="CCEEFF"/>
            </w:tcBorders>
            <w:shd w:val="clear" w:color="auto" w:fill="CCEEFF"/>
          </w:tcPr>
          <w:p>
            <w:pPr>
              <w:jc w:val="right"/>
              <w:spacing w:after="0" w:line="187"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CCEEFF"/>
            </w:tcBorders>
            <w:shd w:val="clear" w:color="auto" w:fill="CCEEFF"/>
          </w:tcPr>
          <w:p>
            <w:pPr>
              <w:jc w:val="right"/>
              <w:spacing w:after="0" w:line="187"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CCEEFF"/>
            </w:tcBorders>
            <w:shd w:val="clear" w:color="auto" w:fill="CCEEFF"/>
          </w:tcPr>
          <w:p>
            <w:pPr>
              <w:jc w:val="right"/>
              <w:spacing w:after="0" w:line="187"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380" w:type="dxa"/>
            <w:vAlign w:val="bottom"/>
            <w:tcBorders>
              <w:top w:val="single" w:sz="8" w:color="CCEEFF"/>
            </w:tcBorders>
            <w:shd w:val="clear" w:color="auto" w:fill="CCEEFF"/>
          </w:tcPr>
          <w:p>
            <w:pPr>
              <w:jc w:val="right"/>
              <w:spacing w:after="0" w:line="187" w:lineRule="exact"/>
              <w:rPr>
                <w:sz w:val="20"/>
                <w:szCs w:val="20"/>
                <w:color w:val="auto"/>
              </w:rPr>
            </w:pPr>
            <w:r>
              <w:rPr>
                <w:rFonts w:ascii="Times New Roman" w:cs="Times New Roman" w:eastAsia="Times New Roman" w:hAnsi="Times New Roman"/>
                <w:sz w:val="18"/>
                <w:szCs w:val="18"/>
                <w:color w:val="auto"/>
              </w:rPr>
              <w:t>(29,246)</w:t>
            </w:r>
          </w:p>
        </w:tc>
        <w:tc>
          <w:tcPr>
            <w:tcW w:w="1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CCEEFF"/>
            </w:tcBorders>
            <w:shd w:val="clear" w:color="auto" w:fill="CCEEFF"/>
          </w:tcPr>
          <w:p>
            <w:pPr>
              <w:jc w:val="right"/>
              <w:spacing w:after="0" w:line="187"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CCEEFF"/>
            </w:tcBorders>
            <w:shd w:val="clear" w:color="auto" w:fill="CCEEFF"/>
          </w:tcPr>
          <w:p>
            <w:pPr>
              <w:jc w:val="right"/>
              <w:spacing w:after="0" w:line="187"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CCEEFF"/>
            </w:tcBorders>
            <w:shd w:val="clear" w:color="auto" w:fill="CCEEFF"/>
          </w:tcPr>
          <w:p>
            <w:pPr>
              <w:jc w:val="right"/>
              <w:spacing w:after="0" w:line="187" w:lineRule="exact"/>
              <w:rPr>
                <w:sz w:val="20"/>
                <w:szCs w:val="20"/>
                <w:color w:val="auto"/>
              </w:rPr>
            </w:pPr>
            <w:r>
              <w:rPr>
                <w:rFonts w:ascii="Times New Roman" w:cs="Times New Roman" w:eastAsia="Times New Roman" w:hAnsi="Times New Roman"/>
                <w:sz w:val="18"/>
                <w:szCs w:val="18"/>
                <w:color w:val="auto"/>
                <w:shd w:val="clear" w:color="auto" w:fill="CCEEFF"/>
              </w:rPr>
              <w:t>(29,246)</w:t>
            </w:r>
          </w:p>
        </w:tc>
        <w:tc>
          <w:tcPr>
            <w:tcW w:w="20" w:type="dxa"/>
            <w:vAlign w:val="bottom"/>
            <w:tcBorders>
              <w:top w:val="single" w:sz="8" w:color="CCEEFF"/>
            </w:tcBorders>
            <w:shd w:val="clear" w:color="auto" w:fill="CCEEFF"/>
          </w:tcPr>
          <w:p>
            <w:pPr>
              <w:spacing w:after="0"/>
              <w:rPr>
                <w:sz w:val="16"/>
                <w:szCs w:val="16"/>
                <w:color w:val="auto"/>
              </w:rPr>
            </w:pPr>
          </w:p>
        </w:tc>
      </w:tr>
      <w:tr>
        <w:trPr>
          <w:trHeight w:val="209"/>
        </w:trPr>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Translation adjustment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3,322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3,322</w:t>
            </w:r>
          </w:p>
        </w:tc>
        <w:tc>
          <w:tcPr>
            <w:tcW w:w="20" w:type="dxa"/>
            <w:vAlign w:val="bottom"/>
          </w:tcPr>
          <w:p>
            <w:pPr>
              <w:spacing w:after="0"/>
              <w:rPr>
                <w:sz w:val="18"/>
                <w:szCs w:val="18"/>
                <w:color w:val="auto"/>
              </w:rPr>
            </w:pPr>
          </w:p>
        </w:tc>
      </w:tr>
      <w:tr>
        <w:trPr>
          <w:trHeight w:val="206"/>
        </w:trPr>
        <w:tc>
          <w:tcPr>
            <w:tcW w:w="2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2,560</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2,560</w:t>
            </w:r>
          </w:p>
        </w:tc>
        <w:tc>
          <w:tcPr>
            <w:tcW w:w="20" w:type="dxa"/>
            <w:vAlign w:val="bottom"/>
            <w:shd w:val="clear" w:color="auto" w:fill="CCEEFF"/>
          </w:tcPr>
          <w:p>
            <w:pPr>
              <w:spacing w:after="0"/>
              <w:rPr>
                <w:sz w:val="17"/>
                <w:szCs w:val="17"/>
                <w:color w:val="auto"/>
              </w:rPr>
            </w:pPr>
          </w:p>
        </w:tc>
      </w:tr>
      <w:tr>
        <w:trPr>
          <w:trHeight w:val="206"/>
        </w:trPr>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 increase</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89,900</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17"/>
                <w:szCs w:val="17"/>
                <w:color w:val="auto"/>
              </w:rPr>
            </w:pPr>
          </w:p>
        </w:tc>
      </w:tr>
      <w:tr>
        <w:trPr>
          <w:trHeight w:val="206"/>
        </w:trPr>
        <w:tc>
          <w:tcPr>
            <w:tcW w:w="2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retirement indemnities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20" w:type="dxa"/>
            <w:vAlign w:val="bottom"/>
            <w:shd w:val="clear" w:color="auto" w:fill="CCEEFF"/>
          </w:tcPr>
          <w:p>
            <w:pPr>
              <w:spacing w:after="0"/>
              <w:rPr>
                <w:sz w:val="17"/>
                <w:szCs w:val="17"/>
                <w:color w:val="auto"/>
              </w:rPr>
            </w:pPr>
          </w:p>
        </w:tc>
      </w:tr>
      <w:tr>
        <w:trPr>
          <w:trHeight w:val="190"/>
        </w:trPr>
        <w:tc>
          <w:tcPr>
            <w:tcW w:w="28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Deferred tax for retirement</w:t>
            </w: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54"/>
        </w:trPr>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indemnities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0" w:type="dxa"/>
            <w:vAlign w:val="bottom"/>
          </w:tcPr>
          <w:p>
            <w:pPr>
              <w:spacing w:after="0"/>
              <w:rPr>
                <w:sz w:val="22"/>
                <w:szCs w:val="22"/>
                <w:color w:val="auto"/>
              </w:rPr>
            </w:pPr>
          </w:p>
        </w:tc>
      </w:tr>
      <w:tr>
        <w:trPr>
          <w:trHeight w:val="198"/>
        </w:trPr>
        <w:tc>
          <w:tcPr>
            <w:tcW w:w="2780" w:type="dxa"/>
            <w:vAlign w:val="bottom"/>
            <w:tcBorders>
              <w:top w:val="single" w:sz="8" w:color="CCEEFF"/>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shd w:val="clear" w:color="auto" w:fill="CCEEFF"/>
              </w:rPr>
              <w:t>Balance as of December 31, 2025</w:t>
            </w:r>
          </w:p>
        </w:tc>
        <w:tc>
          <w:tcPr>
            <w:tcW w:w="20" w:type="dxa"/>
            <w:vAlign w:val="bottom"/>
            <w:tcBorders>
              <w:top w:val="single" w:sz="8" w:color="CCEEFF"/>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shd w:val="clear" w:color="auto" w:fill="CCEEFF"/>
              </w:rPr>
              <w:t>37,481,986</w:t>
            </w: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auto"/>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6,072</w:t>
            </w: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151,314</w:t>
            </w: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auto"/>
            </w:tcBorders>
            <w:shd w:val="clear" w:color="auto" w:fill="CCEEFF"/>
          </w:tcPr>
          <w:p>
            <w:pPr>
              <w:spacing w:after="0"/>
              <w:rPr>
                <w:sz w:val="17"/>
                <w:szCs w:val="17"/>
                <w:color w:val="auto"/>
              </w:rPr>
            </w:pPr>
          </w:p>
        </w:tc>
        <w:tc>
          <w:tcPr>
            <w:tcW w:w="1380" w:type="dxa"/>
            <w:vAlign w:val="bottom"/>
            <w:tcBorders>
              <w:top w:val="single" w:sz="8" w:color="auto"/>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(128,617)</w:t>
            </w: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(8,337)</w:t>
            </w: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auto"/>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shd w:val="clear" w:color="auto" w:fill="CCEEFF"/>
              </w:rPr>
              <w:t>(1,019)</w:t>
            </w: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auto"/>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shd w:val="clear" w:color="auto" w:fill="CCEEFF"/>
              </w:rPr>
              <w:t>19,413</w:t>
            </w:r>
          </w:p>
        </w:tc>
        <w:tc>
          <w:tcPr>
            <w:tcW w:w="20" w:type="dxa"/>
            <w:vAlign w:val="bottom"/>
            <w:tcBorders>
              <w:top w:val="single" w:sz="8" w:color="CCEEFF"/>
            </w:tcBorders>
            <w:shd w:val="clear" w:color="auto" w:fill="CCEEFF"/>
          </w:tcPr>
          <w:p>
            <w:pPr>
              <w:spacing w:after="0"/>
              <w:rPr>
                <w:sz w:val="17"/>
                <w:szCs w:val="17"/>
                <w:color w:val="auto"/>
              </w:rPr>
            </w:pPr>
          </w:p>
        </w:tc>
      </w:tr>
    </w:tbl>
    <w:p>
      <w:pPr>
        <w:spacing w:after="0" w:line="211"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color w:val="auto"/>
        </w:rPr>
        <w:t>The accompanying notes are an integral part of the consolidated financial statements.</w:t>
      </w:r>
    </w:p>
    <w:p>
      <w:pPr>
        <w:sectPr>
          <w:pgSz w:w="12240" w:h="15840" w:orient="portrait"/>
          <w:cols w:equalWidth="0" w:num="1">
            <w:col w:w="9720"/>
          </w:cols>
          <w:pgMar w:left="1260" w:top="1243" w:right="1260" w:bottom="72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F-7</w:t>
      </w:r>
    </w:p>
    <w:p>
      <w:pPr>
        <w:sectPr>
          <w:pgSz w:w="12240" w:h="15840" w:orient="portrait"/>
          <w:cols w:equalWidth="0" w:num="1">
            <w:col w:w="9720"/>
          </w:cols>
          <w:pgMar w:left="1260" w:top="1243" w:right="1260" w:bottom="723" w:gutter="0" w:footer="0" w:header="0"/>
          <w:type w:val="continuous"/>
        </w:sectPr>
      </w:pPr>
    </w:p>
    <w:bookmarkStart w:id="62" w:name="page63"/>
    <w:bookmarkEnd w:id="62"/>
    <w:p>
      <w:pPr>
        <w:jc w:val="center"/>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795655</wp:posOffset>
            </wp:positionH>
            <wp:positionV relativeFrom="page">
              <wp:posOffset>292735</wp:posOffset>
            </wp:positionV>
            <wp:extent cx="929005" cy="1149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1">
                      <a:extLst>
                        <a:ext uri="{28A0092B-C50C-407E-A947-70E740481C1C}"/>
                      </a:extLst>
                    </a:blip>
                    <a:srcRect/>
                    <a:stretch>
                      <a:fillRect/>
                    </a:stretch>
                  </pic:blipFill>
                  <pic:spPr bwMode="auto">
                    <a:xfrm>
                      <a:off x="0" y="0"/>
                      <a:ext cx="929005" cy="114935"/>
                    </a:xfrm>
                    <a:prstGeom prst="rect">
                      <a:avLst/>
                    </a:prstGeom>
                    <a:noFill/>
                  </pic:spPr>
                </pic:pic>
              </a:graphicData>
            </a:graphic>
          </wp:anchor>
        </w:drawing>
        <w:t>EDAP TMS S.A. AND SUBSIDIARIES</w:t>
      </w:r>
    </w:p>
    <w:p>
      <w:pPr>
        <w:jc w:val="center"/>
        <w:spacing w:after="0" w:line="238" w:lineRule="auto"/>
        <w:rPr>
          <w:sz w:val="20"/>
          <w:szCs w:val="20"/>
          <w:color w:val="auto"/>
        </w:rPr>
      </w:pPr>
      <w:r>
        <w:rPr>
          <w:rFonts w:ascii="Times New Roman" w:cs="Times New Roman" w:eastAsia="Times New Roman" w:hAnsi="Times New Roman"/>
          <w:sz w:val="20"/>
          <w:szCs w:val="20"/>
          <w:b w:val="1"/>
          <w:bCs w:val="1"/>
          <w:color w:val="auto"/>
        </w:rPr>
        <w:t>CONSOLIDATED STATEMENTS OF CASH FLOWS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 the years ended December 31, 2025 and 2024</w:t>
      </w: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of U.S. dollars unless otherwise noted)</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jc w:val="right"/>
              <w:ind w:right="20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18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2"/>
        </w:trPr>
        <w:tc>
          <w:tcPr>
            <w:tcW w:w="7620" w:type="dxa"/>
            <w:vAlign w:val="bottom"/>
            <w:tcBorders>
              <w:top w:val="single" w:sz="8" w:color="CCEEFF"/>
            </w:tcBorders>
            <w:gridSpan w:val="2"/>
            <w:shd w:val="clear" w:color="auto" w:fill="CCEEFF"/>
          </w:tcPr>
          <w:p>
            <w:pPr>
              <w:spacing w:after="0" w:line="223" w:lineRule="exact"/>
              <w:rPr>
                <w:sz w:val="20"/>
                <w:szCs w:val="20"/>
                <w:color w:val="auto"/>
              </w:rPr>
            </w:pPr>
            <w:r>
              <w:rPr>
                <w:rFonts w:ascii="Times New Roman" w:cs="Times New Roman" w:eastAsia="Times New Roman" w:hAnsi="Times New Roman"/>
                <w:sz w:val="20"/>
                <w:szCs w:val="20"/>
                <w:b w:val="1"/>
                <w:bCs w:val="1"/>
                <w:color w:val="auto"/>
              </w:rPr>
              <w:t>Cash flows from operating activities</w:t>
            </w:r>
          </w:p>
        </w:tc>
        <w:tc>
          <w:tcPr>
            <w:tcW w:w="92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r>
      <w:tr>
        <w:trPr>
          <w:trHeight w:val="230"/>
        </w:trPr>
        <w:tc>
          <w:tcPr>
            <w:tcW w:w="76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Net loss</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(29,246)</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(20,584)</w:t>
            </w:r>
          </w:p>
        </w:tc>
      </w:tr>
      <w:tr>
        <w:trPr>
          <w:trHeight w:val="207"/>
        </w:trPr>
        <w:tc>
          <w:tcPr>
            <w:tcW w:w="7620" w:type="dxa"/>
            <w:vAlign w:val="bottom"/>
            <w:gridSpan w:val="2"/>
            <w:shd w:val="clear" w:color="auto" w:fill="CCEEFF"/>
          </w:tcPr>
          <w:p>
            <w:pPr>
              <w:spacing w:after="0" w:line="207" w:lineRule="exact"/>
              <w:rPr>
                <w:sz w:val="20"/>
                <w:szCs w:val="20"/>
                <w:color w:val="auto"/>
              </w:rPr>
            </w:pPr>
            <w:r>
              <w:rPr>
                <w:rFonts w:ascii="Times New Roman" w:cs="Times New Roman" w:eastAsia="Times New Roman" w:hAnsi="Times New Roman"/>
                <w:sz w:val="20"/>
                <w:szCs w:val="20"/>
                <w:b w:val="1"/>
                <w:bCs w:val="1"/>
                <w:color w:val="auto"/>
              </w:rPr>
              <w:t>Adjustments to reconcile net loss to net cash generated by (used in) operating</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54"/>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b w:val="1"/>
                <w:bCs w:val="1"/>
                <w:color w:val="auto"/>
              </w:rPr>
              <w:t>activities:</w:t>
            </w:r>
          </w:p>
        </w:tc>
        <w:tc>
          <w:tcPr>
            <w:tcW w:w="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r>
      <w:tr>
        <w:trPr>
          <w:trHeight w:val="230"/>
        </w:trPr>
        <w:tc>
          <w:tcPr>
            <w:tcW w:w="76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Depreciation and amortization</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3,407</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2,777</w:t>
            </w:r>
          </w:p>
        </w:tc>
      </w:tr>
      <w:tr>
        <w:trPr>
          <w:trHeight w:val="233"/>
        </w:trPr>
        <w:tc>
          <w:tcPr>
            <w:tcW w:w="7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Share based compensation</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2,560</w:t>
            </w:r>
          </w:p>
        </w:tc>
        <w:tc>
          <w:tcPr>
            <w:tcW w:w="1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3,554</w:t>
            </w:r>
          </w:p>
        </w:tc>
      </w:tr>
      <w:tr>
        <w:trPr>
          <w:trHeight w:val="230"/>
        </w:trPr>
        <w:tc>
          <w:tcPr>
            <w:tcW w:w="76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Change in allowances for doubtful accounts &amp; slow-moving inventories</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919</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1,034</w:t>
            </w:r>
          </w:p>
        </w:tc>
      </w:tr>
      <w:tr>
        <w:trPr>
          <w:trHeight w:val="230"/>
        </w:trPr>
        <w:tc>
          <w:tcPr>
            <w:tcW w:w="7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Change in Fair Value on EIB Warrants and Loan amortization</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2,865</w:t>
            </w: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30"/>
        </w:trPr>
        <w:tc>
          <w:tcPr>
            <w:tcW w:w="76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Change in long-term provisions</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(140)</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187</w:t>
            </w:r>
          </w:p>
        </w:tc>
      </w:tr>
      <w:tr>
        <w:trPr>
          <w:trHeight w:val="233"/>
        </w:trPr>
        <w:tc>
          <w:tcPr>
            <w:tcW w:w="7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Net capital loss on disposals of assets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529</w:t>
            </w:r>
          </w:p>
        </w:tc>
        <w:tc>
          <w:tcPr>
            <w:tcW w:w="1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558</w:t>
            </w:r>
          </w:p>
        </w:tc>
      </w:tr>
      <w:tr>
        <w:trPr>
          <w:trHeight w:val="230"/>
        </w:trPr>
        <w:tc>
          <w:tcPr>
            <w:tcW w:w="76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20"/>
                <w:szCs w:val="20"/>
                <w:color w:val="auto"/>
              </w:rPr>
              <w:t>Deferred tax expense (benefit)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(231)</w:t>
            </w:r>
          </w:p>
        </w:tc>
        <w:tc>
          <w:tcPr>
            <w:tcW w:w="240" w:type="dxa"/>
            <w:vAlign w:val="bottom"/>
            <w:tcBorders>
              <w:bottom w:val="single" w:sz="8" w:color="CCEEFF"/>
            </w:tcBorders>
            <w:gridSpan w:val="2"/>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(105)</w:t>
            </w:r>
          </w:p>
        </w:tc>
      </w:tr>
      <w:tr>
        <w:trPr>
          <w:trHeight w:val="220"/>
        </w:trPr>
        <w:tc>
          <w:tcPr>
            <w:tcW w:w="7620" w:type="dxa"/>
            <w:vAlign w:val="bottom"/>
            <w:gridSpan w:val="2"/>
            <w:shd w:val="clear" w:color="auto" w:fill="CCEEFF"/>
          </w:tcPr>
          <w:p>
            <w:pPr>
              <w:spacing w:after="0" w:line="220" w:lineRule="exact"/>
              <w:rPr>
                <w:sz w:val="20"/>
                <w:szCs w:val="20"/>
                <w:color w:val="auto"/>
              </w:rPr>
            </w:pPr>
            <w:r>
              <w:rPr>
                <w:rFonts w:ascii="Times New Roman" w:cs="Times New Roman" w:eastAsia="Times New Roman" w:hAnsi="Times New Roman"/>
                <w:sz w:val="20"/>
                <w:szCs w:val="20"/>
                <w:color w:val="auto"/>
              </w:rPr>
              <w:t>Operating cash flow before changes in working capital</w:t>
            </w:r>
          </w:p>
        </w:tc>
        <w:tc>
          <w:tcPr>
            <w:tcW w:w="920" w:type="dxa"/>
            <w:vAlign w:val="bottom"/>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(19,338)</w:t>
            </w:r>
          </w:p>
        </w:tc>
        <w:tc>
          <w:tcPr>
            <w:tcW w:w="1180" w:type="dxa"/>
            <w:vAlign w:val="bottom"/>
            <w:gridSpan w:val="3"/>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(12,580)</w:t>
            </w:r>
          </w:p>
        </w:tc>
      </w:tr>
      <w:tr>
        <w:trPr>
          <w:trHeight w:val="233"/>
        </w:trPr>
        <w:tc>
          <w:tcPr>
            <w:tcW w:w="76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Increase/Decrease in operating assets and liabilities:</w:t>
            </w: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0"/>
        </w:trPr>
        <w:tc>
          <w:tcPr>
            <w:tcW w:w="7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Decrease (Increase) in trade accounts and notes and other receivables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(567)</w:t>
            </w:r>
          </w:p>
        </w:tc>
        <w:tc>
          <w:tcPr>
            <w:tcW w:w="1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(150)</w:t>
            </w:r>
          </w:p>
        </w:tc>
      </w:tr>
      <w:tr>
        <w:trPr>
          <w:trHeight w:val="230"/>
        </w:trPr>
        <w:tc>
          <w:tcPr>
            <w:tcW w:w="76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Decrease (Increase) in inventories</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6,849</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(4,374)</w:t>
            </w:r>
          </w:p>
        </w:tc>
      </w:tr>
      <w:tr>
        <w:trPr>
          <w:trHeight w:val="230"/>
        </w:trPr>
        <w:tc>
          <w:tcPr>
            <w:tcW w:w="7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Decrease (Increase) in other assets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72</w:t>
            </w:r>
          </w:p>
        </w:tc>
        <w:tc>
          <w:tcPr>
            <w:tcW w:w="1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(620)</w:t>
            </w:r>
          </w:p>
        </w:tc>
      </w:tr>
      <w:tr>
        <w:trPr>
          <w:trHeight w:val="230"/>
        </w:trPr>
        <w:tc>
          <w:tcPr>
            <w:tcW w:w="76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(Decrease) Increase in trade accounts and notes payable</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(2,964)</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1,338</w:t>
            </w:r>
          </w:p>
        </w:tc>
      </w:tr>
      <w:tr>
        <w:trPr>
          <w:trHeight w:val="253"/>
        </w:trPr>
        <w:tc>
          <w:tcPr>
            <w:tcW w:w="7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(Decrease) Increase in accrued expenses, other current liabilities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(462)</w:t>
            </w:r>
          </w:p>
        </w:tc>
        <w:tc>
          <w:tcPr>
            <w:tcW w:w="1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1,683</w:t>
            </w:r>
          </w:p>
        </w:tc>
      </w:tr>
      <w:tr>
        <w:trPr>
          <w:trHeight w:val="200"/>
        </w:trPr>
        <w:tc>
          <w:tcPr>
            <w:tcW w:w="7620" w:type="dxa"/>
            <w:vAlign w:val="bottom"/>
            <w:tcBorders>
              <w:top w:val="single" w:sz="8" w:color="CCEEFF"/>
            </w:tcBorders>
            <w:gridSpan w:val="2"/>
          </w:tcPr>
          <w:p>
            <w:pPr>
              <w:spacing w:after="0" w:line="200" w:lineRule="exact"/>
              <w:rPr>
                <w:sz w:val="20"/>
                <w:szCs w:val="20"/>
                <w:color w:val="auto"/>
              </w:rPr>
            </w:pPr>
            <w:r>
              <w:rPr>
                <w:rFonts w:ascii="Times New Roman" w:cs="Times New Roman" w:eastAsia="Times New Roman" w:hAnsi="Times New Roman"/>
                <w:sz w:val="20"/>
                <w:szCs w:val="20"/>
                <w:color w:val="auto"/>
              </w:rPr>
              <w:t>Net change in operating assets and liabilities</w:t>
            </w:r>
          </w:p>
        </w:tc>
        <w:tc>
          <w:tcPr>
            <w:tcW w:w="920" w:type="dxa"/>
            <w:vAlign w:val="bottom"/>
            <w:tcBorders>
              <w:top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2,929</w:t>
            </w:r>
          </w:p>
        </w:tc>
        <w:tc>
          <w:tcPr>
            <w:tcW w:w="2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940" w:type="dxa"/>
            <w:vAlign w:val="bottom"/>
            <w:tcBorders>
              <w:top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(2,123)</w:t>
            </w:r>
          </w:p>
        </w:tc>
      </w:tr>
      <w:tr>
        <w:trPr>
          <w:trHeight w:val="230"/>
        </w:trPr>
        <w:tc>
          <w:tcPr>
            <w:tcW w:w="7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b w:val="1"/>
                <w:bCs w:val="1"/>
                <w:color w:val="auto"/>
              </w:rPr>
              <w:t>Net cash generated by (used in) operating activities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b w:val="1"/>
                <w:bCs w:val="1"/>
                <w:color w:val="auto"/>
              </w:rPr>
              <w:t>(16,409)</w:t>
            </w:r>
          </w:p>
        </w:tc>
        <w:tc>
          <w:tcPr>
            <w:tcW w:w="1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20"/>
                <w:szCs w:val="20"/>
                <w:b w:val="1"/>
                <w:bCs w:val="1"/>
                <w:color w:val="auto"/>
              </w:rPr>
              <w:t>(14,703)</w:t>
            </w:r>
          </w:p>
        </w:tc>
      </w:tr>
      <w:tr>
        <w:trPr>
          <w:trHeight w:val="233"/>
        </w:trPr>
        <w:tc>
          <w:tcPr>
            <w:tcW w:w="76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Cash flows from investing activities:</w:t>
            </w: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0"/>
        </w:trPr>
        <w:tc>
          <w:tcPr>
            <w:tcW w:w="7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Additions to capitalized assets produced by the Company</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(3,716)</w:t>
            </w:r>
          </w:p>
        </w:tc>
        <w:tc>
          <w:tcPr>
            <w:tcW w:w="1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(2,766)</w:t>
            </w:r>
          </w:p>
        </w:tc>
      </w:tr>
      <w:tr>
        <w:trPr>
          <w:trHeight w:val="230"/>
        </w:trPr>
        <w:tc>
          <w:tcPr>
            <w:tcW w:w="76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Acquisitions of property and equipment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(1,211)</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(1,423)</w:t>
            </w:r>
          </w:p>
        </w:tc>
      </w:tr>
      <w:tr>
        <w:trPr>
          <w:trHeight w:val="230"/>
        </w:trPr>
        <w:tc>
          <w:tcPr>
            <w:tcW w:w="7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Acquisitions of intangible assets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(832)</w:t>
            </w:r>
          </w:p>
        </w:tc>
        <w:tc>
          <w:tcPr>
            <w:tcW w:w="1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(249)</w:t>
            </w:r>
          </w:p>
        </w:tc>
      </w:tr>
      <w:tr>
        <w:trPr>
          <w:trHeight w:val="233"/>
        </w:trPr>
        <w:tc>
          <w:tcPr>
            <w:tcW w:w="76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Decrease (Increase) of other financial assets</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50"/>
        </w:trPr>
        <w:tc>
          <w:tcPr>
            <w:tcW w:w="7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Decrease (Increase) in deposits and guarantees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43</w:t>
            </w:r>
          </w:p>
        </w:tc>
        <w:tc>
          <w:tcPr>
            <w:tcW w:w="1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(21)</w:t>
            </w:r>
          </w:p>
        </w:tc>
      </w:tr>
      <w:tr>
        <w:trPr>
          <w:trHeight w:val="200"/>
        </w:trPr>
        <w:tc>
          <w:tcPr>
            <w:tcW w:w="7620" w:type="dxa"/>
            <w:vAlign w:val="bottom"/>
            <w:tcBorders>
              <w:top w:val="single" w:sz="8" w:color="CCEEFF"/>
            </w:tcBorders>
            <w:gridSpan w:val="2"/>
          </w:tcPr>
          <w:p>
            <w:pPr>
              <w:spacing w:after="0" w:line="200" w:lineRule="exact"/>
              <w:rPr>
                <w:sz w:val="20"/>
                <w:szCs w:val="20"/>
                <w:color w:val="auto"/>
              </w:rPr>
            </w:pPr>
            <w:r>
              <w:rPr>
                <w:rFonts w:ascii="Times New Roman" w:cs="Times New Roman" w:eastAsia="Times New Roman" w:hAnsi="Times New Roman"/>
                <w:sz w:val="20"/>
                <w:szCs w:val="20"/>
                <w:b w:val="1"/>
                <w:bCs w:val="1"/>
                <w:color w:val="auto"/>
              </w:rPr>
              <w:t>Net cash generated by (used in) investing activities</w:t>
            </w:r>
          </w:p>
        </w:tc>
        <w:tc>
          <w:tcPr>
            <w:tcW w:w="920" w:type="dxa"/>
            <w:vAlign w:val="bottom"/>
            <w:tcBorders>
              <w:top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b w:val="1"/>
                <w:bCs w:val="1"/>
                <w:color w:val="auto"/>
              </w:rPr>
              <w:t>(5,715)</w:t>
            </w:r>
          </w:p>
        </w:tc>
        <w:tc>
          <w:tcPr>
            <w:tcW w:w="2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940" w:type="dxa"/>
            <w:vAlign w:val="bottom"/>
            <w:tcBorders>
              <w:top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b w:val="1"/>
                <w:bCs w:val="1"/>
                <w:color w:val="auto"/>
              </w:rPr>
              <w:t>(4,459)</w:t>
            </w:r>
          </w:p>
        </w:tc>
      </w:tr>
      <w:tr>
        <w:trPr>
          <w:trHeight w:val="230"/>
        </w:trPr>
        <w:tc>
          <w:tcPr>
            <w:tcW w:w="7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b w:val="1"/>
                <w:bCs w:val="1"/>
                <w:color w:val="auto"/>
              </w:rPr>
              <w:t>Cash flow from financing activities:</w:t>
            </w:r>
          </w:p>
        </w:tc>
        <w:tc>
          <w:tcPr>
            <w:tcW w:w="9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r>
      <w:tr>
        <w:trPr>
          <w:trHeight w:val="233"/>
        </w:trPr>
        <w:tc>
          <w:tcPr>
            <w:tcW w:w="76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Proceeds from stock-option exercise</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125</w:t>
            </w:r>
          </w:p>
        </w:tc>
      </w:tr>
      <w:tr>
        <w:trPr>
          <w:trHeight w:val="230"/>
        </w:trPr>
        <w:tc>
          <w:tcPr>
            <w:tcW w:w="7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Proceeds from long term borrowings, net of financing costs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12,416</w:t>
            </w:r>
          </w:p>
        </w:tc>
        <w:tc>
          <w:tcPr>
            <w:tcW w:w="1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2,798</w:t>
            </w:r>
          </w:p>
        </w:tc>
      </w:tr>
      <w:tr>
        <w:trPr>
          <w:trHeight w:val="230"/>
        </w:trPr>
        <w:tc>
          <w:tcPr>
            <w:tcW w:w="76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Repayment of long term borrowings</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(2,718)</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(1,677)</w:t>
            </w:r>
          </w:p>
        </w:tc>
      </w:tr>
      <w:tr>
        <w:trPr>
          <w:trHeight w:val="230"/>
        </w:trPr>
        <w:tc>
          <w:tcPr>
            <w:tcW w:w="7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Repayment of obligations under financing leases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(205)</w:t>
            </w:r>
          </w:p>
        </w:tc>
        <w:tc>
          <w:tcPr>
            <w:tcW w:w="1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(251)</w:t>
            </w:r>
          </w:p>
        </w:tc>
      </w:tr>
      <w:tr>
        <w:trPr>
          <w:trHeight w:val="233"/>
        </w:trPr>
        <w:tc>
          <w:tcPr>
            <w:tcW w:w="76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20"/>
                <w:szCs w:val="20"/>
                <w:color w:val="auto"/>
              </w:rPr>
              <w:t>Increase (decrease) in bank overdrafts and short-term borrowings</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(883)</w:t>
            </w:r>
          </w:p>
        </w:tc>
        <w:tc>
          <w:tcPr>
            <w:tcW w:w="240" w:type="dxa"/>
            <w:vAlign w:val="bottom"/>
            <w:tcBorders>
              <w:bottom w:val="single" w:sz="8" w:color="CCEEFF"/>
            </w:tcBorders>
            <w:gridSpan w:val="2"/>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4,022</w:t>
            </w:r>
          </w:p>
        </w:tc>
      </w:tr>
      <w:tr>
        <w:trPr>
          <w:trHeight w:val="220"/>
        </w:trPr>
        <w:tc>
          <w:tcPr>
            <w:tcW w:w="7620" w:type="dxa"/>
            <w:vAlign w:val="bottom"/>
            <w:gridSpan w:val="2"/>
            <w:shd w:val="clear" w:color="auto" w:fill="CCEEFF"/>
          </w:tcPr>
          <w:p>
            <w:pPr>
              <w:spacing w:after="0" w:line="220" w:lineRule="exact"/>
              <w:rPr>
                <w:sz w:val="20"/>
                <w:szCs w:val="20"/>
                <w:color w:val="auto"/>
              </w:rPr>
            </w:pPr>
            <w:r>
              <w:rPr>
                <w:rFonts w:ascii="Times New Roman" w:cs="Times New Roman" w:eastAsia="Times New Roman" w:hAnsi="Times New Roman"/>
                <w:sz w:val="20"/>
                <w:szCs w:val="20"/>
                <w:b w:val="1"/>
                <w:bCs w:val="1"/>
                <w:color w:val="auto"/>
              </w:rPr>
              <w:t>Net cash generated by (used in) financing activities</w:t>
            </w:r>
          </w:p>
        </w:tc>
        <w:tc>
          <w:tcPr>
            <w:tcW w:w="920" w:type="dxa"/>
            <w:vAlign w:val="bottom"/>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b w:val="1"/>
                <w:bCs w:val="1"/>
                <w:color w:val="auto"/>
              </w:rPr>
              <w:t>8,610</w:t>
            </w:r>
          </w:p>
        </w:tc>
        <w:tc>
          <w:tcPr>
            <w:tcW w:w="1180" w:type="dxa"/>
            <w:vAlign w:val="bottom"/>
            <w:gridSpan w:val="3"/>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b w:val="1"/>
                <w:bCs w:val="1"/>
                <w:color w:val="auto"/>
              </w:rPr>
              <w:t>5,016</w:t>
            </w:r>
          </w:p>
        </w:tc>
      </w:tr>
      <w:tr>
        <w:trPr>
          <w:trHeight w:val="230"/>
        </w:trPr>
        <w:tc>
          <w:tcPr>
            <w:tcW w:w="76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20"/>
                <w:szCs w:val="20"/>
                <w:color w:val="auto"/>
              </w:rPr>
              <w:t>Net effect of exchange rate changes on cash and cash equivalents</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2,972</w:t>
            </w:r>
          </w:p>
        </w:tc>
        <w:tc>
          <w:tcPr>
            <w:tcW w:w="240" w:type="dxa"/>
            <w:vAlign w:val="bottom"/>
            <w:tcBorders>
              <w:bottom w:val="single" w:sz="8" w:color="CCEEFF"/>
            </w:tcBorders>
            <w:gridSpan w:val="2"/>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(2,894)</w:t>
            </w:r>
          </w:p>
        </w:tc>
      </w:tr>
      <w:tr>
        <w:trPr>
          <w:trHeight w:val="222"/>
        </w:trPr>
        <w:tc>
          <w:tcPr>
            <w:tcW w:w="7620" w:type="dxa"/>
            <w:vAlign w:val="bottom"/>
            <w:gridSpan w:val="2"/>
            <w:shd w:val="clear" w:color="auto" w:fill="CCEEFF"/>
          </w:tcPr>
          <w:p>
            <w:pPr>
              <w:spacing w:after="0" w:line="223" w:lineRule="exact"/>
              <w:rPr>
                <w:sz w:val="20"/>
                <w:szCs w:val="20"/>
                <w:color w:val="auto"/>
              </w:rPr>
            </w:pPr>
            <w:r>
              <w:rPr>
                <w:rFonts w:ascii="Times New Roman" w:cs="Times New Roman" w:eastAsia="Times New Roman" w:hAnsi="Times New Roman"/>
                <w:sz w:val="20"/>
                <w:szCs w:val="20"/>
                <w:b w:val="1"/>
                <w:bCs w:val="1"/>
                <w:color w:val="auto"/>
              </w:rPr>
              <w:t>Net increase (decrease) in cash and cash equivalents</w:t>
            </w:r>
          </w:p>
        </w:tc>
        <w:tc>
          <w:tcPr>
            <w:tcW w:w="92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b w:val="1"/>
                <w:bCs w:val="1"/>
                <w:color w:val="auto"/>
              </w:rPr>
              <w:t>(10,543)</w:t>
            </w:r>
          </w:p>
        </w:tc>
        <w:tc>
          <w:tcPr>
            <w:tcW w:w="1180" w:type="dxa"/>
            <w:vAlign w:val="bottom"/>
            <w:gridSpan w:val="3"/>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b w:val="1"/>
                <w:bCs w:val="1"/>
                <w:color w:val="auto"/>
              </w:rPr>
              <w:t>(17,039)</w:t>
            </w:r>
          </w:p>
        </w:tc>
      </w:tr>
      <w:tr>
        <w:trPr>
          <w:trHeight w:val="230"/>
        </w:trPr>
        <w:tc>
          <w:tcPr>
            <w:tcW w:w="76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20"/>
                <w:szCs w:val="20"/>
                <w:color w:val="auto"/>
              </w:rPr>
              <w:t>Cash and cash equivalents at beginning of year</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30,995</w:t>
            </w:r>
          </w:p>
        </w:tc>
        <w:tc>
          <w:tcPr>
            <w:tcW w:w="240" w:type="dxa"/>
            <w:vAlign w:val="bottom"/>
            <w:tcBorders>
              <w:bottom w:val="single" w:sz="8" w:color="CCEEFF"/>
            </w:tcBorders>
            <w:gridSpan w:val="2"/>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48,034</w:t>
            </w:r>
          </w:p>
        </w:tc>
      </w:tr>
      <w:tr>
        <w:trPr>
          <w:trHeight w:val="231"/>
        </w:trPr>
        <w:tc>
          <w:tcPr>
            <w:tcW w:w="7600" w:type="dxa"/>
            <w:vAlign w:val="bottom"/>
            <w:shd w:val="clear" w:color="auto" w:fill="CCEEFF"/>
          </w:tcPr>
          <w:p>
            <w:pPr>
              <w:spacing w:after="0" w:line="220" w:lineRule="exact"/>
              <w:rPr>
                <w:sz w:val="20"/>
                <w:szCs w:val="20"/>
                <w:color w:val="auto"/>
              </w:rPr>
            </w:pPr>
            <w:r>
              <w:rPr>
                <w:rFonts w:ascii="Times New Roman" w:cs="Times New Roman" w:eastAsia="Times New Roman" w:hAnsi="Times New Roman"/>
                <w:sz w:val="20"/>
                <w:szCs w:val="20"/>
                <w:b w:val="1"/>
                <w:bCs w:val="1"/>
                <w:color w:val="auto"/>
              </w:rPr>
              <w:t>Cash and cash equivalents at end of year</w:t>
            </w:r>
          </w:p>
        </w:tc>
        <w:tc>
          <w:tcPr>
            <w:tcW w:w="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line="221" w:lineRule="exact"/>
              <w:rPr>
                <w:sz w:val="20"/>
                <w:szCs w:val="20"/>
                <w:color w:val="auto"/>
              </w:rPr>
            </w:pPr>
            <w:r>
              <w:rPr>
                <w:rFonts w:ascii="Times New Roman" w:cs="Times New Roman" w:eastAsia="Times New Roman" w:hAnsi="Times New Roman"/>
                <w:sz w:val="20"/>
                <w:szCs w:val="20"/>
                <w:b w:val="1"/>
                <w:bCs w:val="1"/>
                <w:color w:val="auto"/>
              </w:rPr>
              <w:t>20,452</w:t>
            </w:r>
          </w:p>
        </w:tc>
        <w:tc>
          <w:tcPr>
            <w:tcW w:w="220" w:type="dxa"/>
            <w:vAlign w:val="bottom"/>
            <w:shd w:val="clear" w:color="auto" w:fill="CCEEFF"/>
          </w:tcPr>
          <w:p>
            <w:pPr>
              <w:spacing w:after="0"/>
              <w:rPr>
                <w:sz w:val="20"/>
                <w:szCs w:val="20"/>
                <w:color w:val="auto"/>
              </w:rPr>
            </w:pPr>
          </w:p>
        </w:tc>
        <w:tc>
          <w:tcPr>
            <w:tcW w:w="960" w:type="dxa"/>
            <w:vAlign w:val="bottom"/>
            <w:tcBorders>
              <w:bottom w:val="single" w:sz="8" w:color="auto"/>
            </w:tcBorders>
            <w:gridSpan w:val="2"/>
            <w:shd w:val="clear" w:color="auto" w:fill="CCEEFF"/>
          </w:tcPr>
          <w:p>
            <w:pPr>
              <w:jc w:val="right"/>
              <w:spacing w:after="0" w:line="221" w:lineRule="exact"/>
              <w:rPr>
                <w:sz w:val="20"/>
                <w:szCs w:val="20"/>
                <w:color w:val="auto"/>
              </w:rPr>
            </w:pPr>
            <w:r>
              <w:rPr>
                <w:rFonts w:ascii="Times New Roman" w:cs="Times New Roman" w:eastAsia="Times New Roman" w:hAnsi="Times New Roman"/>
                <w:sz w:val="20"/>
                <w:szCs w:val="20"/>
                <w:b w:val="1"/>
                <w:bCs w:val="1"/>
                <w:color w:val="auto"/>
              </w:rPr>
              <w:t>30,995</w:t>
            </w:r>
          </w:p>
        </w:tc>
      </w:tr>
    </w:tbl>
    <w:p>
      <w:pPr>
        <w:spacing w:after="0" w:line="393"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color w:val="auto"/>
        </w:rPr>
        <w:t>The accompanying notes are an integral part of the consolidated financial statements.</w:t>
      </w:r>
    </w:p>
    <w:p>
      <w:pPr>
        <w:sectPr>
          <w:pgSz w:w="12240" w:h="15840" w:orient="portrait"/>
          <w:cols w:equalWidth="0" w:num="1">
            <w:col w:w="9720"/>
          </w:cols>
          <w:pgMar w:left="1260" w:top="1243" w:right="1260" w:bottom="72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F-8</w:t>
      </w:r>
    </w:p>
    <w:p>
      <w:pPr>
        <w:sectPr>
          <w:pgSz w:w="12240" w:h="15840" w:orient="portrait"/>
          <w:cols w:equalWidth="0" w:num="1">
            <w:col w:w="9720"/>
          </w:cols>
          <w:pgMar w:left="1260" w:top="1243" w:right="1260" w:bottom="723" w:gutter="0" w:footer="0" w:header="0"/>
          <w:type w:val="continuous"/>
        </w:sectPr>
      </w:pPr>
    </w:p>
    <w:bookmarkStart w:id="63" w:name="page64"/>
    <w:bookmarkEnd w:id="63"/>
    <w:p>
      <w:pPr>
        <w:ind w:left="3180"/>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795655</wp:posOffset>
            </wp:positionH>
            <wp:positionV relativeFrom="page">
              <wp:posOffset>292735</wp:posOffset>
            </wp:positionV>
            <wp:extent cx="929005" cy="1149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2">
                      <a:extLst>
                        <a:ext uri="{28A0092B-C50C-407E-A947-70E740481C1C}"/>
                      </a:extLst>
                    </a:blip>
                    <a:srcRect/>
                    <a:stretch>
                      <a:fillRect/>
                    </a:stretch>
                  </pic:blipFill>
                  <pic:spPr bwMode="auto">
                    <a:xfrm>
                      <a:off x="0" y="0"/>
                      <a:ext cx="929005" cy="114935"/>
                    </a:xfrm>
                    <a:prstGeom prst="rect">
                      <a:avLst/>
                    </a:prstGeom>
                    <a:noFill/>
                  </pic:spPr>
                </pic:pic>
              </a:graphicData>
            </a:graphic>
          </wp:anchor>
        </w:drawing>
        <w:t>EDAP TMS S.A. AND SUBSIDIARIES</w:t>
      </w:r>
    </w:p>
    <w:p>
      <w:pPr>
        <w:ind w:left="2760"/>
        <w:spacing w:after="0"/>
        <w:rPr>
          <w:sz w:val="20"/>
          <w:szCs w:val="20"/>
          <w:color w:val="auto"/>
        </w:rPr>
      </w:pPr>
      <w:r>
        <w:rPr>
          <w:rFonts w:ascii="Times New Roman" w:cs="Times New Roman" w:eastAsia="Times New Roman" w:hAnsi="Times New Roman"/>
          <w:sz w:val="20"/>
          <w:szCs w:val="20"/>
          <w:b w:val="1"/>
          <w:bCs w:val="1"/>
          <w:color w:val="auto"/>
        </w:rPr>
        <w:t>CONSOLIDATED FINANCIAL STATEMENTS</w:t>
      </w:r>
    </w:p>
    <w:p>
      <w:pPr>
        <w:ind w:left="1500"/>
        <w:spacing w:after="0"/>
        <w:rPr>
          <w:sz w:val="20"/>
          <w:szCs w:val="20"/>
          <w:color w:val="auto"/>
        </w:rPr>
      </w:pPr>
      <w:r>
        <w:rPr>
          <w:rFonts w:ascii="Times New Roman" w:cs="Times New Roman" w:eastAsia="Times New Roman" w:hAnsi="Times New Roman"/>
          <w:sz w:val="20"/>
          <w:szCs w:val="20"/>
          <w:b w:val="1"/>
          <w:bCs w:val="1"/>
          <w:color w:val="auto"/>
        </w:rPr>
        <w:t>(In thousands of U.S. dollars unless otherwise noted, except per share data)</w:t>
      </w:r>
    </w:p>
    <w:p>
      <w:pPr>
        <w:spacing w:after="0" w:line="200" w:lineRule="exact"/>
        <w:rPr>
          <w:sz w:val="20"/>
          <w:szCs w:val="20"/>
          <w:color w:val="auto"/>
        </w:rPr>
      </w:pPr>
    </w:p>
    <w:p>
      <w:pPr>
        <w:spacing w:after="0" w:line="400" w:lineRule="exact"/>
        <w:rPr>
          <w:sz w:val="20"/>
          <w:szCs w:val="20"/>
          <w:color w:val="auto"/>
        </w:rPr>
      </w:pPr>
    </w:p>
    <w:p>
      <w:pPr>
        <w:ind w:left="360" w:right="3800" w:hanging="353"/>
        <w:spacing w:after="0" w:line="450" w:lineRule="auto"/>
        <w:tabs>
          <w:tab w:leader="none" w:pos="350" w:val="left"/>
        </w:tabs>
        <w:numPr>
          <w:ilvl w:val="0"/>
          <w:numId w:val="3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SUMMARY OF SIGNIFICANT ACCOUNTING POLICIES </w:t>
      </w:r>
      <w:r>
        <w:rPr>
          <w:rFonts w:ascii="Times New Roman" w:cs="Times New Roman" w:eastAsia="Times New Roman" w:hAnsi="Times New Roman"/>
          <w:sz w:val="20"/>
          <w:szCs w:val="20"/>
          <w:b w:val="1"/>
          <w:bCs w:val="1"/>
          <w:i w:val="1"/>
          <w:iCs w:val="1"/>
          <w:color w:val="auto"/>
        </w:rPr>
        <w:t>1-1 Nature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64135</wp:posOffset>
            </wp:positionH>
            <wp:positionV relativeFrom="paragraph">
              <wp:posOffset>-450215</wp:posOffset>
            </wp:positionV>
            <wp:extent cx="135890" cy="152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3">
                      <a:extLst>
                        <a:ext uri="{28A0092B-C50C-407E-A947-70E740481C1C}"/>
                      </a:extLst>
                    </a:blip>
                    <a:srcRect/>
                    <a:stretch>
                      <a:fillRect/>
                    </a:stretch>
                  </pic:blipFill>
                  <pic:spPr bwMode="auto">
                    <a:xfrm>
                      <a:off x="0" y="0"/>
                      <a:ext cx="135890" cy="15240"/>
                    </a:xfrm>
                    <a:prstGeom prst="rect">
                      <a:avLst/>
                    </a:prstGeom>
                    <a:noFill/>
                  </pic:spPr>
                </pic:pic>
              </a:graphicData>
            </a:graphic>
          </wp:anchor>
        </w:drawing>
      </w:r>
    </w:p>
    <w:p>
      <w:pPr>
        <w:jc w:val="both"/>
        <w:ind w:firstLine="708"/>
        <w:spacing w:after="0" w:line="258" w:lineRule="auto"/>
        <w:rPr>
          <w:sz w:val="20"/>
          <w:szCs w:val="20"/>
          <w:color w:val="auto"/>
        </w:rPr>
      </w:pPr>
      <w:r>
        <w:rPr>
          <w:rFonts w:ascii="Times New Roman" w:cs="Times New Roman" w:eastAsia="Times New Roman" w:hAnsi="Times New Roman"/>
          <w:sz w:val="19"/>
          <w:szCs w:val="19"/>
          <w:color w:val="auto"/>
        </w:rPr>
        <w:t xml:space="preserve">EDAP TMS S.A. and its subsidiaries (‘‘the Company’’) are engaged in the development, manufacturing, promotion and distribution of advanced non-invasive ultrasound technologies for both diagnosis and treatment various diseases. The Company’s technologies are primarily used in urology, with a current focus on the treatment of prostate cancer. The Company is conducting clinical development activities to support potential expanded indications in urology and women’s health. The Company realigned its business to focus exclusively on applications leveraging our proprietary High Intensity Focused Ultrasound ("HIFU") technology, driven commercially by its flagship product, Focal One® Robotic HIFU. This realignment is intended to position Focal One HIFU as a differentiated, higher-margin growth platform with a leadership role in the focal therapy market and the potential to expand into clinical indications beyond prostate cancer treatment. The Company has introduced the Focal One system around the world and the latest generation of Focal One platform, the “ </w:t>
      </w:r>
      <w:r>
        <w:rPr>
          <w:rFonts w:ascii="Times New Roman" w:cs="Times New Roman" w:eastAsia="Times New Roman" w:hAnsi="Times New Roman"/>
          <w:sz w:val="19"/>
          <w:szCs w:val="19"/>
          <w:b w:val="1"/>
          <w:bCs w:val="1"/>
          <w:color w:val="auto"/>
        </w:rPr>
        <w:t>Focal One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i</w:t>
      </w:r>
      <w:r>
        <w:rPr>
          <w:rFonts w:ascii="Times New Roman" w:cs="Times New Roman" w:eastAsia="Times New Roman" w:hAnsi="Times New Roman"/>
          <w:sz w:val="19"/>
          <w:szCs w:val="19"/>
          <w:color w:val="auto"/>
        </w:rPr>
        <w:t>”, launched in the second quarter of 2025, and is now commercially available in the United States, Europe and other select international markets.</w:t>
      </w:r>
    </w:p>
    <w:p>
      <w:pPr>
        <w:spacing w:after="0" w:line="177" w:lineRule="exact"/>
        <w:rPr>
          <w:sz w:val="20"/>
          <w:szCs w:val="20"/>
          <w:color w:val="auto"/>
        </w:rPr>
      </w:pPr>
    </w:p>
    <w:p>
      <w:pPr>
        <w:jc w:val="both"/>
        <w:ind w:firstLine="708"/>
        <w:spacing w:after="0" w:line="252" w:lineRule="auto"/>
        <w:rPr>
          <w:sz w:val="20"/>
          <w:szCs w:val="20"/>
          <w:color w:val="auto"/>
        </w:rPr>
      </w:pPr>
      <w:r>
        <w:rPr>
          <w:rFonts w:ascii="Times New Roman" w:cs="Times New Roman" w:eastAsia="Times New Roman" w:hAnsi="Times New Roman"/>
          <w:sz w:val="20"/>
          <w:szCs w:val="20"/>
          <w:color w:val="auto"/>
        </w:rPr>
        <w:t>The Company also markets and supports non-core, legacy urology product lines, including extracorporeal shock wave lithotripsy (“ESWL”) systems and related accessories and services in select markets as well as distribution of third-party products such as lasers and urodynamics systems. These offerings contribute to the Company’s installed base, service revenue, and long-standing relationships with urology customers.</w:t>
      </w:r>
    </w:p>
    <w:p>
      <w:pPr>
        <w:spacing w:after="0" w:line="184"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Net sales consist primarily of direct sales to hospitals and clinics in France and Europe, export sales to third-party distributors and agents, and export sales through subsidiaries based in Germany, the United States and Asia. The Company’s new growth strategy is to develop our core proprietary HIFU activities and place less emphasis on its non-HIFU distribution and ESWL business activities.</w:t>
      </w:r>
    </w:p>
    <w:p>
      <w:pPr>
        <w:spacing w:after="0" w:line="153" w:lineRule="exact"/>
        <w:rPr>
          <w:sz w:val="20"/>
          <w:szCs w:val="20"/>
          <w:color w:val="auto"/>
        </w:rPr>
      </w:pPr>
    </w:p>
    <w:p>
      <w:pPr>
        <w:jc w:val="both"/>
        <w:ind w:firstLine="720"/>
        <w:spacing w:after="0" w:line="250" w:lineRule="auto"/>
        <w:rPr>
          <w:sz w:val="20"/>
          <w:szCs w:val="20"/>
          <w:color w:val="auto"/>
        </w:rPr>
      </w:pPr>
      <w:r>
        <w:rPr>
          <w:rFonts w:ascii="Times New Roman" w:cs="Times New Roman" w:eastAsia="Times New Roman" w:hAnsi="Times New Roman"/>
          <w:sz w:val="20"/>
          <w:szCs w:val="20"/>
          <w:color w:val="auto"/>
        </w:rPr>
        <w:t>The Company purchases the majority of the components used in its products from a number of suppliers but for some components, relies on a single source. Delay would be caused if the supply of these components or other components was interrupted and these delays could be extended in certain situations where a component substitution may require regulatory approval. Failure to obtain adequate supplies of these components in a timely manner could have a material adverse effect on the Company’s business, financial position and results of operations.</w:t>
      </w:r>
    </w:p>
    <w:p>
      <w:pPr>
        <w:spacing w:after="0" w:line="155" w:lineRule="exact"/>
        <w:rPr>
          <w:sz w:val="20"/>
          <w:szCs w:val="20"/>
          <w:color w:val="auto"/>
        </w:rPr>
      </w:pPr>
    </w:p>
    <w:p>
      <w:pPr>
        <w:ind w:left="360"/>
        <w:spacing w:after="0"/>
        <w:tabs>
          <w:tab w:leader="none" w:pos="860" w:val="left"/>
        </w:tabs>
        <w:rPr>
          <w:sz w:val="20"/>
          <w:szCs w:val="20"/>
          <w:color w:val="auto"/>
        </w:rPr>
      </w:pPr>
      <w:r>
        <w:rPr>
          <w:rFonts w:ascii="Times New Roman" w:cs="Times New Roman" w:eastAsia="Times New Roman" w:hAnsi="Times New Roman"/>
          <w:sz w:val="20"/>
          <w:szCs w:val="20"/>
          <w:b w:val="1"/>
          <w:bCs w:val="1"/>
          <w:i w:val="1"/>
          <w:iCs w:val="1"/>
          <w:color w:val="auto"/>
        </w:rPr>
        <w:t>1-2</w:t>
      </w:r>
      <w:r>
        <w:rPr>
          <w:sz w:val="20"/>
          <w:szCs w:val="20"/>
          <w:color w:val="auto"/>
        </w:rPr>
        <w:tab/>
      </w:r>
      <w:r>
        <w:rPr>
          <w:rFonts w:ascii="Times New Roman" w:cs="Times New Roman" w:eastAsia="Times New Roman" w:hAnsi="Times New Roman"/>
          <w:sz w:val="19"/>
          <w:szCs w:val="19"/>
          <w:b w:val="1"/>
          <w:bCs w:val="1"/>
          <w:i w:val="1"/>
          <w:iCs w:val="1"/>
          <w:color w:val="auto"/>
        </w:rPr>
        <w:t>Basis of preparation and financial condition</w:t>
      </w:r>
    </w:p>
    <w:p>
      <w:pPr>
        <w:spacing w:after="0" w:line="198" w:lineRule="exact"/>
        <w:rPr>
          <w:sz w:val="20"/>
          <w:szCs w:val="20"/>
          <w:color w:val="auto"/>
        </w:rPr>
      </w:pPr>
    </w:p>
    <w:p>
      <w:pPr>
        <w:ind w:firstLine="720"/>
        <w:spacing w:after="0" w:line="253" w:lineRule="auto"/>
        <w:rPr>
          <w:sz w:val="20"/>
          <w:szCs w:val="20"/>
          <w:color w:val="auto"/>
        </w:rPr>
      </w:pPr>
      <w:r>
        <w:rPr>
          <w:rFonts w:ascii="Times New Roman" w:cs="Times New Roman" w:eastAsia="Times New Roman" w:hAnsi="Times New Roman"/>
          <w:sz w:val="20"/>
          <w:szCs w:val="20"/>
          <w:color w:val="auto"/>
        </w:rPr>
        <w:t>Effective January 1, 2026, the Company no longer qualified as a “Foreign Private Issuer” as defined in Rule 3b-4 under the Securities Exchange Act of 1934, as amended (the “Exchange Act”). Consequently, the Company became a U.S. domestic issuer on that date. The company also qualifies as smaller reporting company (“SRC”) as defined under the rules of the U.S. Securities and Exchange Commission (“SEC”).</w:t>
      </w:r>
    </w:p>
    <w:p>
      <w:pPr>
        <w:spacing w:after="0" w:line="180" w:lineRule="exact"/>
        <w:rPr>
          <w:sz w:val="20"/>
          <w:szCs w:val="20"/>
          <w:color w:val="auto"/>
        </w:rPr>
      </w:pPr>
    </w:p>
    <w:p>
      <w:pPr>
        <w:jc w:val="both"/>
        <w:ind w:firstLine="771"/>
        <w:spacing w:after="0" w:line="246" w:lineRule="auto"/>
        <w:rPr>
          <w:sz w:val="20"/>
          <w:szCs w:val="20"/>
          <w:color w:val="auto"/>
        </w:rPr>
      </w:pPr>
      <w:r>
        <w:rPr>
          <w:rFonts w:ascii="Times New Roman" w:cs="Times New Roman" w:eastAsia="Times New Roman" w:hAnsi="Times New Roman"/>
          <w:sz w:val="20"/>
          <w:szCs w:val="20"/>
          <w:color w:val="auto"/>
        </w:rPr>
        <w:t>As a U.S. domestic issuer, the Company is now required to comply with the reporting requirements applicable to U.S. domestic companies, including the filing of Annual Reports on Form 10-K. Accordingly, these consolidated financial statements included in this Item 8 have been prepared in accordance with accounting principles generally accepted in the United States (“U.S. GAAP”) and are presented in U.S. dollar. Previously, as a foreign private issuer, the Company filed its annual reports on Form 20 -F and reported its financial results in Euros. All prior period financial information presented herein has been recast to conform the presentation requirements of a U.S. domestic issuer.</w:t>
      </w:r>
    </w:p>
    <w:p>
      <w:pPr>
        <w:spacing w:after="0" w:line="160" w:lineRule="exact"/>
        <w:rPr>
          <w:sz w:val="20"/>
          <w:szCs w:val="20"/>
          <w:color w:val="auto"/>
        </w:rPr>
      </w:pPr>
    </w:p>
    <w:p>
      <w:pPr>
        <w:jc w:val="both"/>
        <w:ind w:firstLine="721"/>
        <w:spacing w:after="0" w:line="245" w:lineRule="auto"/>
        <w:rPr>
          <w:sz w:val="20"/>
          <w:szCs w:val="20"/>
          <w:color w:val="auto"/>
        </w:rPr>
      </w:pPr>
      <w:r>
        <w:rPr>
          <w:rFonts w:ascii="Times New Roman" w:cs="Times New Roman" w:eastAsia="Times New Roman" w:hAnsi="Times New Roman"/>
          <w:sz w:val="20"/>
          <w:szCs w:val="20"/>
          <w:color w:val="auto"/>
        </w:rPr>
        <w:t>The Company has a history of operating losses and expect such losses to continue in the foreseeable future. As of December 31, 2025, the Company had $20.5 million in cash and cash equivalents, a decrease of $10.5 million from December 31, 2024. The Company intends to draw Tranche B of its Credit Facility with EIB for €12 million in April 2026 on the basis that the Company believes that it has or is able to satisfy to all condition precedents to draw this second tranche at the date these financial statements are issued (refer to Notes 1-24 and 16-1-1 for further discussion on the Credit Facility and Company’s debt). With these additional proceeds, the Company believes it will have sufficient funds to support its operations for at least a period of twelve months from the date of issue of these consolidated financial statements.</w:t>
      </w:r>
    </w:p>
    <w:p>
      <w:pPr>
        <w:sectPr>
          <w:pgSz w:w="11900" w:h="16838" w:orient="portrait"/>
          <w:cols w:equalWidth="0" w:num="1">
            <w:col w:w="9380"/>
          </w:cols>
          <w:pgMar w:left="1260" w:top="838" w:right="1266" w:bottom="72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F-9</w:t>
      </w:r>
    </w:p>
    <w:p>
      <w:pPr>
        <w:sectPr>
          <w:pgSz w:w="11900" w:h="16838" w:orient="portrait"/>
          <w:cols w:equalWidth="0" w:num="1">
            <w:col w:w="9380"/>
          </w:cols>
          <w:pgMar w:left="1260" w:top="838" w:right="1266" w:bottom="723" w:gutter="0" w:footer="0" w:header="0"/>
          <w:type w:val="continuous"/>
        </w:sectPr>
      </w:pPr>
    </w:p>
    <w:bookmarkStart w:id="64" w:name="page65"/>
    <w:bookmarkEnd w:id="64"/>
    <w:p>
      <w:pPr>
        <w:ind w:left="3180"/>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795655</wp:posOffset>
            </wp:positionH>
            <wp:positionV relativeFrom="page">
              <wp:posOffset>292735</wp:posOffset>
            </wp:positionV>
            <wp:extent cx="929005" cy="1149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74">
                      <a:extLst>
                        <a:ext uri="{28A0092B-C50C-407E-A947-70E740481C1C}"/>
                      </a:extLst>
                    </a:blip>
                    <a:srcRect/>
                    <a:stretch>
                      <a:fillRect/>
                    </a:stretch>
                  </pic:blipFill>
                  <pic:spPr bwMode="auto">
                    <a:xfrm>
                      <a:off x="0" y="0"/>
                      <a:ext cx="929005" cy="114935"/>
                    </a:xfrm>
                    <a:prstGeom prst="rect">
                      <a:avLst/>
                    </a:prstGeom>
                    <a:noFill/>
                  </pic:spPr>
                </pic:pic>
              </a:graphicData>
            </a:graphic>
          </wp:anchor>
        </w:drawing>
        <w:t>EDAP TMS S.A. AND SUBSIDIARIES</w:t>
      </w:r>
    </w:p>
    <w:p>
      <w:pPr>
        <w:ind w:left="2760"/>
        <w:spacing w:after="0"/>
        <w:rPr>
          <w:sz w:val="20"/>
          <w:szCs w:val="20"/>
          <w:color w:val="auto"/>
        </w:rPr>
      </w:pPr>
      <w:r>
        <w:rPr>
          <w:rFonts w:ascii="Times New Roman" w:cs="Times New Roman" w:eastAsia="Times New Roman" w:hAnsi="Times New Roman"/>
          <w:sz w:val="20"/>
          <w:szCs w:val="20"/>
          <w:b w:val="1"/>
          <w:bCs w:val="1"/>
          <w:color w:val="auto"/>
        </w:rPr>
        <w:t>CONSOLIDATED FINANCIAL STATEMENTS</w:t>
      </w:r>
    </w:p>
    <w:p>
      <w:pPr>
        <w:ind w:left="1500"/>
        <w:spacing w:after="0"/>
        <w:rPr>
          <w:sz w:val="20"/>
          <w:szCs w:val="20"/>
          <w:color w:val="auto"/>
        </w:rPr>
      </w:pPr>
      <w:r>
        <w:rPr>
          <w:rFonts w:ascii="Times New Roman" w:cs="Times New Roman" w:eastAsia="Times New Roman" w:hAnsi="Times New Roman"/>
          <w:sz w:val="20"/>
          <w:szCs w:val="20"/>
          <w:b w:val="1"/>
          <w:bCs w:val="1"/>
          <w:color w:val="auto"/>
        </w:rPr>
        <w:t>(In thousands of U.S. dollars unless otherwise noted, except per share data)</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firstLine="720"/>
        <w:spacing w:after="0" w:line="245" w:lineRule="auto"/>
        <w:rPr>
          <w:sz w:val="20"/>
          <w:szCs w:val="20"/>
          <w:color w:val="auto"/>
        </w:rPr>
      </w:pPr>
      <w:r>
        <w:rPr>
          <w:rFonts w:ascii="Times New Roman" w:cs="Times New Roman" w:eastAsia="Times New Roman" w:hAnsi="Times New Roman"/>
          <w:sz w:val="20"/>
          <w:szCs w:val="20"/>
          <w:color w:val="auto"/>
        </w:rPr>
        <w:t>However, the Company will need to raise substantial additional financing in order to meet its cash flow needs in the subsequent period and until it achieves profitability. The Company may not be able to raise additional financing on acceptable terms or at all and this condition may in the future raise uncertainty regarding its ability to continue as a going concern. Management is actively exploring various alternatives, including seeking additional funding through the debt and equity capital markets, cost-cutting measures, and restructuring opportunities, but there is no assurance that these efforts will be successful or sufficient to address these liquidity concerns. If the Company is unable to raise capital when needed on acceptable terms, or at all, the Company may be forced to restructure its business or delay, reduce, or terminate its research and product development programs, future commercialization efforts or other operations</w:t>
      </w:r>
    </w:p>
    <w:p>
      <w:pPr>
        <w:spacing w:after="0" w:line="160" w:lineRule="exact"/>
        <w:rPr>
          <w:sz w:val="20"/>
          <w:szCs w:val="20"/>
          <w:color w:val="auto"/>
        </w:rPr>
      </w:pPr>
    </w:p>
    <w:p>
      <w:pPr>
        <w:ind w:left="360"/>
        <w:spacing w:after="0"/>
        <w:tabs>
          <w:tab w:leader="none" w:pos="860" w:val="left"/>
        </w:tabs>
        <w:rPr>
          <w:sz w:val="20"/>
          <w:szCs w:val="20"/>
          <w:color w:val="auto"/>
        </w:rPr>
      </w:pPr>
      <w:r>
        <w:rPr>
          <w:rFonts w:ascii="Times New Roman" w:cs="Times New Roman" w:eastAsia="Times New Roman" w:hAnsi="Times New Roman"/>
          <w:sz w:val="20"/>
          <w:szCs w:val="20"/>
          <w:b w:val="1"/>
          <w:bCs w:val="1"/>
          <w:i w:val="1"/>
          <w:iCs w:val="1"/>
          <w:color w:val="auto"/>
        </w:rPr>
        <w:t>1-3</w:t>
        <w:tab/>
        <w:t>Management estimates</w:t>
      </w:r>
    </w:p>
    <w:p>
      <w:pPr>
        <w:spacing w:after="0" w:line="198" w:lineRule="exact"/>
        <w:rPr>
          <w:sz w:val="20"/>
          <w:szCs w:val="20"/>
          <w:color w:val="auto"/>
        </w:rPr>
      </w:pPr>
    </w:p>
    <w:p>
      <w:pPr>
        <w:jc w:val="both"/>
        <w:ind w:firstLine="720"/>
        <w:spacing w:after="0" w:line="248" w:lineRule="auto"/>
        <w:rPr>
          <w:sz w:val="20"/>
          <w:szCs w:val="20"/>
          <w:color w:val="auto"/>
        </w:rPr>
      </w:pPr>
      <w:r>
        <w:rPr>
          <w:rFonts w:ascii="Times New Roman" w:cs="Times New Roman" w:eastAsia="Times New Roman" w:hAnsi="Times New Roman"/>
          <w:sz w:val="20"/>
          <w:szCs w:val="20"/>
          <w:color w:val="auto"/>
        </w:rPr>
        <w:t>The preparation of financial statements in conformity with U.S. GAAP requires management to make estimates and assumptions, such as business plans, stock price volatility, duration of standard warranty per market, duration and interest rate of operating leases, price of maintenance contracts used to determine the amount of revenue to be deferred and life duration of our range of products. These estimates and assumptions affect the reported amounts of assets and liabilities and disclosure of contingent assets and liabilities at the date of the financial statements and the reported amounts of revenues and expenses during the reporting period.</w:t>
      </w:r>
    </w:p>
    <w:p>
      <w:pPr>
        <w:spacing w:after="0" w:line="158" w:lineRule="exact"/>
        <w:rPr>
          <w:sz w:val="20"/>
          <w:szCs w:val="20"/>
          <w:color w:val="auto"/>
        </w:rPr>
      </w:pPr>
    </w:p>
    <w:p>
      <w:pPr>
        <w:ind w:left="360"/>
        <w:spacing w:after="0"/>
        <w:tabs>
          <w:tab w:leader="none" w:pos="860" w:val="left"/>
        </w:tabs>
        <w:rPr>
          <w:sz w:val="20"/>
          <w:szCs w:val="20"/>
          <w:color w:val="auto"/>
        </w:rPr>
      </w:pPr>
      <w:r>
        <w:rPr>
          <w:rFonts w:ascii="Times New Roman" w:cs="Times New Roman" w:eastAsia="Times New Roman" w:hAnsi="Times New Roman"/>
          <w:sz w:val="20"/>
          <w:szCs w:val="20"/>
          <w:b w:val="1"/>
          <w:bCs w:val="1"/>
          <w:i w:val="1"/>
          <w:iCs w:val="1"/>
          <w:color w:val="auto"/>
        </w:rPr>
        <w:t>1-4</w:t>
        <w:tab/>
        <w:t>Consolidation</w:t>
      </w:r>
    </w:p>
    <w:p>
      <w:pPr>
        <w:spacing w:after="0" w:line="198" w:lineRule="exact"/>
        <w:rPr>
          <w:sz w:val="20"/>
          <w:szCs w:val="20"/>
          <w:color w:val="auto"/>
        </w:rPr>
      </w:pPr>
    </w:p>
    <w:p>
      <w:pPr>
        <w:jc w:val="both"/>
        <w:ind w:firstLine="720"/>
        <w:spacing w:after="0" w:line="259" w:lineRule="auto"/>
        <w:rPr>
          <w:sz w:val="20"/>
          <w:szCs w:val="20"/>
          <w:color w:val="auto"/>
        </w:rPr>
      </w:pPr>
      <w:r>
        <w:rPr>
          <w:rFonts w:ascii="Times New Roman" w:cs="Times New Roman" w:eastAsia="Times New Roman" w:hAnsi="Times New Roman"/>
          <w:sz w:val="20"/>
          <w:szCs w:val="20"/>
          <w:color w:val="auto"/>
        </w:rPr>
        <w:t>The accompanying consolidated financial statements include the accounts of EDAP TMS S.A. and all its domestic and foreign owned subsidiaries after elimination of intercompany balances and transactions. We do not have any significant interests in any variable interest entities.</w:t>
      </w:r>
    </w:p>
    <w:p>
      <w:pPr>
        <w:spacing w:after="0" w:line="148" w:lineRule="exact"/>
        <w:rPr>
          <w:sz w:val="20"/>
          <w:szCs w:val="20"/>
          <w:color w:val="auto"/>
        </w:rPr>
      </w:pPr>
    </w:p>
    <w:p>
      <w:pPr>
        <w:ind w:left="360"/>
        <w:spacing w:after="0"/>
        <w:tabs>
          <w:tab w:leader="none" w:pos="860" w:val="left"/>
        </w:tabs>
        <w:rPr>
          <w:sz w:val="20"/>
          <w:szCs w:val="20"/>
          <w:color w:val="auto"/>
        </w:rPr>
      </w:pPr>
      <w:r>
        <w:rPr>
          <w:rFonts w:ascii="Times New Roman" w:cs="Times New Roman" w:eastAsia="Times New Roman" w:hAnsi="Times New Roman"/>
          <w:sz w:val="20"/>
          <w:szCs w:val="20"/>
          <w:b w:val="1"/>
          <w:bCs w:val="1"/>
          <w:i w:val="1"/>
          <w:iCs w:val="1"/>
          <w:color w:val="auto"/>
        </w:rPr>
        <w:t>1-5</w:t>
      </w:r>
      <w:r>
        <w:rPr>
          <w:sz w:val="20"/>
          <w:szCs w:val="20"/>
          <w:color w:val="auto"/>
        </w:rPr>
        <w:tab/>
      </w:r>
      <w:r>
        <w:rPr>
          <w:rFonts w:ascii="Times New Roman" w:cs="Times New Roman" w:eastAsia="Times New Roman" w:hAnsi="Times New Roman"/>
          <w:sz w:val="19"/>
          <w:szCs w:val="19"/>
          <w:b w:val="1"/>
          <w:bCs w:val="1"/>
          <w:i w:val="1"/>
          <w:iCs w:val="1"/>
          <w:color w:val="auto"/>
        </w:rPr>
        <w:t>Revenue recognition</w:t>
      </w:r>
    </w:p>
    <w:p>
      <w:pPr>
        <w:spacing w:after="0" w:line="19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Company’s revenue consists of:</w:t>
      </w:r>
    </w:p>
    <w:p>
      <w:pPr>
        <w:spacing w:after="0" w:line="200" w:lineRule="exact"/>
        <w:rPr>
          <w:sz w:val="20"/>
          <w:szCs w:val="20"/>
          <w:color w:val="auto"/>
        </w:rPr>
      </w:pPr>
    </w:p>
    <w:p>
      <w:pPr>
        <w:ind w:firstLine="727"/>
        <w:spacing w:after="0" w:line="279" w:lineRule="auto"/>
        <w:tabs>
          <w:tab w:leader="none" w:pos="902"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Sales of goods (devices and consumables), where invoicing generally takes place upon delivery. Consumables revenues included in sales contracts are deferred until delivery.</w:t>
      </w:r>
    </w:p>
    <w:p>
      <w:pPr>
        <w:spacing w:after="0" w:line="125" w:lineRule="exact"/>
        <w:rPr>
          <w:rFonts w:ascii="Times New Roman" w:cs="Times New Roman" w:eastAsia="Times New Roman" w:hAnsi="Times New Roman"/>
          <w:sz w:val="20"/>
          <w:szCs w:val="20"/>
          <w:color w:val="auto"/>
        </w:rPr>
      </w:pPr>
    </w:p>
    <w:p>
      <w:pPr>
        <w:jc w:val="both"/>
        <w:ind w:firstLine="727"/>
        <w:spacing w:after="0" w:line="249" w:lineRule="auto"/>
        <w:tabs>
          <w:tab w:leader="none" w:pos="835"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Revenue-per-Procedures (“RPP”) and leases: they comprise (i) revenues on a per treatment basis which are invoiced after each treatment, or in advance, or on a periodic basis, (ii) leases of devices, which are generally invoiced on a monthly or quarterly basis, and (iii) lease components arising from multiple-element arrangements, where specific sales terms are negotiated in accordance with each customer’s individual requirements and which are generally invoiced based on contract terms,</w:t>
      </w:r>
    </w:p>
    <w:p>
      <w:pPr>
        <w:spacing w:after="0" w:line="156" w:lineRule="exact"/>
        <w:rPr>
          <w:rFonts w:ascii="Times New Roman" w:cs="Times New Roman" w:eastAsia="Times New Roman" w:hAnsi="Times New Roman"/>
          <w:sz w:val="20"/>
          <w:szCs w:val="20"/>
          <w:color w:val="auto"/>
        </w:rPr>
      </w:pPr>
    </w:p>
    <w:p>
      <w:pPr>
        <w:jc w:val="both"/>
        <w:ind w:firstLine="727"/>
        <w:spacing w:after="0" w:line="259" w:lineRule="auto"/>
        <w:tabs>
          <w:tab w:leader="none" w:pos="854"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Sales of spare parts and services (maintenance, upgrades, mobility and others). Spare parts are invoiced when delivered. Regarding services, invoicing is performed either on a subscription basis (in advance or at the end of the period) or when performed.</w:t>
      </w:r>
    </w:p>
    <w:p>
      <w:pPr>
        <w:spacing w:after="0" w:line="146" w:lineRule="exact"/>
        <w:rPr>
          <w:rFonts w:ascii="Times New Roman" w:cs="Times New Roman" w:eastAsia="Times New Roman" w:hAnsi="Times New Roman"/>
          <w:sz w:val="20"/>
          <w:szCs w:val="20"/>
          <w:color w:val="auto"/>
        </w:rPr>
      </w:pPr>
    </w:p>
    <w:p>
      <w:pPr>
        <w:ind w:firstLine="727"/>
        <w:spacing w:after="0" w:line="279" w:lineRule="auto"/>
        <w:tabs>
          <w:tab w:leader="none" w:pos="835"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Sales of our medical devices and sales of disposables, sales of RPPs and leases, and sales of spare parts and services, are all net of third-party distributor and agent commissions.</w:t>
      </w:r>
    </w:p>
    <w:p>
      <w:pPr>
        <w:spacing w:after="0" w:line="125" w:lineRule="exact"/>
        <w:rPr>
          <w:sz w:val="20"/>
          <w:szCs w:val="20"/>
          <w:color w:val="auto"/>
        </w:rPr>
      </w:pPr>
    </w:p>
    <w:p>
      <w:pPr>
        <w:jc w:val="both"/>
        <w:ind w:firstLine="720"/>
        <w:spacing w:after="0" w:line="279" w:lineRule="auto"/>
        <w:rPr>
          <w:sz w:val="20"/>
          <w:szCs w:val="20"/>
          <w:color w:val="auto"/>
        </w:rPr>
      </w:pPr>
      <w:r>
        <w:rPr>
          <w:rFonts w:ascii="Times New Roman" w:cs="Times New Roman" w:eastAsia="Times New Roman" w:hAnsi="Times New Roman"/>
          <w:sz w:val="20"/>
          <w:szCs w:val="20"/>
          <w:color w:val="auto"/>
        </w:rPr>
        <w:t>The Company invoices its customers based on the billing schedules in its sales arrangements. Payments are generally due between one to three months from date of invoice.</w:t>
      </w:r>
    </w:p>
    <w:p>
      <w:pPr>
        <w:spacing w:after="0" w:line="125"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The Company accounts for a contract with a customer when there is a legally enforceable contract between the Company and its customer, the rights of the goods or services and their payment terms can be identified, the contract has commercial substance, collectability of the contract consideration is probable, it is approved and the parties are committed to their obligations.</w:t>
      </w:r>
    </w:p>
    <w:p>
      <w:pPr>
        <w:spacing w:after="0" w:line="151" w:lineRule="exact"/>
        <w:rPr>
          <w:sz w:val="20"/>
          <w:szCs w:val="20"/>
          <w:color w:val="auto"/>
        </w:rPr>
      </w:pPr>
    </w:p>
    <w:p>
      <w:pPr>
        <w:jc w:val="both"/>
        <w:ind w:firstLine="720"/>
        <w:spacing w:after="0" w:line="278" w:lineRule="auto"/>
        <w:rPr>
          <w:sz w:val="20"/>
          <w:szCs w:val="20"/>
          <w:color w:val="auto"/>
        </w:rPr>
      </w:pPr>
      <w:r>
        <w:rPr>
          <w:rFonts w:ascii="Times New Roman" w:cs="Times New Roman" w:eastAsia="Times New Roman" w:hAnsi="Times New Roman"/>
          <w:sz w:val="19"/>
          <w:szCs w:val="19"/>
          <w:color w:val="auto"/>
        </w:rPr>
        <w:t>Our sale arrangements may contain multiple elements, including device(s), consumables and services. For these multiple-element arrangements, the Company accounts for individual goods and services as separate performance obligations: (i) if a customer can benefit from the good or service on its own or with other resources that</w:t>
      </w:r>
    </w:p>
    <w:p>
      <w:pPr>
        <w:sectPr>
          <w:pgSz w:w="11900" w:h="16838" w:orient="portrait"/>
          <w:cols w:equalWidth="0" w:num="1">
            <w:col w:w="9380"/>
          </w:cols>
          <w:pgMar w:left="1260" w:top="838" w:right="1266" w:bottom="72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F-10</w:t>
      </w:r>
    </w:p>
    <w:p>
      <w:pPr>
        <w:sectPr>
          <w:pgSz w:w="11900" w:h="16838" w:orient="portrait"/>
          <w:cols w:equalWidth="0" w:num="1">
            <w:col w:w="9380"/>
          </w:cols>
          <w:pgMar w:left="1260" w:top="838" w:right="1266" w:bottom="723" w:gutter="0" w:footer="0" w:header="0"/>
          <w:type w:val="continuous"/>
        </w:sectPr>
      </w:pPr>
    </w:p>
    <w:bookmarkStart w:id="65" w:name="page66"/>
    <w:bookmarkEnd w:id="65"/>
    <w:p>
      <w:pPr>
        <w:ind w:left="3180"/>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795655</wp:posOffset>
            </wp:positionH>
            <wp:positionV relativeFrom="page">
              <wp:posOffset>292735</wp:posOffset>
            </wp:positionV>
            <wp:extent cx="929005" cy="1149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75">
                      <a:extLst>
                        <a:ext uri="{28A0092B-C50C-407E-A947-70E740481C1C}"/>
                      </a:extLst>
                    </a:blip>
                    <a:srcRect/>
                    <a:stretch>
                      <a:fillRect/>
                    </a:stretch>
                  </pic:blipFill>
                  <pic:spPr bwMode="auto">
                    <a:xfrm>
                      <a:off x="0" y="0"/>
                      <a:ext cx="929005" cy="114935"/>
                    </a:xfrm>
                    <a:prstGeom prst="rect">
                      <a:avLst/>
                    </a:prstGeom>
                    <a:noFill/>
                  </pic:spPr>
                </pic:pic>
              </a:graphicData>
            </a:graphic>
          </wp:anchor>
        </w:drawing>
        <w:t>EDAP TMS S.A. AND SUBSIDIARIES</w:t>
      </w:r>
    </w:p>
    <w:p>
      <w:pPr>
        <w:ind w:left="2760"/>
        <w:spacing w:after="0"/>
        <w:rPr>
          <w:sz w:val="20"/>
          <w:szCs w:val="20"/>
          <w:color w:val="auto"/>
        </w:rPr>
      </w:pPr>
      <w:r>
        <w:rPr>
          <w:rFonts w:ascii="Times New Roman" w:cs="Times New Roman" w:eastAsia="Times New Roman" w:hAnsi="Times New Roman"/>
          <w:sz w:val="20"/>
          <w:szCs w:val="20"/>
          <w:b w:val="1"/>
          <w:bCs w:val="1"/>
          <w:color w:val="auto"/>
        </w:rPr>
        <w:t>CONSOLIDATED FINANCIAL STATEMENTS</w:t>
      </w:r>
    </w:p>
    <w:p>
      <w:pPr>
        <w:ind w:left="1500"/>
        <w:spacing w:after="0"/>
        <w:rPr>
          <w:sz w:val="20"/>
          <w:szCs w:val="20"/>
          <w:color w:val="auto"/>
        </w:rPr>
      </w:pPr>
      <w:r>
        <w:rPr>
          <w:rFonts w:ascii="Times New Roman" w:cs="Times New Roman" w:eastAsia="Times New Roman" w:hAnsi="Times New Roman"/>
          <w:sz w:val="20"/>
          <w:szCs w:val="20"/>
          <w:b w:val="1"/>
          <w:bCs w:val="1"/>
          <w:color w:val="auto"/>
        </w:rPr>
        <w:t>(In thousands of U.S. dollars unless otherwise noted, except per share data)</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are readily available to the customer, and (ii) if they are a distinct good or service that is separately identifiable from other items in the multiple-element arrangement. The Company’s sale arrangements may include a combination of the following performance obligations: device(s), consumables, leases and services (such as, but not limited to, warranty extension).</w:t>
      </w:r>
    </w:p>
    <w:p>
      <w:pPr>
        <w:spacing w:after="0" w:line="151" w:lineRule="exact"/>
        <w:rPr>
          <w:sz w:val="20"/>
          <w:szCs w:val="20"/>
          <w:color w:val="auto"/>
        </w:rPr>
      </w:pPr>
    </w:p>
    <w:p>
      <w:pPr>
        <w:jc w:val="both"/>
        <w:ind w:firstLine="720"/>
        <w:spacing w:after="0" w:line="247" w:lineRule="auto"/>
        <w:rPr>
          <w:sz w:val="20"/>
          <w:szCs w:val="20"/>
          <w:color w:val="auto"/>
        </w:rPr>
      </w:pPr>
      <w:r>
        <w:rPr>
          <w:rFonts w:ascii="Times New Roman" w:cs="Times New Roman" w:eastAsia="Times New Roman" w:hAnsi="Times New Roman"/>
          <w:sz w:val="20"/>
          <w:szCs w:val="20"/>
          <w:color w:val="auto"/>
        </w:rPr>
        <w:t>For multiple-element arrangements, revenue is allocated to each performance obligation based on its relative standalone selling price. Standalone selling prices are based on observable prices at which the Company separately sells the goods or services. If a standalone selling price is not directly observable, then the Company estimates the standalone selling price considering market conditions and entity -specific factors including, but not limited to, features and functionality of the goods and services, geographies, and type of customer. The Company regularly reviews standalone selling prices and updates these estimates as necessary.</w:t>
      </w:r>
    </w:p>
    <w:p>
      <w:pPr>
        <w:spacing w:after="0" w:line="160" w:lineRule="exact"/>
        <w:rPr>
          <w:sz w:val="20"/>
          <w:szCs w:val="20"/>
          <w:color w:val="auto"/>
        </w:rPr>
      </w:pPr>
    </w:p>
    <w:p>
      <w:pPr>
        <w:jc w:val="both"/>
        <w:ind w:firstLine="720"/>
        <w:spacing w:after="0" w:line="279" w:lineRule="auto"/>
        <w:rPr>
          <w:sz w:val="20"/>
          <w:szCs w:val="20"/>
          <w:color w:val="auto"/>
        </w:rPr>
      </w:pPr>
      <w:r>
        <w:rPr>
          <w:rFonts w:ascii="Times New Roman" w:cs="Times New Roman" w:eastAsia="Times New Roman" w:hAnsi="Times New Roman"/>
          <w:sz w:val="20"/>
          <w:szCs w:val="20"/>
          <w:color w:val="auto"/>
        </w:rPr>
        <w:t>The Company recognizes revenue when the performance obligations are satisfied by transferring control over the goods or service to a customer.</w:t>
      </w:r>
    </w:p>
    <w:p>
      <w:pPr>
        <w:spacing w:after="0" w:line="12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Company’s revenue consists of the following:</w:t>
      </w:r>
    </w:p>
    <w:p>
      <w:pPr>
        <w:spacing w:after="0" w:line="19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color w:val="auto"/>
        </w:rPr>
        <w:t>Sales of goods:</w:t>
      </w:r>
    </w:p>
    <w:p>
      <w:pPr>
        <w:spacing w:after="0" w:line="203"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Sales of goods are and have historically been comprised of sales net of commission of medical devices (ESWL lithotripters and HIFU devices) and net sales of disposables (mostly Focalpaks in the HIFU division and electrodes in the ESWL division). Sales of goods also include products such as urology lasers and urodynamics devices distributed through our agents and third-party distributors.</w:t>
      </w:r>
    </w:p>
    <w:p>
      <w:pPr>
        <w:spacing w:after="0" w:line="153" w:lineRule="exact"/>
        <w:rPr>
          <w:sz w:val="20"/>
          <w:szCs w:val="20"/>
          <w:color w:val="auto"/>
        </w:rPr>
      </w:pPr>
    </w:p>
    <w:p>
      <w:pPr>
        <w:jc w:val="both"/>
        <w:ind w:firstLine="720"/>
        <w:spacing w:after="0" w:line="248" w:lineRule="auto"/>
        <w:rPr>
          <w:sz w:val="20"/>
          <w:szCs w:val="20"/>
          <w:color w:val="auto"/>
        </w:rPr>
      </w:pPr>
      <w:r>
        <w:rPr>
          <w:rFonts w:ascii="Times New Roman" w:cs="Times New Roman" w:eastAsia="Times New Roman" w:hAnsi="Times New Roman"/>
          <w:sz w:val="20"/>
          <w:szCs w:val="20"/>
          <w:color w:val="auto"/>
        </w:rPr>
        <w:t>For devices and disposables, revenue is recognized when the Company transfers control to the customer (i.e. when the customer has the ability to direct the use of, and obtain substantially all of the remaining benefit from, the device or disposables), which is generally at the point of delivery, depending on the terms of the arrangement (i.e. when the customer can use the goods to provide services or sell or exchange the good), and based on contractual incoterms. Installation-related costs are immaterial in the context of the contract with the customer and do not constitute a distinct performance obligation.</w:t>
      </w:r>
    </w:p>
    <w:p>
      <w:pPr>
        <w:spacing w:after="0" w:line="156" w:lineRule="exact"/>
        <w:rPr>
          <w:sz w:val="20"/>
          <w:szCs w:val="20"/>
          <w:color w:val="auto"/>
        </w:rPr>
      </w:pPr>
    </w:p>
    <w:p>
      <w:pPr>
        <w:jc w:val="both"/>
        <w:ind w:firstLine="720"/>
        <w:spacing w:after="0" w:line="265" w:lineRule="auto"/>
        <w:rPr>
          <w:sz w:val="20"/>
          <w:szCs w:val="20"/>
          <w:color w:val="auto"/>
        </w:rPr>
      </w:pPr>
      <w:r>
        <w:rPr>
          <w:rFonts w:ascii="Times New Roman" w:cs="Times New Roman" w:eastAsia="Times New Roman" w:hAnsi="Times New Roman"/>
          <w:sz w:val="19"/>
          <w:szCs w:val="19"/>
          <w:color w:val="auto"/>
        </w:rPr>
        <w:t>The Company’s sales arrangements do not provide a right of return. The goods are generally covered by a period of one to two years standard warranty upon installation depending on the geographic area. Over this standard one to two-year period, it is considered as an extension of such warranty period and constitutes a distinct performance obligation. The Company also provides training associated with the sales of goods; such training-related costs are immaterial in the context of the contract with the customer and do not constitute a distinct performance obligation.</w:t>
      </w:r>
    </w:p>
    <w:p>
      <w:pPr>
        <w:spacing w:after="0" w:line="14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color w:val="auto"/>
        </w:rPr>
        <w:t>Sales of RPPs and leases:</w:t>
      </w:r>
    </w:p>
    <w:p>
      <w:pPr>
        <w:spacing w:after="0" w:line="203"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Sales of RPP and leases include the revenues from the sale of treatment procedures and from the leasing of machines. For RPP, we provide machines to clinics and hospitals at no cost for a limited period, rather than selling the devices. These hospitals and clinics perform treatments using the devices and usually pay us based on the number of individual treatments provided.</w:t>
      </w:r>
    </w:p>
    <w:p>
      <w:pPr>
        <w:spacing w:after="0" w:line="151" w:lineRule="exact"/>
        <w:rPr>
          <w:sz w:val="20"/>
          <w:szCs w:val="20"/>
          <w:color w:val="auto"/>
        </w:rPr>
      </w:pPr>
    </w:p>
    <w:p>
      <w:pPr>
        <w:jc w:val="both"/>
        <w:ind w:firstLine="720"/>
        <w:spacing w:after="0" w:line="259" w:lineRule="auto"/>
        <w:rPr>
          <w:sz w:val="20"/>
          <w:szCs w:val="20"/>
          <w:color w:val="auto"/>
        </w:rPr>
      </w:pPr>
      <w:r>
        <w:rPr>
          <w:rFonts w:ascii="Times New Roman" w:cs="Times New Roman" w:eastAsia="Times New Roman" w:hAnsi="Times New Roman"/>
          <w:sz w:val="20"/>
          <w:szCs w:val="20"/>
          <w:color w:val="auto"/>
        </w:rPr>
        <w:t>Revenues related to the sale of treatments invoiced on a RPP basis are recognized when the treatment procedure has been completed. Revenues from devices leased to customers under operating leases are recognized on a straight-line basis.</w:t>
      </w:r>
    </w:p>
    <w:p>
      <w:pPr>
        <w:spacing w:after="0" w:line="146"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Regarding multiple -element arrangements with a lease component, a portion of the contract is allocated to the lease component on the basis of observable market prices applied by the Company for similar devices under operating leases. The lease component is recognized on a straight line basis over the contractual period. Other immaterial components under the contract are recognized in accordance with their nature.</w:t>
      </w:r>
    </w:p>
    <w:p>
      <w:pPr>
        <w:sectPr>
          <w:pgSz w:w="11900" w:h="16838" w:orient="portrait"/>
          <w:cols w:equalWidth="0" w:num="1">
            <w:col w:w="9380"/>
          </w:cols>
          <w:pgMar w:left="1260" w:top="838" w:right="1266" w:bottom="72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F-11</w:t>
      </w:r>
    </w:p>
    <w:p>
      <w:pPr>
        <w:sectPr>
          <w:pgSz w:w="11900" w:h="16838" w:orient="portrait"/>
          <w:cols w:equalWidth="0" w:num="1">
            <w:col w:w="9380"/>
          </w:cols>
          <w:pgMar w:left="1260" w:top="838" w:right="1266" w:bottom="723" w:gutter="0" w:footer="0" w:header="0"/>
          <w:type w:val="continuous"/>
        </w:sectPr>
      </w:pPr>
    </w:p>
    <w:bookmarkStart w:id="66" w:name="page67"/>
    <w:bookmarkEnd w:id="66"/>
    <w:p>
      <w:pPr>
        <w:ind w:left="3180"/>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795655</wp:posOffset>
            </wp:positionH>
            <wp:positionV relativeFrom="page">
              <wp:posOffset>292735</wp:posOffset>
            </wp:positionV>
            <wp:extent cx="929005" cy="1149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76">
                      <a:extLst>
                        <a:ext uri="{28A0092B-C50C-407E-A947-70E740481C1C}"/>
                      </a:extLst>
                    </a:blip>
                    <a:srcRect/>
                    <a:stretch>
                      <a:fillRect/>
                    </a:stretch>
                  </pic:blipFill>
                  <pic:spPr bwMode="auto">
                    <a:xfrm>
                      <a:off x="0" y="0"/>
                      <a:ext cx="929005" cy="114935"/>
                    </a:xfrm>
                    <a:prstGeom prst="rect">
                      <a:avLst/>
                    </a:prstGeom>
                    <a:noFill/>
                  </pic:spPr>
                </pic:pic>
              </a:graphicData>
            </a:graphic>
          </wp:anchor>
        </w:drawing>
        <w:t>EDAP TMS S.A. AND SUBSIDIARIES</w:t>
      </w:r>
    </w:p>
    <w:p>
      <w:pPr>
        <w:ind w:left="2760"/>
        <w:spacing w:after="0"/>
        <w:rPr>
          <w:sz w:val="20"/>
          <w:szCs w:val="20"/>
          <w:color w:val="auto"/>
        </w:rPr>
      </w:pPr>
      <w:r>
        <w:rPr>
          <w:rFonts w:ascii="Times New Roman" w:cs="Times New Roman" w:eastAsia="Times New Roman" w:hAnsi="Times New Roman"/>
          <w:sz w:val="20"/>
          <w:szCs w:val="20"/>
          <w:b w:val="1"/>
          <w:bCs w:val="1"/>
          <w:color w:val="auto"/>
        </w:rPr>
        <w:t>CONSOLIDATED FINANCIAL STATEMENTS</w:t>
      </w:r>
    </w:p>
    <w:p>
      <w:pPr>
        <w:ind w:left="1500"/>
        <w:spacing w:after="0"/>
        <w:rPr>
          <w:sz w:val="20"/>
          <w:szCs w:val="20"/>
          <w:color w:val="auto"/>
        </w:rPr>
      </w:pPr>
      <w:r>
        <w:rPr>
          <w:rFonts w:ascii="Times New Roman" w:cs="Times New Roman" w:eastAsia="Times New Roman" w:hAnsi="Times New Roman"/>
          <w:sz w:val="20"/>
          <w:szCs w:val="20"/>
          <w:b w:val="1"/>
          <w:bCs w:val="1"/>
          <w:color w:val="auto"/>
        </w:rPr>
        <w:t>(In thousands of U.S. dollars unless otherwise noted, except per share data)</w:t>
      </w:r>
    </w:p>
    <w:p>
      <w:pPr>
        <w:spacing w:after="0" w:line="200" w:lineRule="exact"/>
        <w:rPr>
          <w:sz w:val="20"/>
          <w:szCs w:val="20"/>
          <w:color w:val="auto"/>
        </w:rPr>
      </w:pPr>
    </w:p>
    <w:p>
      <w:pPr>
        <w:spacing w:after="0" w:line="40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color w:val="auto"/>
        </w:rPr>
        <w:t>Sales of spare parts and services:</w:t>
      </w:r>
    </w:p>
    <w:p>
      <w:pPr>
        <w:spacing w:after="0" w:line="203"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Revenues related to spare parts are recognized when spare parts are delivered to distributors who perform their own maintenance services. Spare parts used in the performance of the Company’s own maintenance and repair services are generally not recognized separately, unless a type of spare part is specifically excluded from the maintenance contract terms.</w:t>
      </w:r>
    </w:p>
    <w:p>
      <w:pPr>
        <w:spacing w:after="0" w:line="153"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Revenues related to Services mainly consist of maintenance contracts which rarely exceed one year and are recognized on a straight line basis over the term of the service period as the customer benefits from the service equally throughout the service contract period. For services rendered when no maintenance contract is in place or for services not included in the scope of a maintenance contract, revenues are recorded when services are performed.</w:t>
      </w:r>
    </w:p>
    <w:p>
      <w:pPr>
        <w:spacing w:after="0" w:line="151" w:lineRule="exact"/>
        <w:rPr>
          <w:sz w:val="20"/>
          <w:szCs w:val="20"/>
          <w:color w:val="auto"/>
        </w:rPr>
      </w:pPr>
    </w:p>
    <w:p>
      <w:pPr>
        <w:jc w:val="both"/>
        <w:ind w:firstLine="720"/>
        <w:spacing w:after="0" w:line="247" w:lineRule="auto"/>
        <w:rPr>
          <w:sz w:val="20"/>
          <w:szCs w:val="20"/>
          <w:color w:val="auto"/>
        </w:rPr>
      </w:pPr>
      <w:r>
        <w:rPr>
          <w:rFonts w:ascii="Times New Roman" w:cs="Times New Roman" w:eastAsia="Times New Roman" w:hAnsi="Times New Roman"/>
          <w:sz w:val="20"/>
          <w:szCs w:val="20"/>
          <w:color w:val="auto"/>
        </w:rPr>
        <w:t>The Company recognizes revenue for extended warranties included in the multiple-element arrangements as a separate performance obligation in Sales of services on a straight-line basis over the extended warranty period. In the majority of countries in which the Company operates, the statutory warranty period is one to two years and the extended warranty covers periods beyond this statutory period. Standard warranties do not constitute a separate performance obligation. The Company accrues for the warranty costs at the time of sale of the device through the multiple-element arrangement.</w:t>
      </w:r>
    </w:p>
    <w:p>
      <w:pPr>
        <w:spacing w:after="0" w:line="15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color w:val="auto"/>
        </w:rPr>
        <w:t>Distributors:</w:t>
      </w:r>
    </w:p>
    <w:p>
      <w:pPr>
        <w:spacing w:after="0" w:line="203" w:lineRule="exact"/>
        <w:rPr>
          <w:sz w:val="20"/>
          <w:szCs w:val="20"/>
          <w:color w:val="auto"/>
        </w:rPr>
      </w:pPr>
    </w:p>
    <w:p>
      <w:pPr>
        <w:jc w:val="both"/>
        <w:ind w:firstLine="720"/>
        <w:spacing w:after="0" w:line="250" w:lineRule="auto"/>
        <w:rPr>
          <w:sz w:val="20"/>
          <w:szCs w:val="20"/>
          <w:color w:val="auto"/>
        </w:rPr>
      </w:pPr>
      <w:r>
        <w:rPr>
          <w:rFonts w:ascii="Times New Roman" w:cs="Times New Roman" w:eastAsia="Times New Roman" w:hAnsi="Times New Roman"/>
          <w:sz w:val="20"/>
          <w:szCs w:val="20"/>
          <w:color w:val="auto"/>
        </w:rPr>
        <w:t>As part of its sale process in countries other than continental France, when the Company does not have a local subsidiary, sales of goods to end-customers are performed through agents and distributors. Such agents and distributors are primarily responsible for the sales’ process, bear the inventory risk, and are free to determine the sale prices. Sales of goods to agents and distributors are recognized when the control is transferred to the related agent or distributor which generally occurs based on contractual incoterms.</w:t>
      </w:r>
    </w:p>
    <w:p>
      <w:pPr>
        <w:spacing w:after="0" w:line="15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color w:val="auto"/>
        </w:rPr>
        <w:t>Deferred revenue:</w:t>
      </w:r>
    </w:p>
    <w:p>
      <w:pPr>
        <w:spacing w:after="0" w:line="203"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Deferred revenue for the periods presented primarily relates to service contracts where the service fees are billed up- front, generally quarterly or annually, prior to those services having been performed, and consists primarily of billing or cash receipts in advance of services due under maintenance contracts or extended warranty contracts. The associated deferred revenue is generally recognized ratably over the service period.</w:t>
      </w:r>
    </w:p>
    <w:p>
      <w:pPr>
        <w:spacing w:after="0" w:line="14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color w:val="auto"/>
        </w:rPr>
        <w:t>Disaggregation of revenue:</w:t>
      </w:r>
    </w:p>
    <w:p>
      <w:pPr>
        <w:spacing w:after="0" w:line="20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Disaggregation by primary geographical market, and timing of revenue recognition is reported in Note 19.</w:t>
      </w:r>
    </w:p>
    <w:p>
      <w:pPr>
        <w:spacing w:after="0" w:line="19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color w:val="auto"/>
        </w:rPr>
        <w:t>Contract Balances:</w:t>
      </w:r>
    </w:p>
    <w:p>
      <w:pPr>
        <w:spacing w:after="0" w:line="20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Details on contract liabilities are reported on Note 12.</w:t>
      </w:r>
    </w:p>
    <w:p>
      <w:pPr>
        <w:spacing w:after="0" w:line="200" w:lineRule="exact"/>
        <w:rPr>
          <w:sz w:val="20"/>
          <w:szCs w:val="20"/>
          <w:color w:val="auto"/>
        </w:rPr>
      </w:pPr>
    </w:p>
    <w:p>
      <w:pPr>
        <w:jc w:val="both"/>
        <w:ind w:firstLine="720"/>
        <w:spacing w:after="0" w:line="259" w:lineRule="auto"/>
        <w:rPr>
          <w:sz w:val="20"/>
          <w:szCs w:val="20"/>
          <w:color w:val="auto"/>
        </w:rPr>
      </w:pPr>
      <w:r>
        <w:rPr>
          <w:rFonts w:ascii="Times New Roman" w:cs="Times New Roman" w:eastAsia="Times New Roman" w:hAnsi="Times New Roman"/>
          <w:sz w:val="20"/>
          <w:szCs w:val="20"/>
          <w:color w:val="auto"/>
        </w:rPr>
        <w:t>The Company applies the practical expedient in paragraph 606-10-50-14 and does not disclose information about remaining performance obligations that have original expected durations of one year or less. This relates mainly to maintenance services.</w:t>
      </w:r>
    </w:p>
    <w:p>
      <w:pPr>
        <w:spacing w:after="0" w:line="148" w:lineRule="exact"/>
        <w:rPr>
          <w:sz w:val="20"/>
          <w:szCs w:val="20"/>
          <w:color w:val="auto"/>
        </w:rPr>
      </w:pPr>
    </w:p>
    <w:p>
      <w:pPr>
        <w:ind w:left="360"/>
        <w:spacing w:after="0"/>
        <w:tabs>
          <w:tab w:leader="none" w:pos="860" w:val="left"/>
        </w:tabs>
        <w:rPr>
          <w:sz w:val="20"/>
          <w:szCs w:val="20"/>
          <w:color w:val="auto"/>
        </w:rPr>
      </w:pPr>
      <w:r>
        <w:rPr>
          <w:rFonts w:ascii="Times New Roman" w:cs="Times New Roman" w:eastAsia="Times New Roman" w:hAnsi="Times New Roman"/>
          <w:sz w:val="20"/>
          <w:szCs w:val="20"/>
          <w:b w:val="1"/>
          <w:bCs w:val="1"/>
          <w:i w:val="1"/>
          <w:iCs w:val="1"/>
          <w:color w:val="auto"/>
        </w:rPr>
        <w:t>1-6</w:t>
        <w:tab/>
        <w:t>Costs of sales</w:t>
      </w:r>
    </w:p>
    <w:p>
      <w:pPr>
        <w:spacing w:after="0" w:line="198"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Costs of sales include all direct product costs, costs related to shipping, handling, duties and importation fees, as well as certain indirect costs such as service and supply chain departments expenses. Indirect costs are allocated by type of sales (goods, RPP and leases, spare parts and services) using an allocation method determined by management by type of costs and segment activities and reviewed on an annual basis.</w:t>
      </w:r>
    </w:p>
    <w:p>
      <w:pPr>
        <w:spacing w:after="0" w:line="153" w:lineRule="exact"/>
        <w:rPr>
          <w:sz w:val="20"/>
          <w:szCs w:val="20"/>
          <w:color w:val="auto"/>
        </w:rPr>
      </w:pPr>
    </w:p>
    <w:p>
      <w:pPr>
        <w:ind w:left="360"/>
        <w:spacing w:after="0"/>
        <w:tabs>
          <w:tab w:leader="none" w:pos="860" w:val="left"/>
        </w:tabs>
        <w:rPr>
          <w:sz w:val="20"/>
          <w:szCs w:val="20"/>
          <w:color w:val="auto"/>
        </w:rPr>
      </w:pPr>
      <w:r>
        <w:rPr>
          <w:rFonts w:ascii="Times New Roman" w:cs="Times New Roman" w:eastAsia="Times New Roman" w:hAnsi="Times New Roman"/>
          <w:sz w:val="20"/>
          <w:szCs w:val="20"/>
          <w:b w:val="1"/>
          <w:bCs w:val="1"/>
          <w:i w:val="1"/>
          <w:iCs w:val="1"/>
          <w:color w:val="auto"/>
        </w:rPr>
        <w:t>1-7</w:t>
        <w:tab/>
        <w:t>Shipping and handling costs</w:t>
      </w:r>
    </w:p>
    <w:p>
      <w:pPr>
        <w:spacing w:after="0" w:line="198" w:lineRule="exact"/>
        <w:rPr>
          <w:sz w:val="20"/>
          <w:szCs w:val="20"/>
          <w:color w:val="auto"/>
        </w:rPr>
      </w:pPr>
    </w:p>
    <w:p>
      <w:pPr>
        <w:jc w:val="both"/>
        <w:ind w:firstLine="720"/>
        <w:spacing w:after="0" w:line="279" w:lineRule="auto"/>
        <w:rPr>
          <w:sz w:val="20"/>
          <w:szCs w:val="20"/>
          <w:color w:val="auto"/>
        </w:rPr>
      </w:pPr>
      <w:r>
        <w:rPr>
          <w:rFonts w:ascii="Times New Roman" w:cs="Times New Roman" w:eastAsia="Times New Roman" w:hAnsi="Times New Roman"/>
          <w:sz w:val="20"/>
          <w:szCs w:val="20"/>
          <w:color w:val="auto"/>
        </w:rPr>
        <w:t>Shipping and handling costs are not considered as performance obligations. Shipping and handling costs are recorded as a component of cost of sales.</w:t>
      </w:r>
    </w:p>
    <w:p>
      <w:pPr>
        <w:sectPr>
          <w:pgSz w:w="11900" w:h="16838" w:orient="portrait"/>
          <w:cols w:equalWidth="0" w:num="1">
            <w:col w:w="9380"/>
          </w:cols>
          <w:pgMar w:left="1260" w:top="838" w:right="1266" w:bottom="723" w:gutter="0" w:footer="0" w:header="0"/>
        </w:sect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F-12</w:t>
      </w:r>
    </w:p>
    <w:p>
      <w:pPr>
        <w:sectPr>
          <w:pgSz w:w="11900" w:h="16838" w:orient="portrait"/>
          <w:cols w:equalWidth="0" w:num="1">
            <w:col w:w="9380"/>
          </w:cols>
          <w:pgMar w:left="1260" w:top="838" w:right="1266" w:bottom="723" w:gutter="0" w:footer="0" w:header="0"/>
          <w:type w:val="continuous"/>
        </w:sectPr>
      </w:pPr>
    </w:p>
    <w:bookmarkStart w:id="67" w:name="page68"/>
    <w:bookmarkEnd w:id="67"/>
    <w:p>
      <w:pPr>
        <w:ind w:left="3180"/>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795655</wp:posOffset>
            </wp:positionH>
            <wp:positionV relativeFrom="page">
              <wp:posOffset>292735</wp:posOffset>
            </wp:positionV>
            <wp:extent cx="929005" cy="1149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77">
                      <a:extLst>
                        <a:ext uri="{28A0092B-C50C-407E-A947-70E740481C1C}"/>
                      </a:extLst>
                    </a:blip>
                    <a:srcRect/>
                    <a:stretch>
                      <a:fillRect/>
                    </a:stretch>
                  </pic:blipFill>
                  <pic:spPr bwMode="auto">
                    <a:xfrm>
                      <a:off x="0" y="0"/>
                      <a:ext cx="929005" cy="114935"/>
                    </a:xfrm>
                    <a:prstGeom prst="rect">
                      <a:avLst/>
                    </a:prstGeom>
                    <a:noFill/>
                  </pic:spPr>
                </pic:pic>
              </a:graphicData>
            </a:graphic>
          </wp:anchor>
        </w:drawing>
        <w:t>EDAP TMS S.A. AND SUBSIDIARIES</w:t>
      </w:r>
    </w:p>
    <w:p>
      <w:pPr>
        <w:ind w:left="2760"/>
        <w:spacing w:after="0"/>
        <w:rPr>
          <w:sz w:val="20"/>
          <w:szCs w:val="20"/>
          <w:color w:val="auto"/>
        </w:rPr>
      </w:pPr>
      <w:r>
        <w:rPr>
          <w:rFonts w:ascii="Times New Roman" w:cs="Times New Roman" w:eastAsia="Times New Roman" w:hAnsi="Times New Roman"/>
          <w:sz w:val="20"/>
          <w:szCs w:val="20"/>
          <w:b w:val="1"/>
          <w:bCs w:val="1"/>
          <w:color w:val="auto"/>
        </w:rPr>
        <w:t>CONSOLIDATED FINANCIAL STATEMENTS</w:t>
      </w:r>
    </w:p>
    <w:p>
      <w:pPr>
        <w:ind w:left="1500"/>
        <w:spacing w:after="0"/>
        <w:rPr>
          <w:sz w:val="20"/>
          <w:szCs w:val="20"/>
          <w:color w:val="auto"/>
        </w:rPr>
      </w:pPr>
      <w:r>
        <w:rPr>
          <w:rFonts w:ascii="Times New Roman" w:cs="Times New Roman" w:eastAsia="Times New Roman" w:hAnsi="Times New Roman"/>
          <w:sz w:val="20"/>
          <w:szCs w:val="20"/>
          <w:b w:val="1"/>
          <w:bCs w:val="1"/>
          <w:color w:val="auto"/>
        </w:rPr>
        <w:t>(In thousands of U.S. dollars unless otherwise noted, except per share data)</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60"/>
        <w:spacing w:after="0"/>
        <w:tabs>
          <w:tab w:leader="none" w:pos="860" w:val="left"/>
        </w:tabs>
        <w:rPr>
          <w:sz w:val="20"/>
          <w:szCs w:val="20"/>
          <w:color w:val="auto"/>
        </w:rPr>
      </w:pPr>
      <w:r>
        <w:rPr>
          <w:rFonts w:ascii="Times New Roman" w:cs="Times New Roman" w:eastAsia="Times New Roman" w:hAnsi="Times New Roman"/>
          <w:sz w:val="20"/>
          <w:szCs w:val="20"/>
          <w:b w:val="1"/>
          <w:bCs w:val="1"/>
          <w:i w:val="1"/>
          <w:iCs w:val="1"/>
          <w:color w:val="auto"/>
        </w:rPr>
        <w:t>1-8</w:t>
      </w:r>
      <w:r>
        <w:rPr>
          <w:sz w:val="20"/>
          <w:szCs w:val="20"/>
          <w:color w:val="auto"/>
        </w:rPr>
        <w:tab/>
      </w:r>
      <w:r>
        <w:rPr>
          <w:rFonts w:ascii="Times New Roman" w:cs="Times New Roman" w:eastAsia="Times New Roman" w:hAnsi="Times New Roman"/>
          <w:sz w:val="19"/>
          <w:szCs w:val="19"/>
          <w:b w:val="1"/>
          <w:bCs w:val="1"/>
          <w:i w:val="1"/>
          <w:iCs w:val="1"/>
          <w:color w:val="auto"/>
        </w:rPr>
        <w:t>Cash equivalents and short term investments</w:t>
      </w:r>
    </w:p>
    <w:p>
      <w:pPr>
        <w:spacing w:after="0" w:line="19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Cash equivalents are cash investments which are highly liquid and have initial maturities of 90 days or less.</w:t>
      </w:r>
    </w:p>
    <w:p>
      <w:pPr>
        <w:spacing w:after="0" w:line="200" w:lineRule="exact"/>
        <w:rPr>
          <w:sz w:val="20"/>
          <w:szCs w:val="20"/>
          <w:color w:val="auto"/>
        </w:rPr>
      </w:pPr>
    </w:p>
    <w:p>
      <w:pPr>
        <w:jc w:val="both"/>
        <w:ind w:firstLine="720"/>
        <w:spacing w:after="0" w:line="279" w:lineRule="auto"/>
        <w:rPr>
          <w:sz w:val="20"/>
          <w:szCs w:val="20"/>
          <w:color w:val="auto"/>
        </w:rPr>
      </w:pPr>
      <w:r>
        <w:rPr>
          <w:rFonts w:ascii="Times New Roman" w:cs="Times New Roman" w:eastAsia="Times New Roman" w:hAnsi="Times New Roman"/>
          <w:sz w:val="20"/>
          <w:szCs w:val="20"/>
          <w:color w:val="auto"/>
        </w:rPr>
        <w:t>Cash investments with a maturity higher than 90 days are classified as short-term investments. There are no short-term investments at December 31, 2025.</w:t>
      </w:r>
    </w:p>
    <w:p>
      <w:pPr>
        <w:spacing w:after="0" w:line="127" w:lineRule="exact"/>
        <w:rPr>
          <w:sz w:val="20"/>
          <w:szCs w:val="20"/>
          <w:color w:val="auto"/>
        </w:rPr>
      </w:pPr>
    </w:p>
    <w:p>
      <w:pPr>
        <w:ind w:left="360"/>
        <w:spacing w:after="0"/>
        <w:tabs>
          <w:tab w:leader="none" w:pos="860" w:val="left"/>
        </w:tabs>
        <w:rPr>
          <w:sz w:val="20"/>
          <w:szCs w:val="20"/>
          <w:color w:val="auto"/>
        </w:rPr>
      </w:pPr>
      <w:r>
        <w:rPr>
          <w:rFonts w:ascii="Times New Roman" w:cs="Times New Roman" w:eastAsia="Times New Roman" w:hAnsi="Times New Roman"/>
          <w:sz w:val="20"/>
          <w:szCs w:val="20"/>
          <w:b w:val="1"/>
          <w:bCs w:val="1"/>
          <w:i w:val="1"/>
          <w:iCs w:val="1"/>
          <w:color w:val="auto"/>
        </w:rPr>
        <w:t>1-9</w:t>
      </w:r>
      <w:r>
        <w:rPr>
          <w:sz w:val="20"/>
          <w:szCs w:val="20"/>
          <w:color w:val="auto"/>
        </w:rPr>
        <w:tab/>
      </w:r>
      <w:r>
        <w:rPr>
          <w:rFonts w:ascii="Times New Roman" w:cs="Times New Roman" w:eastAsia="Times New Roman" w:hAnsi="Times New Roman"/>
          <w:sz w:val="19"/>
          <w:szCs w:val="19"/>
          <w:b w:val="1"/>
          <w:bCs w:val="1"/>
          <w:i w:val="1"/>
          <w:iCs w:val="1"/>
          <w:color w:val="auto"/>
        </w:rPr>
        <w:t>Accounts Receivable</w:t>
      </w:r>
    </w:p>
    <w:p>
      <w:pPr>
        <w:spacing w:after="0" w:line="198" w:lineRule="exact"/>
        <w:rPr>
          <w:sz w:val="20"/>
          <w:szCs w:val="20"/>
          <w:color w:val="auto"/>
        </w:rPr>
      </w:pPr>
    </w:p>
    <w:p>
      <w:pPr>
        <w:jc w:val="both"/>
        <w:ind w:firstLine="720"/>
        <w:spacing w:after="0" w:line="260" w:lineRule="auto"/>
        <w:rPr>
          <w:sz w:val="20"/>
          <w:szCs w:val="20"/>
          <w:color w:val="auto"/>
        </w:rPr>
      </w:pPr>
      <w:r>
        <w:rPr>
          <w:rFonts w:ascii="Times New Roman" w:cs="Times New Roman" w:eastAsia="Times New Roman" w:hAnsi="Times New Roman"/>
          <w:sz w:val="19"/>
          <w:szCs w:val="19"/>
          <w:color w:val="auto"/>
        </w:rPr>
        <w:t>The Company maintains an allowance for doubtful accounts for estimated losses inherent in its accounts receivable portfolio. In establishing the required allowance, management considers historical losses adjusted to take into account current market conditions and the Company’s customers’ financial condition, the amount of receivables in dispute, and the current receivables aging and current payment patterns. The Company reviews its allowance for doubtful accounts quarterly. Past due balances over 90 days and over a specified amount are reviewed individually for collectability. Account balances are charged off against the allowance after all means of collection have been exhausted and the potential for recovery is considered remote. Write-offs for 2025 and 2024 amounted to $64 thousand and none, respectively. The Company does not have any off-balance-sheet credit exposure related to its customers.</w:t>
      </w:r>
    </w:p>
    <w:p>
      <w:pPr>
        <w:spacing w:after="0" w:line="149" w:lineRule="exact"/>
        <w:rPr>
          <w:sz w:val="20"/>
          <w:szCs w:val="20"/>
          <w:color w:val="auto"/>
        </w:rPr>
      </w:pPr>
    </w:p>
    <w:p>
      <w:pPr>
        <w:ind w:left="360"/>
        <w:spacing w:after="0"/>
        <w:tabs>
          <w:tab w:leader="none" w:pos="960" w:val="left"/>
        </w:tabs>
        <w:rPr>
          <w:sz w:val="20"/>
          <w:szCs w:val="20"/>
          <w:color w:val="auto"/>
        </w:rPr>
      </w:pPr>
      <w:r>
        <w:rPr>
          <w:rFonts w:ascii="Times New Roman" w:cs="Times New Roman" w:eastAsia="Times New Roman" w:hAnsi="Times New Roman"/>
          <w:sz w:val="20"/>
          <w:szCs w:val="20"/>
          <w:b w:val="1"/>
          <w:bCs w:val="1"/>
          <w:i w:val="1"/>
          <w:iCs w:val="1"/>
          <w:color w:val="auto"/>
        </w:rPr>
        <w:t>1-10</w:t>
        <w:tab/>
        <w:t>Inventories</w:t>
      </w:r>
    </w:p>
    <w:p>
      <w:pPr>
        <w:spacing w:after="0" w:line="198" w:lineRule="exact"/>
        <w:rPr>
          <w:sz w:val="20"/>
          <w:szCs w:val="20"/>
          <w:color w:val="auto"/>
        </w:rPr>
      </w:pPr>
    </w:p>
    <w:p>
      <w:pPr>
        <w:jc w:val="both"/>
        <w:ind w:firstLine="720"/>
        <w:spacing w:after="0" w:line="246" w:lineRule="auto"/>
        <w:rPr>
          <w:sz w:val="20"/>
          <w:szCs w:val="20"/>
          <w:color w:val="auto"/>
        </w:rPr>
      </w:pPr>
      <w:r>
        <w:rPr>
          <w:rFonts w:ascii="Times New Roman" w:cs="Times New Roman" w:eastAsia="Times New Roman" w:hAnsi="Times New Roman"/>
          <w:sz w:val="20"/>
          <w:szCs w:val="20"/>
          <w:color w:val="auto"/>
        </w:rPr>
        <w:t>Inventories are valued at the lower of cost and net realizable value. Cost is either the manufacturing cost, which is principally comprised of components and labor costs for our own manufactured products, or purchase price for urology products we distribute. Cost is determined on a first-in, first-out basis for components and spare parts and by specific identification for finished goods (medical devices). The Company establishes reserves for inventory estimated to be obsolete, unmarketable or slow moving, first based on a detailed comparison between quantity in inventory and historical consumption and then based on case-by-case analysis of the difference between the cost of inventory and the related estimated market value.</w:t>
      </w:r>
    </w:p>
    <w:p>
      <w:pPr>
        <w:spacing w:after="0" w:line="162" w:lineRule="exact"/>
        <w:rPr>
          <w:sz w:val="20"/>
          <w:szCs w:val="20"/>
          <w:color w:val="auto"/>
        </w:rPr>
      </w:pPr>
    </w:p>
    <w:p>
      <w:pPr>
        <w:ind w:left="360"/>
        <w:spacing w:after="0"/>
        <w:tabs>
          <w:tab w:leader="none" w:pos="960" w:val="left"/>
        </w:tabs>
        <w:rPr>
          <w:sz w:val="20"/>
          <w:szCs w:val="20"/>
          <w:color w:val="auto"/>
        </w:rPr>
      </w:pPr>
      <w:r>
        <w:rPr>
          <w:rFonts w:ascii="Times New Roman" w:cs="Times New Roman" w:eastAsia="Times New Roman" w:hAnsi="Times New Roman"/>
          <w:sz w:val="20"/>
          <w:szCs w:val="20"/>
          <w:b w:val="1"/>
          <w:bCs w:val="1"/>
          <w:i w:val="1"/>
          <w:iCs w:val="1"/>
          <w:color w:val="auto"/>
        </w:rPr>
        <w:t>1-11</w:t>
        <w:tab/>
        <w:t>Property and equipment</w:t>
      </w:r>
    </w:p>
    <w:p>
      <w:pPr>
        <w:spacing w:after="0" w:line="198" w:lineRule="exact"/>
        <w:rPr>
          <w:sz w:val="20"/>
          <w:szCs w:val="20"/>
          <w:color w:val="auto"/>
        </w:rPr>
      </w:pPr>
    </w:p>
    <w:p>
      <w:pPr>
        <w:jc w:val="both"/>
        <w:ind w:firstLine="720"/>
        <w:spacing w:after="0" w:line="259" w:lineRule="auto"/>
        <w:rPr>
          <w:sz w:val="20"/>
          <w:szCs w:val="20"/>
          <w:color w:val="auto"/>
        </w:rPr>
      </w:pPr>
      <w:r>
        <w:rPr>
          <w:rFonts w:ascii="Times New Roman" w:cs="Times New Roman" w:eastAsia="Times New Roman" w:hAnsi="Times New Roman"/>
          <w:sz w:val="20"/>
          <w:szCs w:val="20"/>
          <w:color w:val="auto"/>
        </w:rPr>
        <w:t>Property and equipment is stated at historical cost, net of accumulated depreciation and impairment. Depreciation of property and equipment is calculated using the straight-line method over the estimated useful life of the related assets, as follows: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Leasehold improvements (in years)</w:t>
            </w:r>
          </w:p>
        </w:tc>
        <w:tc>
          <w:tcPr>
            <w:tcW w:w="1480" w:type="dxa"/>
            <w:vAlign w:val="bottom"/>
            <w:shd w:val="clear" w:color="auto" w:fill="CCEEFF"/>
          </w:tcPr>
          <w:p>
            <w:pPr>
              <w:spacing w:after="0"/>
              <w:rPr>
                <w:sz w:val="20"/>
                <w:szCs w:val="20"/>
                <w:color w:val="auto"/>
              </w:rPr>
            </w:pPr>
          </w:p>
        </w:tc>
        <w:tc>
          <w:tcPr>
            <w:tcW w:w="2200" w:type="dxa"/>
            <w:vAlign w:val="bottom"/>
            <w:shd w:val="clear" w:color="auto" w:fill="CCEEFF"/>
          </w:tcPr>
          <w:p>
            <w:pPr>
              <w:jc w:val="center"/>
              <w:ind w:left="40"/>
              <w:spacing w:after="0"/>
              <w:rPr>
                <w:sz w:val="20"/>
                <w:szCs w:val="20"/>
                <w:color w:val="auto"/>
              </w:rPr>
            </w:pPr>
            <w:r>
              <w:rPr>
                <w:rFonts w:ascii="Times New Roman" w:cs="Times New Roman" w:eastAsia="Times New Roman" w:hAnsi="Times New Roman"/>
                <w:sz w:val="20"/>
                <w:szCs w:val="20"/>
                <w:color w:val="auto"/>
                <w:w w:val="99"/>
              </w:rPr>
              <w:t>10 or lease term if shorter</w:t>
            </w:r>
          </w:p>
        </w:tc>
        <w:tc>
          <w:tcPr>
            <w:tcW w:w="720" w:type="dxa"/>
            <w:vAlign w:val="bottom"/>
            <w:shd w:val="clear" w:color="auto" w:fill="CCEEFF"/>
          </w:tcPr>
          <w:p>
            <w:pPr>
              <w:spacing w:after="0"/>
              <w:rPr>
                <w:sz w:val="20"/>
                <w:szCs w:val="20"/>
                <w:color w:val="auto"/>
              </w:rPr>
            </w:pPr>
          </w:p>
        </w:tc>
      </w:tr>
      <w:tr>
        <w:trPr>
          <w:trHeight w:val="230"/>
        </w:trPr>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Equipment (in years)</w:t>
            </w:r>
          </w:p>
        </w:tc>
        <w:tc>
          <w:tcPr>
            <w:tcW w:w="14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3</w:t>
            </w:r>
          </w:p>
        </w:tc>
        <w:tc>
          <w:tcPr>
            <w:tcW w:w="2200" w:type="dxa"/>
            <w:vAlign w:val="bottom"/>
          </w:tcPr>
          <w:p>
            <w:pPr>
              <w:jc w:val="center"/>
              <w:ind w:left="60"/>
              <w:spacing w:after="0"/>
              <w:rPr>
                <w:sz w:val="20"/>
                <w:szCs w:val="20"/>
                <w:color w:val="auto"/>
              </w:rPr>
            </w:pPr>
            <w:r>
              <w:rPr>
                <w:rFonts w:ascii="Times New Roman" w:cs="Times New Roman" w:eastAsia="Times New Roman" w:hAnsi="Times New Roman"/>
                <w:sz w:val="20"/>
                <w:szCs w:val="20"/>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w:t>
            </w:r>
          </w:p>
        </w:tc>
      </w:tr>
      <w:tr>
        <w:trPr>
          <w:trHeight w:val="230"/>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Furniture, fixtures, fittings and other (in years)</w:t>
            </w:r>
          </w:p>
        </w:tc>
        <w:tc>
          <w:tcPr>
            <w:tcW w:w="14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20"/>
                <w:szCs w:val="20"/>
                <w:color w:val="auto"/>
              </w:rPr>
              <w:t>2</w:t>
            </w:r>
          </w:p>
        </w:tc>
        <w:tc>
          <w:tcPr>
            <w:tcW w:w="2200" w:type="dxa"/>
            <w:vAlign w:val="bottom"/>
            <w:shd w:val="clear" w:color="auto" w:fill="CCEEFF"/>
          </w:tcPr>
          <w:p>
            <w:pPr>
              <w:jc w:val="center"/>
              <w:ind w:left="60"/>
              <w:spacing w:after="0"/>
              <w:rPr>
                <w:sz w:val="20"/>
                <w:szCs w:val="20"/>
                <w:color w:val="auto"/>
              </w:rPr>
            </w:pPr>
            <w:r>
              <w:rPr>
                <w:rFonts w:ascii="Times New Roman" w:cs="Times New Roman" w:eastAsia="Times New Roman" w:hAnsi="Times New Roman"/>
                <w:sz w:val="20"/>
                <w:szCs w:val="20"/>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w:t>
            </w:r>
          </w:p>
        </w:tc>
      </w:tr>
    </w:tbl>
    <w:p>
      <w:pPr>
        <w:spacing w:after="0" w:line="208"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Equipment includes industrial equipment and research equipment that has alternative future uses. Equipment also includes devices and treatment probes that are manufactured by the Company and leased to customers through operating leases related to RPP transactions. This equipment is generally depreciated over a period of five to seven years.</w:t>
      </w:r>
    </w:p>
    <w:p>
      <w:pPr>
        <w:spacing w:after="0" w:line="153" w:lineRule="exact"/>
        <w:rPr>
          <w:sz w:val="20"/>
          <w:szCs w:val="20"/>
          <w:color w:val="auto"/>
        </w:rPr>
      </w:pPr>
    </w:p>
    <w:p>
      <w:pPr>
        <w:ind w:left="360"/>
        <w:spacing w:after="0"/>
        <w:tabs>
          <w:tab w:leader="none" w:pos="960" w:val="left"/>
        </w:tabs>
        <w:rPr>
          <w:sz w:val="20"/>
          <w:szCs w:val="20"/>
          <w:color w:val="auto"/>
        </w:rPr>
      </w:pPr>
      <w:r>
        <w:rPr>
          <w:rFonts w:ascii="Times New Roman" w:cs="Times New Roman" w:eastAsia="Times New Roman" w:hAnsi="Times New Roman"/>
          <w:sz w:val="20"/>
          <w:szCs w:val="20"/>
          <w:b w:val="1"/>
          <w:bCs w:val="1"/>
          <w:i w:val="1"/>
          <w:iCs w:val="1"/>
          <w:color w:val="auto"/>
        </w:rPr>
        <w:t>1-12</w:t>
        <w:tab/>
        <w:t>Long-lived assets</w:t>
      </w:r>
    </w:p>
    <w:p>
      <w:pPr>
        <w:spacing w:after="0" w:line="198"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19"/>
          <w:szCs w:val="19"/>
          <w:color w:val="auto"/>
        </w:rPr>
        <w:t>The Company reviews the carrying value of its long- lived assets, including fixed assets and intangible assets, for impairment whenever events or changes in circumstances indicate that the carrying amount of such assets may not be fully recoverable. Recoverability of long-lived assets is assessed by a comparison of the carrying amount of the assets (or the Group of assets, including the asset in question, that represents the lowest level of separately-identifiable cash flows) to the total estimated undiscounted cash flows expected to be generated by the asset or group of assets. If the future net undiscounted cash flows is less than the carrying amount of the asset or group of assets, the asset or group of assets is considered impaired and an expense is recognized equal to the amount required to reduce the carrying amount of the asset or group of assets to its then fair value. Fair value is determined by discounting the cash flows expected to be generated by the assets, when the quoted market prices are not available for the long-lived assets. Estimated future cash flows are based on assumptions and are subject to risk and uncertainty.</w:t>
      </w:r>
    </w:p>
    <w:p>
      <w:pPr>
        <w:sectPr>
          <w:pgSz w:w="11900" w:h="16838" w:orient="portrait"/>
          <w:cols w:equalWidth="0" w:num="1">
            <w:col w:w="9380"/>
          </w:cols>
          <w:pgMar w:left="1260" w:top="838" w:right="1266" w:bottom="72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F-13</w:t>
      </w:r>
    </w:p>
    <w:p>
      <w:pPr>
        <w:sectPr>
          <w:pgSz w:w="11900" w:h="16838" w:orient="portrait"/>
          <w:cols w:equalWidth="0" w:num="1">
            <w:col w:w="9380"/>
          </w:cols>
          <w:pgMar w:left="1260" w:top="838" w:right="1266" w:bottom="723" w:gutter="0" w:footer="0" w:header="0"/>
          <w:type w:val="continuous"/>
        </w:sectPr>
      </w:pPr>
    </w:p>
    <w:bookmarkStart w:id="68" w:name="page69"/>
    <w:bookmarkEnd w:id="68"/>
    <w:p>
      <w:pPr>
        <w:ind w:left="3180"/>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795655</wp:posOffset>
            </wp:positionH>
            <wp:positionV relativeFrom="page">
              <wp:posOffset>292735</wp:posOffset>
            </wp:positionV>
            <wp:extent cx="929005" cy="1149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78">
                      <a:extLst>
                        <a:ext uri="{28A0092B-C50C-407E-A947-70E740481C1C}"/>
                      </a:extLst>
                    </a:blip>
                    <a:srcRect/>
                    <a:stretch>
                      <a:fillRect/>
                    </a:stretch>
                  </pic:blipFill>
                  <pic:spPr bwMode="auto">
                    <a:xfrm>
                      <a:off x="0" y="0"/>
                      <a:ext cx="929005" cy="114935"/>
                    </a:xfrm>
                    <a:prstGeom prst="rect">
                      <a:avLst/>
                    </a:prstGeom>
                    <a:noFill/>
                  </pic:spPr>
                </pic:pic>
              </a:graphicData>
            </a:graphic>
          </wp:anchor>
        </w:drawing>
        <w:t>EDAP TMS S.A. AND SUBSIDIARIES</w:t>
      </w:r>
    </w:p>
    <w:p>
      <w:pPr>
        <w:ind w:left="2760"/>
        <w:spacing w:after="0"/>
        <w:rPr>
          <w:sz w:val="20"/>
          <w:szCs w:val="20"/>
          <w:color w:val="auto"/>
        </w:rPr>
      </w:pPr>
      <w:r>
        <w:rPr>
          <w:rFonts w:ascii="Times New Roman" w:cs="Times New Roman" w:eastAsia="Times New Roman" w:hAnsi="Times New Roman"/>
          <w:sz w:val="20"/>
          <w:szCs w:val="20"/>
          <w:b w:val="1"/>
          <w:bCs w:val="1"/>
          <w:color w:val="auto"/>
        </w:rPr>
        <w:t>CONSOLIDATED FINANCIAL STATEMENTS</w:t>
      </w:r>
    </w:p>
    <w:p>
      <w:pPr>
        <w:ind w:left="1500"/>
        <w:spacing w:after="0"/>
        <w:rPr>
          <w:sz w:val="20"/>
          <w:szCs w:val="20"/>
          <w:color w:val="auto"/>
        </w:rPr>
      </w:pPr>
      <w:r>
        <w:rPr>
          <w:rFonts w:ascii="Times New Roman" w:cs="Times New Roman" w:eastAsia="Times New Roman" w:hAnsi="Times New Roman"/>
          <w:sz w:val="20"/>
          <w:szCs w:val="20"/>
          <w:b w:val="1"/>
          <w:bCs w:val="1"/>
          <w:color w:val="auto"/>
        </w:rPr>
        <w:t>(In thousands of U.S. dollars unless otherwise noted, except per share data)</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60"/>
        <w:spacing w:after="0"/>
        <w:tabs>
          <w:tab w:leader="none" w:pos="960" w:val="left"/>
        </w:tabs>
        <w:rPr>
          <w:sz w:val="20"/>
          <w:szCs w:val="20"/>
          <w:color w:val="auto"/>
        </w:rPr>
      </w:pPr>
      <w:r>
        <w:rPr>
          <w:rFonts w:ascii="Times New Roman" w:cs="Times New Roman" w:eastAsia="Times New Roman" w:hAnsi="Times New Roman"/>
          <w:sz w:val="20"/>
          <w:szCs w:val="20"/>
          <w:b w:val="1"/>
          <w:bCs w:val="1"/>
          <w:i w:val="1"/>
          <w:iCs w:val="1"/>
          <w:color w:val="auto"/>
        </w:rPr>
        <w:t>1-13</w:t>
        <w:tab/>
        <w:t>Goodwill and intangible assets</w:t>
      </w:r>
    </w:p>
    <w:p>
      <w:pPr>
        <w:spacing w:after="0" w:line="198"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Goodwill represents the excess of purchase price over the fair value of identifiable net assets of businesses acquired. Goodwill is not amortized but instead tested annually for impairment or more frequently when events or change in circumstances indicate that the assets might be impaired.</w:t>
      </w:r>
    </w:p>
    <w:p>
      <w:pPr>
        <w:spacing w:after="0" w:line="147" w:lineRule="exact"/>
        <w:rPr>
          <w:sz w:val="20"/>
          <w:szCs w:val="20"/>
          <w:color w:val="auto"/>
        </w:rPr>
      </w:pPr>
    </w:p>
    <w:p>
      <w:pPr>
        <w:jc w:val="both"/>
        <w:ind w:firstLine="720"/>
        <w:spacing w:after="0" w:line="248" w:lineRule="auto"/>
        <w:rPr>
          <w:sz w:val="20"/>
          <w:szCs w:val="20"/>
          <w:color w:val="auto"/>
        </w:rPr>
      </w:pPr>
      <w:r>
        <w:rPr>
          <w:rFonts w:ascii="Times New Roman" w:cs="Times New Roman" w:eastAsia="Times New Roman" w:hAnsi="Times New Roman"/>
          <w:sz w:val="20"/>
          <w:szCs w:val="20"/>
          <w:color w:val="auto"/>
        </w:rPr>
        <w:t>When impairment indicators are identified, the impairment test is performed by comparing the fair value of a reporting unit with its carrying amount, including goodwill. An impairment charge should be recognized for the amount by which the carrying amount exceeds the reporting unit’s fair value; however, the loss recognized should not exceed the total amount of goodwill allocated to that reporting unit. For the purpose of any impairment test, the Company relies upon projections of future undiscounted cash flows and takes into account assumptions regarding the evolution of the market and its ability to successfully develop and commercialize its products.</w:t>
      </w:r>
    </w:p>
    <w:p>
      <w:pPr>
        <w:spacing w:after="0" w:line="156" w:lineRule="exact"/>
        <w:rPr>
          <w:sz w:val="20"/>
          <w:szCs w:val="20"/>
          <w:color w:val="auto"/>
        </w:rPr>
      </w:pPr>
    </w:p>
    <w:p>
      <w:pPr>
        <w:jc w:val="both"/>
        <w:ind w:firstLine="720"/>
        <w:spacing w:after="0" w:line="279" w:lineRule="auto"/>
        <w:rPr>
          <w:sz w:val="20"/>
          <w:szCs w:val="20"/>
          <w:color w:val="auto"/>
        </w:rPr>
      </w:pPr>
      <w:r>
        <w:rPr>
          <w:rFonts w:ascii="Times New Roman" w:cs="Times New Roman" w:eastAsia="Times New Roman" w:hAnsi="Times New Roman"/>
          <w:sz w:val="20"/>
          <w:szCs w:val="20"/>
          <w:color w:val="auto"/>
        </w:rPr>
        <w:t>Changes in market conditions could have a major impact on the valuation of these assets and could result in additional impairment losses.</w:t>
      </w:r>
    </w:p>
    <w:p>
      <w:pPr>
        <w:spacing w:after="0" w:line="125"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Intangible assets consist primarily of purchased patents relating to lithotripters, purchased licenses, a purchased trade name and a purchased trademark. The basis for valuation of these assets is their historical acquisition cost. Amortization of intangible assets is calculated by the straight-line method over the shorter of the contractual or estimated useful life of the assets, as follows: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Patents (in years)</w:t>
            </w:r>
          </w:p>
        </w:tc>
        <w:tc>
          <w:tcPr>
            <w:tcW w:w="3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w:t>
            </w:r>
          </w:p>
        </w:tc>
      </w:tr>
      <w:tr>
        <w:trPr>
          <w:trHeight w:val="230"/>
        </w:trPr>
        <w:tc>
          <w:tcPr>
            <w:tcW w:w="6040" w:type="dxa"/>
            <w:vAlign w:val="bottom"/>
          </w:tcPr>
          <w:p>
            <w:pPr>
              <w:spacing w:after="0"/>
              <w:rPr>
                <w:sz w:val="20"/>
                <w:szCs w:val="20"/>
                <w:color w:val="auto"/>
              </w:rPr>
            </w:pPr>
            <w:r>
              <w:rPr>
                <w:rFonts w:ascii="Times New Roman" w:cs="Times New Roman" w:eastAsia="Times New Roman" w:hAnsi="Times New Roman"/>
                <w:sz w:val="20"/>
                <w:szCs w:val="20"/>
                <w:color w:val="auto"/>
              </w:rPr>
              <w:t>SAP Licenses (in years)</w:t>
            </w:r>
          </w:p>
        </w:tc>
        <w:tc>
          <w:tcPr>
            <w:tcW w:w="3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w:t>
            </w:r>
          </w:p>
        </w:tc>
      </w:tr>
      <w:tr>
        <w:trPr>
          <w:trHeight w:val="230"/>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Other licenses (in years)</w:t>
            </w:r>
          </w:p>
        </w:tc>
        <w:tc>
          <w:tcPr>
            <w:tcW w:w="3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w:t>
            </w:r>
          </w:p>
        </w:tc>
      </w:tr>
      <w:tr>
        <w:trPr>
          <w:trHeight w:val="265"/>
        </w:trPr>
        <w:tc>
          <w:tcPr>
            <w:tcW w:w="6040" w:type="dxa"/>
            <w:vAlign w:val="bottom"/>
          </w:tcPr>
          <w:p>
            <w:pPr>
              <w:spacing w:after="0"/>
              <w:rPr>
                <w:sz w:val="20"/>
                <w:szCs w:val="20"/>
                <w:color w:val="auto"/>
              </w:rPr>
            </w:pPr>
            <w:r>
              <w:rPr>
                <w:rFonts w:ascii="Times New Roman" w:cs="Times New Roman" w:eastAsia="Times New Roman" w:hAnsi="Times New Roman"/>
                <w:sz w:val="20"/>
                <w:szCs w:val="20"/>
                <w:color w:val="auto"/>
              </w:rPr>
              <w:t>Trade name and trademark (in years)</w:t>
            </w:r>
          </w:p>
        </w:tc>
        <w:tc>
          <w:tcPr>
            <w:tcW w:w="3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w:t>
            </w:r>
          </w:p>
        </w:tc>
      </w:tr>
    </w:tbl>
    <w:p>
      <w:pPr>
        <w:spacing w:after="0" w:line="175" w:lineRule="exact"/>
        <w:rPr>
          <w:sz w:val="20"/>
          <w:szCs w:val="20"/>
          <w:color w:val="auto"/>
        </w:rPr>
      </w:pPr>
    </w:p>
    <w:p>
      <w:pPr>
        <w:ind w:left="360"/>
        <w:spacing w:after="0"/>
        <w:tabs>
          <w:tab w:leader="none" w:pos="960" w:val="left"/>
        </w:tabs>
        <w:rPr>
          <w:sz w:val="20"/>
          <w:szCs w:val="20"/>
          <w:color w:val="auto"/>
        </w:rPr>
      </w:pPr>
      <w:r>
        <w:rPr>
          <w:rFonts w:ascii="Times New Roman" w:cs="Times New Roman" w:eastAsia="Times New Roman" w:hAnsi="Times New Roman"/>
          <w:sz w:val="20"/>
          <w:szCs w:val="20"/>
          <w:b w:val="1"/>
          <w:bCs w:val="1"/>
          <w:i w:val="1"/>
          <w:iCs w:val="1"/>
          <w:color w:val="auto"/>
        </w:rPr>
        <w:t>1-14</w:t>
        <w:tab/>
        <w:t>Treasury Stocks</w:t>
      </w:r>
    </w:p>
    <w:p>
      <w:pPr>
        <w:spacing w:after="0" w:line="198" w:lineRule="exact"/>
        <w:rPr>
          <w:sz w:val="20"/>
          <w:szCs w:val="20"/>
          <w:color w:val="auto"/>
        </w:rPr>
      </w:pPr>
    </w:p>
    <w:p>
      <w:pPr>
        <w:jc w:val="both"/>
        <w:ind w:firstLine="720"/>
        <w:spacing w:after="0" w:line="246" w:lineRule="auto"/>
        <w:rPr>
          <w:sz w:val="20"/>
          <w:szCs w:val="20"/>
          <w:color w:val="auto"/>
        </w:rPr>
      </w:pPr>
      <w:r>
        <w:rPr>
          <w:rFonts w:ascii="Times New Roman" w:cs="Times New Roman" w:eastAsia="Times New Roman" w:hAnsi="Times New Roman"/>
          <w:sz w:val="20"/>
          <w:szCs w:val="20"/>
          <w:color w:val="auto"/>
        </w:rPr>
        <w:t>Treasury stock purchases are accounted for at cost. The sale of treasury stocks is accounted for using the first in first out method. Gains on the sale or retirement of treasury stocks are accounted for as additional paid-in capital whereas losses on the sale or retirement of treasury stock are recorded as additional paid- in capital to the extent that previous net gains from sale or retirement of treasury stocks are included therein; otherwise the losses shall be recorded to accumulated benefit (deficit) account. Gains or losses from the sale or retirement of treasury stock do not affect reported results of operations. Treasury stocks held by a company cannot exceed 10% of the total number of shares issued.</w:t>
      </w:r>
    </w:p>
    <w:p>
      <w:pPr>
        <w:spacing w:after="0" w:line="164" w:lineRule="exact"/>
        <w:rPr>
          <w:sz w:val="20"/>
          <w:szCs w:val="20"/>
          <w:color w:val="auto"/>
        </w:rPr>
      </w:pPr>
    </w:p>
    <w:p>
      <w:pPr>
        <w:ind w:left="360"/>
        <w:spacing w:after="0"/>
        <w:tabs>
          <w:tab w:leader="none" w:pos="960" w:val="left"/>
        </w:tabs>
        <w:rPr>
          <w:sz w:val="20"/>
          <w:szCs w:val="20"/>
          <w:color w:val="auto"/>
        </w:rPr>
      </w:pPr>
      <w:r>
        <w:rPr>
          <w:rFonts w:ascii="Times New Roman" w:cs="Times New Roman" w:eastAsia="Times New Roman" w:hAnsi="Times New Roman"/>
          <w:sz w:val="20"/>
          <w:szCs w:val="20"/>
          <w:b w:val="1"/>
          <w:bCs w:val="1"/>
          <w:i w:val="1"/>
          <w:iCs w:val="1"/>
          <w:color w:val="auto"/>
        </w:rPr>
        <w:t>1-15</w:t>
        <w:tab/>
        <w:t>Warranty expenses</w:t>
      </w:r>
    </w:p>
    <w:p>
      <w:pPr>
        <w:spacing w:after="0" w:line="198"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The Company provides customers with a warranty for each product sold and accrues warranty expense at time of sale based upon historical claims experience. Standard warranty period may vary from 1 year to 2 years depending on the market. The warranty expense is incurred at time of accrual and not when paid. Warranty expense amounted to $182 thousand and $56 thousand for the years ended December 31, 2025, and 2024, respectively.</w:t>
      </w:r>
    </w:p>
    <w:p>
      <w:pPr>
        <w:spacing w:after="0" w:line="157" w:lineRule="exact"/>
        <w:rPr>
          <w:sz w:val="20"/>
          <w:szCs w:val="20"/>
          <w:color w:val="auto"/>
        </w:rPr>
      </w:pPr>
    </w:p>
    <w:p>
      <w:pPr>
        <w:ind w:left="360"/>
        <w:spacing w:after="0"/>
        <w:tabs>
          <w:tab w:leader="none" w:pos="960" w:val="left"/>
        </w:tabs>
        <w:rPr>
          <w:sz w:val="20"/>
          <w:szCs w:val="20"/>
          <w:color w:val="auto"/>
        </w:rPr>
      </w:pPr>
      <w:r>
        <w:rPr>
          <w:rFonts w:ascii="Times New Roman" w:cs="Times New Roman" w:eastAsia="Times New Roman" w:hAnsi="Times New Roman"/>
          <w:sz w:val="20"/>
          <w:szCs w:val="20"/>
          <w:b w:val="1"/>
          <w:bCs w:val="1"/>
          <w:i w:val="1"/>
          <w:iCs w:val="1"/>
          <w:color w:val="auto"/>
        </w:rPr>
        <w:t>1-16</w:t>
        <w:tab/>
        <w:t>Income taxes</w:t>
      </w:r>
    </w:p>
    <w:p>
      <w:pPr>
        <w:spacing w:after="0" w:line="198" w:lineRule="exact"/>
        <w:rPr>
          <w:sz w:val="20"/>
          <w:szCs w:val="20"/>
          <w:color w:val="auto"/>
        </w:rPr>
      </w:pPr>
    </w:p>
    <w:p>
      <w:pPr>
        <w:jc w:val="both"/>
        <w:ind w:firstLine="720"/>
        <w:spacing w:after="0" w:line="246" w:lineRule="auto"/>
        <w:rPr>
          <w:sz w:val="20"/>
          <w:szCs w:val="20"/>
          <w:color w:val="auto"/>
        </w:rPr>
      </w:pPr>
      <w:r>
        <w:rPr>
          <w:rFonts w:ascii="Times New Roman" w:cs="Times New Roman" w:eastAsia="Times New Roman" w:hAnsi="Times New Roman"/>
          <w:sz w:val="20"/>
          <w:szCs w:val="20"/>
          <w:color w:val="auto"/>
        </w:rPr>
        <w:t>The Company accounts for income taxes in accordance with ASC 740, ‘‘Accounting for Income Taxes’’ Under ASC 740, deferred tax assets and liabilities are determined based on differences between the financial reporting and tax basis of assets and liabilities and are measured by applying enacted tax rates and laws to taxable years in which such differences are expected to reverse. A valuation allowance is established if, based on the weight of available evidence, it is more likely than not that some portion, or all of the deferred tax assets, will not be realized. In accordance with ASC740, no provision has been made for income or withholding taxes on undistributed earnings of foreign subsidiaries, such undistributed earnings being permanently reinvested.</w:t>
      </w:r>
    </w:p>
    <w:p>
      <w:pPr>
        <w:spacing w:after="0" w:line="160"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Under ASC740, the measurement of a tax position that meets the more-likely-that-not recognition threshold must take into consideration the amounts and probabilities of the outcomes that could be realized upon ultimate settlement using the facts, circumstances and information available at the reporting date.</w:t>
      </w:r>
    </w:p>
    <w:p>
      <w:pPr>
        <w:sectPr>
          <w:pgSz w:w="11900" w:h="16838" w:orient="portrait"/>
          <w:cols w:equalWidth="0" w:num="1">
            <w:col w:w="9380"/>
          </w:cols>
          <w:pgMar w:left="1260" w:top="838" w:right="1266" w:bottom="723" w:gutter="0" w:footer="0" w:header="0"/>
        </w:sect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F-14</w:t>
      </w:r>
    </w:p>
    <w:p>
      <w:pPr>
        <w:sectPr>
          <w:pgSz w:w="11900" w:h="16838" w:orient="portrait"/>
          <w:cols w:equalWidth="0" w:num="1">
            <w:col w:w="9380"/>
          </w:cols>
          <w:pgMar w:left="1260" w:top="838" w:right="1266" w:bottom="723" w:gutter="0" w:footer="0" w:header="0"/>
          <w:type w:val="continuous"/>
        </w:sectPr>
      </w:pPr>
    </w:p>
    <w:bookmarkStart w:id="69" w:name="page70"/>
    <w:bookmarkEnd w:id="69"/>
    <w:p>
      <w:pPr>
        <w:ind w:left="3180"/>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795655</wp:posOffset>
            </wp:positionH>
            <wp:positionV relativeFrom="page">
              <wp:posOffset>292735</wp:posOffset>
            </wp:positionV>
            <wp:extent cx="929005" cy="1149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79">
                      <a:extLst>
                        <a:ext uri="{28A0092B-C50C-407E-A947-70E740481C1C}"/>
                      </a:extLst>
                    </a:blip>
                    <a:srcRect/>
                    <a:stretch>
                      <a:fillRect/>
                    </a:stretch>
                  </pic:blipFill>
                  <pic:spPr bwMode="auto">
                    <a:xfrm>
                      <a:off x="0" y="0"/>
                      <a:ext cx="929005" cy="114935"/>
                    </a:xfrm>
                    <a:prstGeom prst="rect">
                      <a:avLst/>
                    </a:prstGeom>
                    <a:noFill/>
                  </pic:spPr>
                </pic:pic>
              </a:graphicData>
            </a:graphic>
          </wp:anchor>
        </w:drawing>
        <w:t>EDAP TMS S.A. AND SUBSIDIARIES</w:t>
      </w:r>
    </w:p>
    <w:p>
      <w:pPr>
        <w:ind w:left="2760"/>
        <w:spacing w:after="0"/>
        <w:rPr>
          <w:sz w:val="20"/>
          <w:szCs w:val="20"/>
          <w:color w:val="auto"/>
        </w:rPr>
      </w:pPr>
      <w:r>
        <w:rPr>
          <w:rFonts w:ascii="Times New Roman" w:cs="Times New Roman" w:eastAsia="Times New Roman" w:hAnsi="Times New Roman"/>
          <w:sz w:val="20"/>
          <w:szCs w:val="20"/>
          <w:b w:val="1"/>
          <w:bCs w:val="1"/>
          <w:color w:val="auto"/>
        </w:rPr>
        <w:t>CONSOLIDATED FINANCIAL STATEMENTS</w:t>
      </w:r>
    </w:p>
    <w:p>
      <w:pPr>
        <w:ind w:left="1500"/>
        <w:spacing w:after="0"/>
        <w:rPr>
          <w:sz w:val="20"/>
          <w:szCs w:val="20"/>
          <w:color w:val="auto"/>
        </w:rPr>
      </w:pPr>
      <w:r>
        <w:rPr>
          <w:rFonts w:ascii="Times New Roman" w:cs="Times New Roman" w:eastAsia="Times New Roman" w:hAnsi="Times New Roman"/>
          <w:sz w:val="20"/>
          <w:szCs w:val="20"/>
          <w:b w:val="1"/>
          <w:bCs w:val="1"/>
          <w:color w:val="auto"/>
        </w:rPr>
        <w:t>(In thousands of U.S. dollars unless otherwise noted, except per share data)</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60"/>
        <w:spacing w:after="0"/>
        <w:tabs>
          <w:tab w:leader="none" w:pos="960" w:val="left"/>
        </w:tabs>
        <w:rPr>
          <w:sz w:val="20"/>
          <w:szCs w:val="20"/>
          <w:color w:val="auto"/>
        </w:rPr>
      </w:pPr>
      <w:r>
        <w:rPr>
          <w:rFonts w:ascii="Times New Roman" w:cs="Times New Roman" w:eastAsia="Times New Roman" w:hAnsi="Times New Roman"/>
          <w:sz w:val="20"/>
          <w:szCs w:val="20"/>
          <w:b w:val="1"/>
          <w:bCs w:val="1"/>
          <w:i w:val="1"/>
          <w:iCs w:val="1"/>
          <w:color w:val="auto"/>
        </w:rPr>
        <w:t>1-17</w:t>
      </w:r>
      <w:r>
        <w:rPr>
          <w:sz w:val="20"/>
          <w:szCs w:val="20"/>
          <w:color w:val="auto"/>
        </w:rPr>
        <w:tab/>
      </w:r>
      <w:r>
        <w:rPr>
          <w:rFonts w:ascii="Times New Roman" w:cs="Times New Roman" w:eastAsia="Times New Roman" w:hAnsi="Times New Roman"/>
          <w:sz w:val="19"/>
          <w:szCs w:val="19"/>
          <w:b w:val="1"/>
          <w:bCs w:val="1"/>
          <w:i w:val="1"/>
          <w:iCs w:val="1"/>
          <w:color w:val="auto"/>
        </w:rPr>
        <w:t>Research and development costs</w:t>
      </w:r>
    </w:p>
    <w:p>
      <w:pPr>
        <w:spacing w:after="0" w:line="19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Research and development costs are recorded as an expense in the period in which they are incurred.</w:t>
      </w:r>
    </w:p>
    <w:p>
      <w:pPr>
        <w:spacing w:after="0" w:line="200"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The French government provides tax credits to companies for innovative research and development. This tax credit is calculated based on a percentage of eligible research and development costs and it can be refundable in cash and is not contingent on future taxable income. As such, the Company considers the research tax credits as a grant, offsetting research and development expenses.</w:t>
      </w:r>
    </w:p>
    <w:p>
      <w:pPr>
        <w:spacing w:after="0" w:line="157" w:lineRule="exact"/>
        <w:rPr>
          <w:sz w:val="20"/>
          <w:szCs w:val="20"/>
          <w:color w:val="auto"/>
        </w:rPr>
      </w:pPr>
    </w:p>
    <w:p>
      <w:pPr>
        <w:ind w:left="360"/>
        <w:spacing w:after="0"/>
        <w:tabs>
          <w:tab w:leader="none" w:pos="960" w:val="left"/>
        </w:tabs>
        <w:rPr>
          <w:sz w:val="20"/>
          <w:szCs w:val="20"/>
          <w:color w:val="auto"/>
        </w:rPr>
      </w:pPr>
      <w:r>
        <w:rPr>
          <w:rFonts w:ascii="Times New Roman" w:cs="Times New Roman" w:eastAsia="Times New Roman" w:hAnsi="Times New Roman"/>
          <w:sz w:val="20"/>
          <w:szCs w:val="20"/>
          <w:b w:val="1"/>
          <w:bCs w:val="1"/>
          <w:i w:val="1"/>
          <w:iCs w:val="1"/>
          <w:color w:val="auto"/>
        </w:rPr>
        <w:t>1-18</w:t>
        <w:tab/>
        <w:t>Advertising costs</w:t>
      </w:r>
    </w:p>
    <w:p>
      <w:pPr>
        <w:spacing w:after="0" w:line="198"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Advertising costs are recorded as an expense in the period in which they are incurred and are included in selling and administrative expenses in the accompanying consolidated statements of operations. Advertising costs amounted to $1,954 thousand and $1,883 thousand for the years ended December 31, 2025 and 2024, respectively.</w:t>
      </w:r>
    </w:p>
    <w:p>
      <w:pPr>
        <w:spacing w:after="0" w:line="151" w:lineRule="exact"/>
        <w:rPr>
          <w:sz w:val="20"/>
          <w:szCs w:val="20"/>
          <w:color w:val="auto"/>
        </w:rPr>
      </w:pPr>
    </w:p>
    <w:p>
      <w:pPr>
        <w:ind w:left="360"/>
        <w:spacing w:after="0"/>
        <w:tabs>
          <w:tab w:leader="none" w:pos="960" w:val="left"/>
        </w:tabs>
        <w:rPr>
          <w:sz w:val="20"/>
          <w:szCs w:val="20"/>
          <w:color w:val="auto"/>
        </w:rPr>
      </w:pPr>
      <w:r>
        <w:rPr>
          <w:rFonts w:ascii="Times New Roman" w:cs="Times New Roman" w:eastAsia="Times New Roman" w:hAnsi="Times New Roman"/>
          <w:sz w:val="20"/>
          <w:szCs w:val="20"/>
          <w:b w:val="1"/>
          <w:bCs w:val="1"/>
          <w:i w:val="1"/>
          <w:iCs w:val="1"/>
          <w:color w:val="auto"/>
        </w:rPr>
        <w:t>1-19</w:t>
      </w:r>
      <w:r>
        <w:rPr>
          <w:sz w:val="20"/>
          <w:szCs w:val="20"/>
          <w:color w:val="auto"/>
        </w:rPr>
        <w:tab/>
      </w:r>
      <w:r>
        <w:rPr>
          <w:rFonts w:ascii="Times New Roman" w:cs="Times New Roman" w:eastAsia="Times New Roman" w:hAnsi="Times New Roman"/>
          <w:sz w:val="19"/>
          <w:szCs w:val="19"/>
          <w:b w:val="1"/>
          <w:bCs w:val="1"/>
          <w:i w:val="1"/>
          <w:iCs w:val="1"/>
          <w:color w:val="auto"/>
        </w:rPr>
        <w:t>Foreign currency translation and transactions</w:t>
      </w:r>
    </w:p>
    <w:p>
      <w:pPr>
        <w:spacing w:after="0" w:line="20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auto"/>
        </w:rPr>
        <w:t>Translation of the financial statements of consolidated companies</w:t>
      </w:r>
    </w:p>
    <w:p>
      <w:pPr>
        <w:spacing w:after="0" w:line="196"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The reporting currency of EDAP TMS S.A. for all years presented is the U.S. dollar ($) while its functional currency is the euro (€). The functional currency of each subsidiary is its local currency. In accordance with ASC 830, all accounts in the financial statements are translated into U.S. dollar from the functional currency at the following exchange rates:</w:t>
      </w:r>
    </w:p>
    <w:p>
      <w:pPr>
        <w:spacing w:after="0" w:line="167" w:lineRule="exact"/>
        <w:rPr>
          <w:sz w:val="20"/>
          <w:szCs w:val="20"/>
          <w:color w:val="auto"/>
        </w:rPr>
      </w:pPr>
    </w:p>
    <w:p>
      <w:pPr>
        <w:ind w:left="1080" w:hanging="353"/>
        <w:spacing w:after="0"/>
        <w:tabs>
          <w:tab w:leader="none" w:pos="1080" w:val="left"/>
        </w:tabs>
        <w:numPr>
          <w:ilvl w:val="0"/>
          <w:numId w:val="40"/>
        </w:numPr>
        <w:rPr>
          <w:rFonts w:ascii="Arial" w:cs="Arial" w:eastAsia="Arial" w:hAnsi="Arial"/>
          <w:sz w:val="20"/>
          <w:szCs w:val="20"/>
          <w:color w:val="auto"/>
        </w:rPr>
      </w:pPr>
      <w:r>
        <w:rPr>
          <w:rFonts w:ascii="Times New Roman" w:cs="Times New Roman" w:eastAsia="Times New Roman" w:hAnsi="Times New Roman"/>
          <w:sz w:val="20"/>
          <w:szCs w:val="20"/>
          <w:color w:val="auto"/>
        </w:rPr>
        <w:t>assets and liabilities are translated at year-end exchange rates;</w:t>
      </w:r>
    </w:p>
    <w:p>
      <w:pPr>
        <w:spacing w:after="0" w:line="13" w:lineRule="exact"/>
        <w:rPr>
          <w:rFonts w:ascii="Arial" w:cs="Arial" w:eastAsia="Arial" w:hAnsi="Arial"/>
          <w:sz w:val="20"/>
          <w:szCs w:val="20"/>
          <w:color w:val="auto"/>
        </w:rPr>
      </w:pPr>
    </w:p>
    <w:p>
      <w:pPr>
        <w:ind w:left="1080" w:hanging="353"/>
        <w:spacing w:after="0"/>
        <w:tabs>
          <w:tab w:leader="none" w:pos="1080" w:val="left"/>
        </w:tabs>
        <w:numPr>
          <w:ilvl w:val="0"/>
          <w:numId w:val="40"/>
        </w:numPr>
        <w:rPr>
          <w:rFonts w:ascii="Arial" w:cs="Arial" w:eastAsia="Arial" w:hAnsi="Arial"/>
          <w:sz w:val="20"/>
          <w:szCs w:val="20"/>
          <w:color w:val="auto"/>
        </w:rPr>
      </w:pPr>
      <w:r>
        <w:rPr>
          <w:rFonts w:ascii="Times New Roman" w:cs="Times New Roman" w:eastAsia="Times New Roman" w:hAnsi="Times New Roman"/>
          <w:sz w:val="20"/>
          <w:szCs w:val="20"/>
          <w:color w:val="auto"/>
        </w:rPr>
        <w:t>shareholders’ equity is translated at historical exchange rates (as of the date of contribution);</w:t>
      </w:r>
    </w:p>
    <w:p>
      <w:pPr>
        <w:spacing w:after="0" w:line="13" w:lineRule="exact"/>
        <w:rPr>
          <w:rFonts w:ascii="Arial" w:cs="Arial" w:eastAsia="Arial" w:hAnsi="Arial"/>
          <w:sz w:val="20"/>
          <w:szCs w:val="20"/>
          <w:color w:val="auto"/>
        </w:rPr>
      </w:pPr>
    </w:p>
    <w:p>
      <w:pPr>
        <w:ind w:left="1080" w:hanging="354"/>
        <w:spacing w:after="0"/>
        <w:tabs>
          <w:tab w:leader="none" w:pos="1080" w:val="left"/>
        </w:tabs>
        <w:numPr>
          <w:ilvl w:val="0"/>
          <w:numId w:val="40"/>
        </w:numPr>
        <w:rPr>
          <w:rFonts w:ascii="Arial" w:cs="Arial" w:eastAsia="Arial" w:hAnsi="Arial"/>
          <w:sz w:val="20"/>
          <w:szCs w:val="20"/>
          <w:color w:val="auto"/>
        </w:rPr>
      </w:pPr>
      <w:r>
        <w:rPr>
          <w:rFonts w:ascii="Times New Roman" w:cs="Times New Roman" w:eastAsia="Times New Roman" w:hAnsi="Times New Roman"/>
          <w:sz w:val="20"/>
          <w:szCs w:val="20"/>
          <w:color w:val="auto"/>
        </w:rPr>
        <w:t>statement of operations items are translated at average exchange rates for the year; and</w:t>
      </w:r>
    </w:p>
    <w:p>
      <w:pPr>
        <w:spacing w:after="0" w:line="13" w:lineRule="exact"/>
        <w:rPr>
          <w:rFonts w:ascii="Arial" w:cs="Arial" w:eastAsia="Arial" w:hAnsi="Arial"/>
          <w:sz w:val="20"/>
          <w:szCs w:val="20"/>
          <w:color w:val="auto"/>
        </w:rPr>
      </w:pPr>
    </w:p>
    <w:p>
      <w:pPr>
        <w:ind w:left="1080" w:hanging="354"/>
        <w:spacing w:after="0"/>
        <w:tabs>
          <w:tab w:leader="none" w:pos="1080" w:val="left"/>
        </w:tabs>
        <w:numPr>
          <w:ilvl w:val="0"/>
          <w:numId w:val="40"/>
        </w:numPr>
        <w:rPr>
          <w:rFonts w:ascii="Arial" w:cs="Arial" w:eastAsia="Arial" w:hAnsi="Arial"/>
          <w:sz w:val="20"/>
          <w:szCs w:val="20"/>
          <w:color w:val="auto"/>
        </w:rPr>
      </w:pPr>
      <w:r>
        <w:rPr>
          <w:rFonts w:ascii="Times New Roman" w:cs="Times New Roman" w:eastAsia="Times New Roman" w:hAnsi="Times New Roman"/>
          <w:sz w:val="20"/>
          <w:szCs w:val="20"/>
          <w:color w:val="auto"/>
        </w:rPr>
        <w:t>translation gains and losses are recorded in a separate component of shareholders’ equity.</w:t>
      </w:r>
    </w:p>
    <w:p>
      <w:pPr>
        <w:spacing w:after="0" w:line="20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auto"/>
        </w:rPr>
        <w:t>Foreign currencies transactions</w:t>
      </w:r>
    </w:p>
    <w:p>
      <w:pPr>
        <w:spacing w:after="0" w:line="196"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Transactions involving foreign currencies are translated into the functional currency using the exchange rate prevailing at the time of the transactions. Receivables and payables denominated in foreign currencies are translated at year-end exchange rates. The resulting unrealized exchange gains and losses are recorded in the statement of operations.</w:t>
      </w:r>
    </w:p>
    <w:p>
      <w:pPr>
        <w:spacing w:after="0" w:line="15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auto"/>
        </w:rPr>
        <w:t>Presentation in the Statement of Operations</w:t>
      </w:r>
    </w:p>
    <w:p>
      <w:pPr>
        <w:spacing w:after="0" w:line="196" w:lineRule="exact"/>
        <w:rPr>
          <w:sz w:val="20"/>
          <w:szCs w:val="20"/>
          <w:color w:val="auto"/>
        </w:rPr>
      </w:pPr>
    </w:p>
    <w:p>
      <w:pPr>
        <w:jc w:val="both"/>
        <w:ind w:firstLine="720"/>
        <w:spacing w:after="0" w:line="279" w:lineRule="auto"/>
        <w:rPr>
          <w:sz w:val="20"/>
          <w:szCs w:val="20"/>
          <w:color w:val="auto"/>
        </w:rPr>
      </w:pPr>
      <w:r>
        <w:rPr>
          <w:rFonts w:ascii="Times New Roman" w:cs="Times New Roman" w:eastAsia="Times New Roman" w:hAnsi="Times New Roman"/>
          <w:sz w:val="20"/>
          <w:szCs w:val="20"/>
          <w:color w:val="auto"/>
        </w:rPr>
        <w:t>Aggregate foreign currency transactions gains and losses are disclosed in a single caption in the Statement of Operations under section “Foreign currency exchange gain (loss), net”.</w:t>
      </w:r>
    </w:p>
    <w:p>
      <w:pPr>
        <w:spacing w:after="0" w:line="127" w:lineRule="exact"/>
        <w:rPr>
          <w:sz w:val="20"/>
          <w:szCs w:val="20"/>
          <w:color w:val="auto"/>
        </w:rPr>
      </w:pPr>
    </w:p>
    <w:p>
      <w:pPr>
        <w:ind w:left="360"/>
        <w:spacing w:after="0"/>
        <w:tabs>
          <w:tab w:leader="none" w:pos="960" w:val="left"/>
        </w:tabs>
        <w:rPr>
          <w:sz w:val="20"/>
          <w:szCs w:val="20"/>
          <w:color w:val="auto"/>
        </w:rPr>
      </w:pPr>
      <w:r>
        <w:rPr>
          <w:rFonts w:ascii="Times New Roman" w:cs="Times New Roman" w:eastAsia="Times New Roman" w:hAnsi="Times New Roman"/>
          <w:sz w:val="20"/>
          <w:szCs w:val="20"/>
          <w:b w:val="1"/>
          <w:bCs w:val="1"/>
          <w:i w:val="1"/>
          <w:iCs w:val="1"/>
          <w:color w:val="auto"/>
        </w:rPr>
        <w:t>1-20</w:t>
      </w:r>
      <w:r>
        <w:rPr>
          <w:sz w:val="20"/>
          <w:szCs w:val="20"/>
          <w:color w:val="auto"/>
        </w:rPr>
        <w:tab/>
      </w:r>
      <w:r>
        <w:rPr>
          <w:rFonts w:ascii="Times New Roman" w:cs="Times New Roman" w:eastAsia="Times New Roman" w:hAnsi="Times New Roman"/>
          <w:sz w:val="19"/>
          <w:szCs w:val="19"/>
          <w:b w:val="1"/>
          <w:bCs w:val="1"/>
          <w:i w:val="1"/>
          <w:iCs w:val="1"/>
          <w:color w:val="auto"/>
        </w:rPr>
        <w:t>Earnings per share</w:t>
      </w:r>
    </w:p>
    <w:p>
      <w:pPr>
        <w:spacing w:after="0" w:line="198" w:lineRule="exact"/>
        <w:rPr>
          <w:sz w:val="20"/>
          <w:szCs w:val="20"/>
          <w:color w:val="auto"/>
        </w:rPr>
      </w:pPr>
    </w:p>
    <w:p>
      <w:pPr>
        <w:jc w:val="both"/>
        <w:ind w:firstLine="720"/>
        <w:spacing w:after="0" w:line="246" w:lineRule="auto"/>
        <w:rPr>
          <w:sz w:val="20"/>
          <w:szCs w:val="20"/>
          <w:color w:val="auto"/>
        </w:rPr>
      </w:pPr>
      <w:r>
        <w:rPr>
          <w:rFonts w:ascii="Times New Roman" w:cs="Times New Roman" w:eastAsia="Times New Roman" w:hAnsi="Times New Roman"/>
          <w:sz w:val="20"/>
          <w:szCs w:val="20"/>
          <w:color w:val="auto"/>
        </w:rPr>
        <w:t>Basic earnings per share is computed by dividing income available to common shareholders by the weighted average number of shares of common stock outstanding for the period. Diluted earnings per share reflect potential dilution that could occur if securities or other contracts to issue common stock were exercised or converted into common stock or resulted in the issuance of common stock that then shared in the earnings of the Company. The dilutive effects of the Company’s common stock options and warrants is determined using the treasury stock method to measure the number of shares that are assumed to have been repurchased using the average market price during the period, which is converted from U.S. dollar at the average exchange rate for the period.</w:t>
      </w:r>
    </w:p>
    <w:p>
      <w:pPr>
        <w:spacing w:after="0" w:line="162" w:lineRule="exact"/>
        <w:rPr>
          <w:sz w:val="20"/>
          <w:szCs w:val="20"/>
          <w:color w:val="auto"/>
        </w:rPr>
      </w:pPr>
    </w:p>
    <w:p>
      <w:pPr>
        <w:ind w:left="360"/>
        <w:spacing w:after="0"/>
        <w:tabs>
          <w:tab w:leader="none" w:pos="960" w:val="left"/>
        </w:tabs>
        <w:rPr>
          <w:sz w:val="20"/>
          <w:szCs w:val="20"/>
          <w:color w:val="auto"/>
        </w:rPr>
      </w:pPr>
      <w:r>
        <w:rPr>
          <w:rFonts w:ascii="Times New Roman" w:cs="Times New Roman" w:eastAsia="Times New Roman" w:hAnsi="Times New Roman"/>
          <w:sz w:val="20"/>
          <w:szCs w:val="20"/>
          <w:b w:val="1"/>
          <w:bCs w:val="1"/>
          <w:i w:val="1"/>
          <w:iCs w:val="1"/>
          <w:color w:val="auto"/>
        </w:rPr>
        <w:t>1-21</w:t>
        <w:tab/>
        <w:t>Derivative instruments</w:t>
      </w:r>
    </w:p>
    <w:p>
      <w:pPr>
        <w:spacing w:after="0" w:line="198" w:lineRule="exact"/>
        <w:rPr>
          <w:sz w:val="20"/>
          <w:szCs w:val="20"/>
          <w:color w:val="auto"/>
        </w:rPr>
      </w:pPr>
    </w:p>
    <w:p>
      <w:pPr>
        <w:jc w:val="both"/>
        <w:ind w:firstLine="720"/>
        <w:spacing w:after="0" w:line="271" w:lineRule="auto"/>
        <w:rPr>
          <w:sz w:val="20"/>
          <w:szCs w:val="20"/>
          <w:color w:val="auto"/>
        </w:rPr>
      </w:pPr>
      <w:r>
        <w:rPr>
          <w:rFonts w:ascii="Times New Roman" w:cs="Times New Roman" w:eastAsia="Times New Roman" w:hAnsi="Times New Roman"/>
          <w:sz w:val="19"/>
          <w:szCs w:val="19"/>
          <w:color w:val="auto"/>
        </w:rPr>
        <w:t>ASC 815 requires the Company to recognize all of its derivative instruments as either assets or liabilities in the statement of financial position at fair value. The accounting for changes in the fair value (i.e., gains or losses) of a derivative instrument depends on whether it has been designated and qualifies as part of a hedging relationship and further, on the type of hedging relationship. For those derivative instruments that are designated and qualify as hedging</w:t>
      </w:r>
    </w:p>
    <w:p>
      <w:pPr>
        <w:sectPr>
          <w:pgSz w:w="11900" w:h="16838" w:orient="portrait"/>
          <w:cols w:equalWidth="0" w:num="1">
            <w:col w:w="9380"/>
          </w:cols>
          <w:pgMar w:left="1260" w:top="838" w:right="1266" w:bottom="723"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F-15</w:t>
      </w:r>
    </w:p>
    <w:p>
      <w:pPr>
        <w:sectPr>
          <w:pgSz w:w="11900" w:h="16838" w:orient="portrait"/>
          <w:cols w:equalWidth="0" w:num="1">
            <w:col w:w="9380"/>
          </w:cols>
          <w:pgMar w:left="1260" w:top="838" w:right="1266" w:bottom="723" w:gutter="0" w:footer="0" w:header="0"/>
          <w:type w:val="continuous"/>
        </w:sectPr>
      </w:pPr>
    </w:p>
    <w:bookmarkStart w:id="70" w:name="page71"/>
    <w:bookmarkEnd w:id="70"/>
    <w:p>
      <w:pPr>
        <w:ind w:left="3180"/>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795655</wp:posOffset>
            </wp:positionH>
            <wp:positionV relativeFrom="page">
              <wp:posOffset>292735</wp:posOffset>
            </wp:positionV>
            <wp:extent cx="929005" cy="1149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0">
                      <a:extLst>
                        <a:ext uri="{28A0092B-C50C-407E-A947-70E740481C1C}"/>
                      </a:extLst>
                    </a:blip>
                    <a:srcRect/>
                    <a:stretch>
                      <a:fillRect/>
                    </a:stretch>
                  </pic:blipFill>
                  <pic:spPr bwMode="auto">
                    <a:xfrm>
                      <a:off x="0" y="0"/>
                      <a:ext cx="929005" cy="114935"/>
                    </a:xfrm>
                    <a:prstGeom prst="rect">
                      <a:avLst/>
                    </a:prstGeom>
                    <a:noFill/>
                  </pic:spPr>
                </pic:pic>
              </a:graphicData>
            </a:graphic>
          </wp:anchor>
        </w:drawing>
        <w:t>EDAP TMS S.A. AND SUBSIDIARIES</w:t>
      </w:r>
    </w:p>
    <w:p>
      <w:pPr>
        <w:ind w:left="2760"/>
        <w:spacing w:after="0"/>
        <w:rPr>
          <w:sz w:val="20"/>
          <w:szCs w:val="20"/>
          <w:color w:val="auto"/>
        </w:rPr>
      </w:pPr>
      <w:r>
        <w:rPr>
          <w:rFonts w:ascii="Times New Roman" w:cs="Times New Roman" w:eastAsia="Times New Roman" w:hAnsi="Times New Roman"/>
          <w:sz w:val="20"/>
          <w:szCs w:val="20"/>
          <w:b w:val="1"/>
          <w:bCs w:val="1"/>
          <w:color w:val="auto"/>
        </w:rPr>
        <w:t>CONSOLIDATED FINANCIAL STATEMENTS</w:t>
      </w:r>
    </w:p>
    <w:p>
      <w:pPr>
        <w:ind w:left="1500"/>
        <w:spacing w:after="0"/>
        <w:rPr>
          <w:sz w:val="20"/>
          <w:szCs w:val="20"/>
          <w:color w:val="auto"/>
        </w:rPr>
      </w:pPr>
      <w:r>
        <w:rPr>
          <w:rFonts w:ascii="Times New Roman" w:cs="Times New Roman" w:eastAsia="Times New Roman" w:hAnsi="Times New Roman"/>
          <w:sz w:val="20"/>
          <w:szCs w:val="20"/>
          <w:b w:val="1"/>
          <w:bCs w:val="1"/>
          <w:color w:val="auto"/>
        </w:rPr>
        <w:t>(In thousands of U.S. dollars unless otherwise noted, except per share data)</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0"/>
          <w:szCs w:val="20"/>
          <w:color w:val="auto"/>
        </w:rPr>
        <w:t>instruments, the Company must classify the hedging instrument, based upon the exposure being hedged, as fair value hedge, cash flow hedge or a hedge of a net investment in a foreign operation.</w:t>
      </w:r>
    </w:p>
    <w:p>
      <w:pPr>
        <w:spacing w:after="0" w:line="125" w:lineRule="exact"/>
        <w:rPr>
          <w:sz w:val="20"/>
          <w:szCs w:val="20"/>
          <w:color w:val="auto"/>
        </w:rPr>
      </w:pPr>
    </w:p>
    <w:p>
      <w:pPr>
        <w:jc w:val="both"/>
        <w:ind w:firstLine="720"/>
        <w:spacing w:after="0" w:line="279" w:lineRule="auto"/>
        <w:rPr>
          <w:sz w:val="20"/>
          <w:szCs w:val="20"/>
          <w:color w:val="auto"/>
        </w:rPr>
      </w:pPr>
      <w:r>
        <w:rPr>
          <w:rFonts w:ascii="Times New Roman" w:cs="Times New Roman" w:eastAsia="Times New Roman" w:hAnsi="Times New Roman"/>
          <w:sz w:val="20"/>
          <w:szCs w:val="20"/>
          <w:color w:val="auto"/>
        </w:rPr>
        <w:t>Gains and losses from derivative instruments are recorded in the Statement of Operations. As of December 31, 2025, there is one derivative instrument, EIB Warrants.</w:t>
      </w:r>
    </w:p>
    <w:p>
      <w:pPr>
        <w:spacing w:after="0" w:line="125" w:lineRule="exact"/>
        <w:rPr>
          <w:sz w:val="20"/>
          <w:szCs w:val="20"/>
          <w:color w:val="auto"/>
        </w:rPr>
      </w:pPr>
    </w:p>
    <w:p>
      <w:pPr>
        <w:jc w:val="both"/>
        <w:ind w:firstLine="720"/>
        <w:spacing w:after="0" w:line="250" w:lineRule="auto"/>
        <w:rPr>
          <w:sz w:val="20"/>
          <w:szCs w:val="20"/>
          <w:color w:val="auto"/>
        </w:rPr>
      </w:pPr>
      <w:r>
        <w:rPr>
          <w:rFonts w:ascii="Times New Roman" w:cs="Times New Roman" w:eastAsia="Times New Roman" w:hAnsi="Times New Roman"/>
          <w:sz w:val="20"/>
          <w:szCs w:val="20"/>
          <w:color w:val="auto"/>
        </w:rPr>
        <w:t>The fair value measurement of the warrants issued to EIB is based on Black &amp; Scholes option valuation model which makes assumptions about complex and subjective variables. These variables include the value of the Company’s ordinary shares, the expected volatility of the share price over the lifetime of the instrument, and the present and future behavior of holder of those instruments. There is a high inherent risk of subjectivity when using an option valuation model to measure the fair value of derivative instruments and of the equity instruments.</w:t>
      </w:r>
    </w:p>
    <w:p>
      <w:pPr>
        <w:spacing w:after="0" w:line="154" w:lineRule="exact"/>
        <w:rPr>
          <w:sz w:val="20"/>
          <w:szCs w:val="20"/>
          <w:color w:val="auto"/>
        </w:rPr>
      </w:pPr>
    </w:p>
    <w:p>
      <w:pPr>
        <w:ind w:left="360" w:right="2100" w:firstLine="360"/>
        <w:spacing w:after="0" w:line="487" w:lineRule="auto"/>
        <w:rPr>
          <w:sz w:val="20"/>
          <w:szCs w:val="20"/>
          <w:color w:val="auto"/>
        </w:rPr>
      </w:pPr>
      <w:r>
        <w:rPr>
          <w:rFonts w:ascii="Times New Roman" w:cs="Times New Roman" w:eastAsia="Times New Roman" w:hAnsi="Times New Roman"/>
          <w:sz w:val="20"/>
          <w:szCs w:val="20"/>
          <w:color w:val="auto"/>
        </w:rPr>
        <w:t xml:space="preserve">The valuation assumptions utilized are disclosed in Note 16-1-1 – Long term debt </w:t>
      </w:r>
      <w:r>
        <w:rPr>
          <w:rFonts w:ascii="Times New Roman" w:cs="Times New Roman" w:eastAsia="Times New Roman" w:hAnsi="Times New Roman"/>
          <w:sz w:val="20"/>
          <w:szCs w:val="20"/>
          <w:b w:val="1"/>
          <w:bCs w:val="1"/>
          <w:i w:val="1"/>
          <w:iCs w:val="1"/>
          <w:color w:val="auto"/>
        </w:rPr>
        <w:t>1-22 Employee stock option and free shares plan</w:t>
      </w:r>
    </w:p>
    <w:p>
      <w:pPr>
        <w:spacing w:after="0" w:line="24" w:lineRule="exact"/>
        <w:rPr>
          <w:sz w:val="20"/>
          <w:szCs w:val="20"/>
          <w:color w:val="auto"/>
        </w:rPr>
      </w:pPr>
    </w:p>
    <w:p>
      <w:pPr>
        <w:jc w:val="both"/>
        <w:ind w:firstLine="361"/>
        <w:spacing w:after="0" w:line="244" w:lineRule="auto"/>
        <w:rPr>
          <w:sz w:val="20"/>
          <w:szCs w:val="20"/>
          <w:color w:val="auto"/>
        </w:rPr>
      </w:pPr>
      <w:r>
        <w:rPr>
          <w:rFonts w:ascii="Times New Roman" w:cs="Times New Roman" w:eastAsia="Times New Roman" w:hAnsi="Times New Roman"/>
          <w:sz w:val="20"/>
          <w:szCs w:val="20"/>
          <w:color w:val="auto"/>
        </w:rPr>
        <w:t>The accounting for stock-based awards is based on the fair value of the award measured at the grant date. Accordingly, stock-based compensation cost is recognized in the consolidated statements of operations and comprehensive loss as an operating expense over the requisite service period. The fair value of stock options is determined using the Black-Scholes option-pricing model. The Company determines the fair value of stock option awards on the date of grant using assumptions regarding expected term, share price volatility over the expected term of the awards, risk-free interest rate, and dividend rate. The fair value of free shares is measured using the fair value of the Company's shares as if the free shares were vested and issued on the grant date. Forfeited stock-options and free shares are recognized as they occur, in accordance with ASU 2016-09. The Company recognizes compensation cost for employee awards with only service conditions that have a graded vesting schedule on a straight-line basis over the requisite service period for each separately vesting portion of the award as if the award was, in-substance, multiple awards.</w:t>
      </w:r>
    </w:p>
    <w:p>
      <w:pPr>
        <w:spacing w:after="0" w:line="62" w:lineRule="exact"/>
        <w:rPr>
          <w:sz w:val="20"/>
          <w:szCs w:val="20"/>
          <w:color w:val="auto"/>
        </w:rPr>
      </w:pPr>
    </w:p>
    <w:p>
      <w:pPr>
        <w:jc w:val="both"/>
        <w:ind w:firstLine="720"/>
        <w:spacing w:after="0" w:line="279" w:lineRule="auto"/>
        <w:rPr>
          <w:sz w:val="20"/>
          <w:szCs w:val="20"/>
          <w:color w:val="auto"/>
        </w:rPr>
      </w:pPr>
      <w:r>
        <w:rPr>
          <w:rFonts w:ascii="Times New Roman" w:cs="Times New Roman" w:eastAsia="Times New Roman" w:hAnsi="Times New Roman"/>
          <w:sz w:val="20"/>
          <w:szCs w:val="20"/>
          <w:color w:val="auto"/>
        </w:rPr>
        <w:t>At December 31, 2025, the Company had five stock-based employee compensation plans and three free shares plans.</w:t>
      </w:r>
    </w:p>
    <w:p>
      <w:pPr>
        <w:spacing w:after="0" w:line="127" w:lineRule="exact"/>
        <w:rPr>
          <w:sz w:val="20"/>
          <w:szCs w:val="20"/>
          <w:color w:val="auto"/>
        </w:rPr>
      </w:pPr>
    </w:p>
    <w:p>
      <w:pPr>
        <w:ind w:left="360"/>
        <w:spacing w:after="0"/>
        <w:tabs>
          <w:tab w:leader="none" w:pos="960" w:val="left"/>
        </w:tabs>
        <w:rPr>
          <w:sz w:val="20"/>
          <w:szCs w:val="20"/>
          <w:color w:val="auto"/>
        </w:rPr>
      </w:pPr>
      <w:r>
        <w:rPr>
          <w:rFonts w:ascii="Times New Roman" w:cs="Times New Roman" w:eastAsia="Times New Roman" w:hAnsi="Times New Roman"/>
          <w:sz w:val="20"/>
          <w:szCs w:val="20"/>
          <w:b w:val="1"/>
          <w:bCs w:val="1"/>
          <w:i w:val="1"/>
          <w:iCs w:val="1"/>
          <w:color w:val="auto"/>
        </w:rPr>
        <w:t>1-23</w:t>
        <w:tab/>
        <w:t>Leases</w:t>
      </w:r>
    </w:p>
    <w:p>
      <w:pPr>
        <w:spacing w:after="0" w:line="20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auto"/>
        </w:rPr>
        <w:t>Leases as a Lessee</w:t>
      </w:r>
    </w:p>
    <w:p>
      <w:pPr>
        <w:spacing w:after="0" w:line="196" w:lineRule="exact"/>
        <w:rPr>
          <w:sz w:val="20"/>
          <w:szCs w:val="20"/>
          <w:color w:val="auto"/>
        </w:rPr>
      </w:pPr>
    </w:p>
    <w:p>
      <w:pPr>
        <w:jc w:val="both"/>
        <w:ind w:firstLine="720"/>
        <w:spacing w:after="0"/>
        <w:rPr>
          <w:sz w:val="20"/>
          <w:szCs w:val="20"/>
          <w:color w:val="auto"/>
        </w:rPr>
      </w:pPr>
      <w:r>
        <w:rPr>
          <w:rFonts w:ascii="Times New Roman" w:cs="Times New Roman" w:eastAsia="Times New Roman" w:hAnsi="Times New Roman"/>
          <w:sz w:val="20"/>
          <w:szCs w:val="20"/>
          <w:color w:val="auto"/>
        </w:rPr>
        <w:t>In accordance with ASC 842, Leases, and as from January 1, 2019, the Company classifies all leases at the inception of a contract and assesses whether the contract is, or contains, a lease. The assessment is based on:</w:t>
      </w:r>
    </w:p>
    <w:p>
      <w:pPr>
        <w:spacing w:after="0" w:line="1" w:lineRule="exact"/>
        <w:rPr>
          <w:sz w:val="20"/>
          <w:szCs w:val="20"/>
          <w:color w:val="auto"/>
        </w:rPr>
      </w:pPr>
    </w:p>
    <w:p>
      <w:pPr>
        <w:jc w:val="both"/>
        <w:ind w:firstLine="6"/>
        <w:spacing w:after="0" w:line="258" w:lineRule="auto"/>
        <w:tabs>
          <w:tab w:leader="none" w:pos="286"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whether the contract involves the use of a distinct identified asset, (2) whether the company controls the use of the identified asset (e.g. whether the company has the right to obtain substantially all of the economic benefits from the use of the asset throughout the period, and whether the company has the right to direct the use of the asset).</w:t>
      </w:r>
    </w:p>
    <w:p>
      <w:pPr>
        <w:spacing w:after="0" w:line="147" w:lineRule="exact"/>
        <w:rPr>
          <w:sz w:val="20"/>
          <w:szCs w:val="20"/>
          <w:color w:val="auto"/>
        </w:rPr>
      </w:pPr>
    </w:p>
    <w:p>
      <w:pPr>
        <w:jc w:val="both"/>
        <w:ind w:firstLine="720"/>
        <w:spacing w:after="0" w:line="259" w:lineRule="auto"/>
        <w:rPr>
          <w:sz w:val="20"/>
          <w:szCs w:val="20"/>
          <w:color w:val="auto"/>
        </w:rPr>
      </w:pPr>
      <w:r>
        <w:rPr>
          <w:rFonts w:ascii="Times New Roman" w:cs="Times New Roman" w:eastAsia="Times New Roman" w:hAnsi="Times New Roman"/>
          <w:sz w:val="20"/>
          <w:szCs w:val="20"/>
          <w:color w:val="auto"/>
        </w:rPr>
        <w:t>Leases are classified as either finance leases or operating leases. Substantially all our operating leases are comprised of office space leases, and substantially all our finance leases are comprised of office furniture and technology equipment.</w:t>
      </w:r>
    </w:p>
    <w:p>
      <w:pPr>
        <w:spacing w:after="0" w:line="146" w:lineRule="exact"/>
        <w:rPr>
          <w:sz w:val="20"/>
          <w:szCs w:val="20"/>
          <w:color w:val="auto"/>
        </w:rPr>
      </w:pPr>
    </w:p>
    <w:p>
      <w:pPr>
        <w:jc w:val="both"/>
        <w:ind w:firstLine="720"/>
        <w:spacing w:after="0" w:line="261" w:lineRule="auto"/>
        <w:rPr>
          <w:sz w:val="20"/>
          <w:szCs w:val="20"/>
          <w:color w:val="auto"/>
        </w:rPr>
      </w:pPr>
      <w:r>
        <w:rPr>
          <w:rFonts w:ascii="Times New Roman" w:cs="Times New Roman" w:eastAsia="Times New Roman" w:hAnsi="Times New Roman"/>
          <w:sz w:val="19"/>
          <w:szCs w:val="19"/>
          <w:color w:val="auto"/>
        </w:rPr>
        <w:t>The Company recognizes a right-of-use (“ROU”) assets and a lease liability at the lease commencement date. The right-of-use asset is initially measured at cost, which primarily comprises the initial amount of the lease liability, plus any initial direct costs incurred, plus prepaid lease payments, less any lease incentives received. All ROU assets are reviewed for impairment. For operating leases, the lease liability is initially measured at the present value of the unpaid lease payments at lease commencement date, discounted using the incremental borrowing rate for assets of same duration or characteristics. For finance leases the lease liability is initially measured in the same manner and date as for operating leases and is subsequently measured at amortized cost using the effective interest method</w:t>
      </w:r>
    </w:p>
    <w:p>
      <w:pPr>
        <w:spacing w:after="0" w:line="147" w:lineRule="exact"/>
        <w:rPr>
          <w:sz w:val="20"/>
          <w:szCs w:val="20"/>
          <w:color w:val="auto"/>
        </w:rPr>
      </w:pPr>
    </w:p>
    <w:p>
      <w:pPr>
        <w:jc w:val="both"/>
        <w:ind w:firstLine="720"/>
        <w:spacing w:after="0" w:line="279" w:lineRule="auto"/>
        <w:rPr>
          <w:sz w:val="20"/>
          <w:szCs w:val="20"/>
          <w:color w:val="auto"/>
        </w:rPr>
      </w:pPr>
      <w:r>
        <w:rPr>
          <w:rFonts w:ascii="Times New Roman" w:cs="Times New Roman" w:eastAsia="Times New Roman" w:hAnsi="Times New Roman"/>
          <w:sz w:val="20"/>
          <w:szCs w:val="20"/>
          <w:color w:val="auto"/>
        </w:rPr>
        <w:t>For operating leases, the ROU asset is subsequently measured throughout the lease term at the carrying amount of the lease liability, plus initial direct costs, plus (minus) any prepaid (accrued) lease payments, less the</w:t>
      </w:r>
    </w:p>
    <w:p>
      <w:pPr>
        <w:sectPr>
          <w:pgSz w:w="11900" w:h="16838" w:orient="portrait"/>
          <w:cols w:equalWidth="0" w:num="1">
            <w:col w:w="9380"/>
          </w:cols>
          <w:pgMar w:left="1260" w:top="838" w:right="1266" w:bottom="72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F-16</w:t>
      </w:r>
    </w:p>
    <w:p>
      <w:pPr>
        <w:sectPr>
          <w:pgSz w:w="11900" w:h="16838" w:orient="portrait"/>
          <w:cols w:equalWidth="0" w:num="1">
            <w:col w:w="9380"/>
          </w:cols>
          <w:pgMar w:left="1260" w:top="838" w:right="1266" w:bottom="723" w:gutter="0" w:footer="0" w:header="0"/>
          <w:type w:val="continuous"/>
        </w:sectPr>
      </w:pPr>
    </w:p>
    <w:bookmarkStart w:id="71" w:name="page72"/>
    <w:bookmarkEnd w:id="71"/>
    <w:p>
      <w:pPr>
        <w:ind w:left="3180"/>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795655</wp:posOffset>
            </wp:positionH>
            <wp:positionV relativeFrom="page">
              <wp:posOffset>292735</wp:posOffset>
            </wp:positionV>
            <wp:extent cx="929005" cy="1149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1">
                      <a:extLst>
                        <a:ext uri="{28A0092B-C50C-407E-A947-70E740481C1C}"/>
                      </a:extLst>
                    </a:blip>
                    <a:srcRect/>
                    <a:stretch>
                      <a:fillRect/>
                    </a:stretch>
                  </pic:blipFill>
                  <pic:spPr bwMode="auto">
                    <a:xfrm>
                      <a:off x="0" y="0"/>
                      <a:ext cx="929005" cy="114935"/>
                    </a:xfrm>
                    <a:prstGeom prst="rect">
                      <a:avLst/>
                    </a:prstGeom>
                    <a:noFill/>
                  </pic:spPr>
                </pic:pic>
              </a:graphicData>
            </a:graphic>
          </wp:anchor>
        </w:drawing>
        <w:t>EDAP TMS S.A. AND SUBSIDIARIES</w:t>
      </w:r>
    </w:p>
    <w:p>
      <w:pPr>
        <w:ind w:left="2760"/>
        <w:spacing w:after="0"/>
        <w:rPr>
          <w:sz w:val="20"/>
          <w:szCs w:val="20"/>
          <w:color w:val="auto"/>
        </w:rPr>
      </w:pPr>
      <w:r>
        <w:rPr>
          <w:rFonts w:ascii="Times New Roman" w:cs="Times New Roman" w:eastAsia="Times New Roman" w:hAnsi="Times New Roman"/>
          <w:sz w:val="20"/>
          <w:szCs w:val="20"/>
          <w:b w:val="1"/>
          <w:bCs w:val="1"/>
          <w:color w:val="auto"/>
        </w:rPr>
        <w:t>CONSOLIDATED FINANCIAL STATEMENTS</w:t>
      </w:r>
    </w:p>
    <w:p>
      <w:pPr>
        <w:ind w:left="1500"/>
        <w:spacing w:after="0"/>
        <w:rPr>
          <w:sz w:val="20"/>
          <w:szCs w:val="20"/>
          <w:color w:val="auto"/>
        </w:rPr>
      </w:pPr>
      <w:r>
        <w:rPr>
          <w:rFonts w:ascii="Times New Roman" w:cs="Times New Roman" w:eastAsia="Times New Roman" w:hAnsi="Times New Roman"/>
          <w:sz w:val="20"/>
          <w:szCs w:val="20"/>
          <w:b w:val="1"/>
          <w:bCs w:val="1"/>
          <w:color w:val="auto"/>
        </w:rPr>
        <w:t>(In thousands of U.S. dollars unless otherwise noted, except per share data)</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0"/>
          <w:szCs w:val="20"/>
          <w:color w:val="auto"/>
        </w:rPr>
        <w:t>unamortized balance of lease incentives received. Lease expense for lease payments is recognized on a straight-line basis over the lease term.</w:t>
      </w:r>
    </w:p>
    <w:p>
      <w:pPr>
        <w:spacing w:after="0" w:line="125" w:lineRule="exact"/>
        <w:rPr>
          <w:sz w:val="20"/>
          <w:szCs w:val="20"/>
          <w:color w:val="auto"/>
        </w:rPr>
      </w:pPr>
    </w:p>
    <w:p>
      <w:pPr>
        <w:jc w:val="both"/>
        <w:ind w:firstLine="720"/>
        <w:spacing w:after="0" w:line="250" w:lineRule="auto"/>
        <w:rPr>
          <w:sz w:val="20"/>
          <w:szCs w:val="20"/>
          <w:color w:val="auto"/>
        </w:rPr>
      </w:pPr>
      <w:r>
        <w:rPr>
          <w:rFonts w:ascii="Times New Roman" w:cs="Times New Roman" w:eastAsia="Times New Roman" w:hAnsi="Times New Roman"/>
          <w:sz w:val="20"/>
          <w:szCs w:val="20"/>
          <w:color w:val="auto"/>
        </w:rPr>
        <w:t>For finance leases, the ROU asset is subsequently amortized using the straight-line method from the lease commencement date to the earlier of the end of its useful life or the end of the lease term unless the lease transfers ownership of the underlying asset to the Company or the Company is reasonably certain to exercise an option to purchase the underlying asset. In those cases, the ROU asset is amortized over the useful life of the underlying asset. Amortization of the ROU asset is recognized and presented separately from interest expense on the lease liability.</w:t>
      </w:r>
    </w:p>
    <w:p>
      <w:pPr>
        <w:spacing w:after="0" w:line="154" w:lineRule="exact"/>
        <w:rPr>
          <w:sz w:val="20"/>
          <w:szCs w:val="20"/>
          <w:color w:val="auto"/>
        </w:rPr>
      </w:pPr>
    </w:p>
    <w:p>
      <w:pPr>
        <w:jc w:val="both"/>
        <w:ind w:firstLine="720"/>
        <w:spacing w:after="0" w:line="246" w:lineRule="auto"/>
        <w:rPr>
          <w:sz w:val="20"/>
          <w:szCs w:val="20"/>
          <w:color w:val="auto"/>
        </w:rPr>
      </w:pPr>
      <w:r>
        <w:rPr>
          <w:rFonts w:ascii="Times New Roman" w:cs="Times New Roman" w:eastAsia="Times New Roman" w:hAnsi="Times New Roman"/>
          <w:sz w:val="20"/>
          <w:szCs w:val="20"/>
          <w:color w:val="auto"/>
        </w:rPr>
        <w:t>Lease payments included in the measurement of the lease liability comprise the following: the fixed payments, including in-substance fixed payments over the lease term (which includes termination penalties the Company would owe if the lease term assumes the Company’s exercise of a termination option), variable lease payments that depend on an index or rate payments for optional renewal periods where it is reasonably certain the renewal period will be exercised, the exercise price of an option to purchase the underlying asset if the company is reasonably certain to exercise the option, and amounts expected to be payable under a Company provided residual value guarantee. The company assesses the discount rate by requesting credit simulation from certain banks.</w:t>
      </w:r>
    </w:p>
    <w:p>
      <w:pPr>
        <w:spacing w:after="0" w:line="160"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Variable lease payments associated with the Company’s leases are recognized when the event, activity, or circumstance in the lease agreement on which those payments are assessed occurs. Variable lease payments are presented as operating expenses in the Company’s consolidated statements of operations in the same line item as expenses arising from fixed lease payments (operating leases) or amortization of the ROU asset (finance leases).</w:t>
      </w:r>
    </w:p>
    <w:p>
      <w:pPr>
        <w:spacing w:after="0" w:line="151" w:lineRule="exact"/>
        <w:rPr>
          <w:sz w:val="20"/>
          <w:szCs w:val="20"/>
          <w:color w:val="auto"/>
        </w:rPr>
      </w:pPr>
    </w:p>
    <w:p>
      <w:pPr>
        <w:jc w:val="both"/>
        <w:ind w:firstLine="720"/>
        <w:spacing w:after="0" w:line="279" w:lineRule="auto"/>
        <w:rPr>
          <w:sz w:val="20"/>
          <w:szCs w:val="20"/>
          <w:color w:val="auto"/>
        </w:rPr>
      </w:pPr>
      <w:r>
        <w:rPr>
          <w:rFonts w:ascii="Times New Roman" w:cs="Times New Roman" w:eastAsia="Times New Roman" w:hAnsi="Times New Roman"/>
          <w:sz w:val="20"/>
          <w:szCs w:val="20"/>
          <w:color w:val="auto"/>
        </w:rPr>
        <w:t>Our real estate leases generally include non-lease maintenance services. The consideration in the contract is allocated to the lease and non-lease components based on standalone selling prices.</w:t>
      </w:r>
    </w:p>
    <w:p>
      <w:pPr>
        <w:spacing w:after="0" w:line="125" w:lineRule="exact"/>
        <w:rPr>
          <w:sz w:val="20"/>
          <w:szCs w:val="20"/>
          <w:color w:val="auto"/>
        </w:rPr>
      </w:pPr>
    </w:p>
    <w:p>
      <w:pPr>
        <w:jc w:val="both"/>
        <w:ind w:firstLine="720"/>
        <w:spacing w:after="0" w:line="246" w:lineRule="auto"/>
        <w:rPr>
          <w:sz w:val="20"/>
          <w:szCs w:val="20"/>
          <w:color w:val="auto"/>
        </w:rPr>
      </w:pPr>
      <w:r>
        <w:rPr>
          <w:rFonts w:ascii="Times New Roman" w:cs="Times New Roman" w:eastAsia="Times New Roman" w:hAnsi="Times New Roman"/>
          <w:sz w:val="20"/>
          <w:szCs w:val="20"/>
          <w:color w:val="auto"/>
        </w:rPr>
        <w:t>Some of our real estate leases contain variable lease payments, including payments based on an index or rate. Variable lease payments based on an index or rate are initially measured using the index or rate in effect at lease commencement, and changes to index and rate-based variable lease payments are recognized in profit or loss in the period of the change. Variable payments that do not depend on an index or rate, such as rental payments based on the use of the underlying asset or property taxes and insurance reimbursement, are recorded as operating expenses when incurred. Lease modifications result in remeasurement of the lease payments when that modification is not accounted for as a separate contract.</w:t>
      </w:r>
    </w:p>
    <w:p>
      <w:pPr>
        <w:spacing w:after="0" w:line="160" w:lineRule="exact"/>
        <w:rPr>
          <w:sz w:val="20"/>
          <w:szCs w:val="20"/>
          <w:color w:val="auto"/>
        </w:rPr>
      </w:pPr>
    </w:p>
    <w:p>
      <w:pPr>
        <w:jc w:val="both"/>
        <w:ind w:firstLine="720"/>
        <w:spacing w:after="0" w:line="247" w:lineRule="auto"/>
        <w:rPr>
          <w:sz w:val="20"/>
          <w:szCs w:val="20"/>
          <w:color w:val="auto"/>
        </w:rPr>
      </w:pPr>
      <w:r>
        <w:rPr>
          <w:rFonts w:ascii="Times New Roman" w:cs="Times New Roman" w:eastAsia="Times New Roman" w:hAnsi="Times New Roman"/>
          <w:sz w:val="20"/>
          <w:szCs w:val="20"/>
          <w:color w:val="auto"/>
        </w:rPr>
        <w:t>Lease expense for operating leases consists of the lease payments plus any initial direct costs, primarily brokerage commissions, and is recognized on a straight-line basis over the lease term. Included in lease expense are any variable lease payments incurred in the period that were not included in the initial lease liability. Lease expense for finance leases consists of the amortization of the right-of-use asset on a straight-line basis over the lease term and interest expense determined on an amortized cost basis. The lease payments are allocated between a reduction of the lease liability and interest expense.</w:t>
      </w:r>
    </w:p>
    <w:p>
      <w:pPr>
        <w:spacing w:after="0" w:line="160" w:lineRule="exact"/>
        <w:rPr>
          <w:sz w:val="20"/>
          <w:szCs w:val="20"/>
          <w:color w:val="auto"/>
        </w:rPr>
      </w:pPr>
    </w:p>
    <w:p>
      <w:pPr>
        <w:jc w:val="both"/>
        <w:ind w:firstLine="720"/>
        <w:spacing w:after="0" w:line="259" w:lineRule="auto"/>
        <w:rPr>
          <w:sz w:val="20"/>
          <w:szCs w:val="20"/>
          <w:color w:val="auto"/>
        </w:rPr>
      </w:pPr>
      <w:r>
        <w:rPr>
          <w:rFonts w:ascii="Times New Roman" w:cs="Times New Roman" w:eastAsia="Times New Roman" w:hAnsi="Times New Roman"/>
          <w:sz w:val="20"/>
          <w:szCs w:val="20"/>
          <w:color w:val="auto"/>
        </w:rPr>
        <w:t>The lease term for all of the Company’s leases includes the non- cancellable period of the lease plus any additional periods covered by either a Company option to extend (or not to terminate) the lease that the Company is reasonably certain to exercise, or an option to extend (or not to terminate) the lease controlled by the lessor .</w:t>
      </w:r>
    </w:p>
    <w:p>
      <w:pPr>
        <w:spacing w:after="0" w:line="146" w:lineRule="exact"/>
        <w:rPr>
          <w:sz w:val="20"/>
          <w:szCs w:val="20"/>
          <w:color w:val="auto"/>
        </w:rPr>
      </w:pPr>
    </w:p>
    <w:p>
      <w:pPr>
        <w:jc w:val="both"/>
        <w:ind w:firstLine="720"/>
        <w:spacing w:after="0" w:line="259" w:lineRule="auto"/>
        <w:rPr>
          <w:sz w:val="20"/>
          <w:szCs w:val="20"/>
          <w:color w:val="auto"/>
        </w:rPr>
      </w:pPr>
      <w:r>
        <w:rPr>
          <w:rFonts w:ascii="Times New Roman" w:cs="Times New Roman" w:eastAsia="Times New Roman" w:hAnsi="Times New Roman"/>
          <w:sz w:val="20"/>
          <w:szCs w:val="20"/>
          <w:color w:val="auto"/>
        </w:rPr>
        <w:t>We have elected not to recognize right-of-use assets and lease liabilities for short-term leases that have a term of 12 months or less. The effect of short-term leases on our right-of-use asset and lease liability was not material. We have elected not to review the classification for expired or existing leases, prior to January 1, 2019.</w:t>
      </w:r>
    </w:p>
    <w:p>
      <w:pPr>
        <w:spacing w:after="0" w:line="14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auto"/>
        </w:rPr>
        <w:t>Leases as a Lessor:</w:t>
      </w:r>
    </w:p>
    <w:p>
      <w:pPr>
        <w:spacing w:after="0" w:line="196" w:lineRule="exact"/>
        <w:rPr>
          <w:sz w:val="20"/>
          <w:szCs w:val="20"/>
          <w:color w:val="auto"/>
        </w:rPr>
      </w:pPr>
    </w:p>
    <w:p>
      <w:pPr>
        <w:jc w:val="both"/>
        <w:ind w:firstLine="720"/>
        <w:spacing w:after="0" w:line="279" w:lineRule="auto"/>
        <w:rPr>
          <w:sz w:val="20"/>
          <w:szCs w:val="20"/>
          <w:color w:val="auto"/>
        </w:rPr>
      </w:pPr>
      <w:r>
        <w:rPr>
          <w:rFonts w:ascii="Times New Roman" w:cs="Times New Roman" w:eastAsia="Times New Roman" w:hAnsi="Times New Roman"/>
          <w:sz w:val="20"/>
          <w:szCs w:val="20"/>
          <w:color w:val="auto"/>
        </w:rPr>
        <w:t>A lessor shall classify a lease as a sales-type lease when the lease meets any of the following criteria at lease commencement:</w:t>
      </w:r>
    </w:p>
    <w:p>
      <w:pPr>
        <w:spacing w:after="0" w:line="140" w:lineRule="exact"/>
        <w:rPr>
          <w:sz w:val="20"/>
          <w:szCs w:val="20"/>
          <w:color w:val="auto"/>
        </w:rPr>
      </w:pPr>
    </w:p>
    <w:p>
      <w:pPr>
        <w:ind w:left="1080" w:hanging="354"/>
        <w:spacing w:after="0"/>
        <w:tabs>
          <w:tab w:leader="none" w:pos="1080" w:val="left"/>
        </w:tabs>
        <w:numPr>
          <w:ilvl w:val="0"/>
          <w:numId w:val="42"/>
        </w:numPr>
        <w:rPr>
          <w:rFonts w:ascii="Arial" w:cs="Arial" w:eastAsia="Arial" w:hAnsi="Arial"/>
          <w:sz w:val="20"/>
          <w:szCs w:val="20"/>
          <w:color w:val="auto"/>
        </w:rPr>
      </w:pPr>
      <w:r>
        <w:rPr>
          <w:rFonts w:ascii="Times New Roman" w:cs="Times New Roman" w:eastAsia="Times New Roman" w:hAnsi="Times New Roman"/>
          <w:sz w:val="20"/>
          <w:szCs w:val="20"/>
          <w:color w:val="auto"/>
        </w:rPr>
        <w:t>The lease transfers ownership of the underlying asset to the lessee by the end of the lease term.</w:t>
      </w:r>
    </w:p>
    <w:p>
      <w:pPr>
        <w:spacing w:after="0" w:line="13" w:lineRule="exact"/>
        <w:rPr>
          <w:rFonts w:ascii="Arial" w:cs="Arial" w:eastAsia="Arial" w:hAnsi="Arial"/>
          <w:sz w:val="20"/>
          <w:szCs w:val="20"/>
          <w:color w:val="auto"/>
        </w:rPr>
      </w:pPr>
    </w:p>
    <w:p>
      <w:pPr>
        <w:ind w:left="1080" w:hanging="354"/>
        <w:spacing w:after="0" w:line="275" w:lineRule="auto"/>
        <w:tabs>
          <w:tab w:leader="none" w:pos="1080" w:val="left"/>
        </w:tabs>
        <w:numPr>
          <w:ilvl w:val="0"/>
          <w:numId w:val="42"/>
        </w:numPr>
        <w:rPr>
          <w:rFonts w:ascii="Arial" w:cs="Arial" w:eastAsia="Arial" w:hAnsi="Arial"/>
          <w:sz w:val="20"/>
          <w:szCs w:val="20"/>
          <w:color w:val="auto"/>
        </w:rPr>
      </w:pPr>
      <w:r>
        <w:rPr>
          <w:rFonts w:ascii="Times New Roman" w:cs="Times New Roman" w:eastAsia="Times New Roman" w:hAnsi="Times New Roman"/>
          <w:sz w:val="20"/>
          <w:szCs w:val="20"/>
          <w:color w:val="auto"/>
        </w:rPr>
        <w:t>The lease grants the lessee an option to purchase the underlying asset that the lessee is reasonably certain to exercise.</w:t>
      </w:r>
    </w:p>
    <w:p>
      <w:pPr>
        <w:sectPr>
          <w:pgSz w:w="11900" w:h="16838" w:orient="portrait"/>
          <w:cols w:equalWidth="0" w:num="1">
            <w:col w:w="9380"/>
          </w:cols>
          <w:pgMar w:left="1260" w:top="838" w:right="1266" w:bottom="723" w:gutter="0" w:footer="0" w:header="0"/>
        </w:sect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F-17</w:t>
      </w:r>
    </w:p>
    <w:p>
      <w:pPr>
        <w:sectPr>
          <w:pgSz w:w="11900" w:h="16838" w:orient="portrait"/>
          <w:cols w:equalWidth="0" w:num="1">
            <w:col w:w="9380"/>
          </w:cols>
          <w:pgMar w:left="1260" w:top="838" w:right="1266" w:bottom="723" w:gutter="0" w:footer="0" w:header="0"/>
          <w:type w:val="continuous"/>
        </w:sectPr>
      </w:pPr>
    </w:p>
    <w:bookmarkStart w:id="72" w:name="page73"/>
    <w:bookmarkEnd w:id="72"/>
    <w:p>
      <w:pPr>
        <w:ind w:left="3180"/>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795655</wp:posOffset>
            </wp:positionH>
            <wp:positionV relativeFrom="page">
              <wp:posOffset>292735</wp:posOffset>
            </wp:positionV>
            <wp:extent cx="929005" cy="1149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2">
                      <a:extLst>
                        <a:ext uri="{28A0092B-C50C-407E-A947-70E740481C1C}"/>
                      </a:extLst>
                    </a:blip>
                    <a:srcRect/>
                    <a:stretch>
                      <a:fillRect/>
                    </a:stretch>
                  </pic:blipFill>
                  <pic:spPr bwMode="auto">
                    <a:xfrm>
                      <a:off x="0" y="0"/>
                      <a:ext cx="929005" cy="114935"/>
                    </a:xfrm>
                    <a:prstGeom prst="rect">
                      <a:avLst/>
                    </a:prstGeom>
                    <a:noFill/>
                  </pic:spPr>
                </pic:pic>
              </a:graphicData>
            </a:graphic>
          </wp:anchor>
        </w:drawing>
        <w:t>EDAP TMS S.A. AND SUBSIDIARIES</w:t>
      </w:r>
    </w:p>
    <w:p>
      <w:pPr>
        <w:ind w:left="2760"/>
        <w:spacing w:after="0"/>
        <w:rPr>
          <w:sz w:val="20"/>
          <w:szCs w:val="20"/>
          <w:color w:val="auto"/>
        </w:rPr>
      </w:pPr>
      <w:r>
        <w:rPr>
          <w:rFonts w:ascii="Times New Roman" w:cs="Times New Roman" w:eastAsia="Times New Roman" w:hAnsi="Times New Roman"/>
          <w:sz w:val="20"/>
          <w:szCs w:val="20"/>
          <w:b w:val="1"/>
          <w:bCs w:val="1"/>
          <w:color w:val="auto"/>
        </w:rPr>
        <w:t>CONSOLIDATED FINANCIAL STATEMENTS</w:t>
      </w:r>
    </w:p>
    <w:p>
      <w:pPr>
        <w:ind w:left="1500"/>
        <w:spacing w:after="0"/>
        <w:rPr>
          <w:sz w:val="20"/>
          <w:szCs w:val="20"/>
          <w:color w:val="auto"/>
        </w:rPr>
      </w:pPr>
      <w:r>
        <w:rPr>
          <w:rFonts w:ascii="Times New Roman" w:cs="Times New Roman" w:eastAsia="Times New Roman" w:hAnsi="Times New Roman"/>
          <w:sz w:val="20"/>
          <w:szCs w:val="20"/>
          <w:b w:val="1"/>
          <w:bCs w:val="1"/>
          <w:color w:val="auto"/>
        </w:rPr>
        <w:t>(In thousands of U.S. dollars unless otherwise noted, except per share data)</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left="1080" w:hanging="353"/>
        <w:spacing w:after="0" w:line="245" w:lineRule="auto"/>
        <w:tabs>
          <w:tab w:leader="none" w:pos="1080" w:val="left"/>
        </w:tabs>
        <w:numPr>
          <w:ilvl w:val="0"/>
          <w:numId w:val="43"/>
        </w:numPr>
        <w:rPr>
          <w:rFonts w:ascii="Arial" w:cs="Arial" w:eastAsia="Arial" w:hAnsi="Arial"/>
          <w:sz w:val="20"/>
          <w:szCs w:val="20"/>
          <w:color w:val="auto"/>
        </w:rPr>
      </w:pPr>
      <w:r>
        <w:rPr>
          <w:rFonts w:ascii="Times New Roman" w:cs="Times New Roman" w:eastAsia="Times New Roman" w:hAnsi="Times New Roman"/>
          <w:sz w:val="20"/>
          <w:szCs w:val="20"/>
          <w:color w:val="auto"/>
        </w:rPr>
        <w:t>The lease term is for the major part of the remaining economic life of the underlying asset. However, if the commencement date falls at or near the end of the economic life of the underlying asset, this criterion shall not be used for purposes of classifying the lease.</w:t>
      </w:r>
    </w:p>
    <w:p>
      <w:pPr>
        <w:jc w:val="both"/>
        <w:ind w:left="1080" w:hanging="353"/>
        <w:spacing w:after="0" w:line="244" w:lineRule="auto"/>
        <w:tabs>
          <w:tab w:leader="none" w:pos="1080" w:val="left"/>
        </w:tabs>
        <w:numPr>
          <w:ilvl w:val="0"/>
          <w:numId w:val="43"/>
        </w:numPr>
        <w:rPr>
          <w:rFonts w:ascii="Arial" w:cs="Arial" w:eastAsia="Arial" w:hAnsi="Arial"/>
          <w:sz w:val="20"/>
          <w:szCs w:val="20"/>
          <w:color w:val="auto"/>
        </w:rPr>
      </w:pPr>
      <w:r>
        <w:rPr>
          <w:rFonts w:ascii="Times New Roman" w:cs="Times New Roman" w:eastAsia="Times New Roman" w:hAnsi="Times New Roman"/>
          <w:sz w:val="20"/>
          <w:szCs w:val="20"/>
          <w:color w:val="auto"/>
        </w:rPr>
        <w:t>The present value of the sum of the lease payments and any residual value guaranteed by the lessee that is not already reflected in the lease payments in accordance with paragraph 842-10-30-5(f) equals or exceeds substantially all of the fair value of the underlying asset.</w:t>
      </w:r>
    </w:p>
    <w:p>
      <w:pPr>
        <w:spacing w:after="0" w:line="1" w:lineRule="exact"/>
        <w:rPr>
          <w:rFonts w:ascii="Arial" w:cs="Arial" w:eastAsia="Arial" w:hAnsi="Arial"/>
          <w:sz w:val="20"/>
          <w:szCs w:val="20"/>
          <w:color w:val="auto"/>
        </w:rPr>
      </w:pPr>
    </w:p>
    <w:p>
      <w:pPr>
        <w:ind w:left="1080" w:hanging="353"/>
        <w:spacing w:after="0" w:line="278" w:lineRule="auto"/>
        <w:tabs>
          <w:tab w:leader="none" w:pos="1080" w:val="left"/>
        </w:tabs>
        <w:numPr>
          <w:ilvl w:val="0"/>
          <w:numId w:val="43"/>
        </w:numPr>
        <w:rPr>
          <w:rFonts w:ascii="Arial" w:cs="Arial" w:eastAsia="Arial" w:hAnsi="Arial"/>
          <w:sz w:val="20"/>
          <w:szCs w:val="20"/>
          <w:color w:val="auto"/>
        </w:rPr>
      </w:pPr>
      <w:r>
        <w:rPr>
          <w:rFonts w:ascii="Times New Roman" w:cs="Times New Roman" w:eastAsia="Times New Roman" w:hAnsi="Times New Roman"/>
          <w:sz w:val="20"/>
          <w:szCs w:val="20"/>
          <w:color w:val="auto"/>
        </w:rPr>
        <w:t>The underlying asset is of such a specialized nature that it is expected to have no alternative use to the lessor at the end of the lease term.</w:t>
      </w:r>
    </w:p>
    <w:p>
      <w:pPr>
        <w:spacing w:after="0" w:line="12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When none of the criteria are met:</w:t>
      </w:r>
    </w:p>
    <w:p>
      <w:pPr>
        <w:spacing w:after="0" w:line="197" w:lineRule="exact"/>
        <w:rPr>
          <w:sz w:val="20"/>
          <w:szCs w:val="20"/>
          <w:color w:val="auto"/>
        </w:rPr>
      </w:pPr>
    </w:p>
    <w:p>
      <w:pPr>
        <w:jc w:val="both"/>
        <w:ind w:firstLine="720"/>
        <w:spacing w:after="0" w:line="259" w:lineRule="auto"/>
        <w:rPr>
          <w:sz w:val="20"/>
          <w:szCs w:val="20"/>
          <w:color w:val="auto"/>
        </w:rPr>
      </w:pPr>
      <w:r>
        <w:rPr>
          <w:rFonts w:ascii="Times New Roman" w:cs="Times New Roman" w:eastAsia="Times New Roman" w:hAnsi="Times New Roman"/>
          <w:sz w:val="20"/>
          <w:szCs w:val="20"/>
          <w:color w:val="auto"/>
        </w:rPr>
        <w:t>A lessor shall classify the lease as either a direct financing lease or an operating lease. A lessor shall classify the lease as an operating lease unless both of the following criteria are met, in which case the lessor shall classify the lease as a direct financing lease:</w:t>
      </w:r>
    </w:p>
    <w:p>
      <w:pPr>
        <w:spacing w:after="0" w:line="160" w:lineRule="exact"/>
        <w:rPr>
          <w:sz w:val="20"/>
          <w:szCs w:val="20"/>
          <w:color w:val="auto"/>
        </w:rPr>
      </w:pPr>
    </w:p>
    <w:p>
      <w:pPr>
        <w:jc w:val="both"/>
        <w:ind w:left="1080" w:hanging="353"/>
        <w:spacing w:after="0" w:line="244" w:lineRule="auto"/>
        <w:tabs>
          <w:tab w:leader="none" w:pos="1080" w:val="left"/>
        </w:tabs>
        <w:numPr>
          <w:ilvl w:val="0"/>
          <w:numId w:val="44"/>
        </w:numPr>
        <w:rPr>
          <w:rFonts w:ascii="Arial" w:cs="Arial" w:eastAsia="Arial" w:hAnsi="Arial"/>
          <w:sz w:val="20"/>
          <w:szCs w:val="20"/>
          <w:color w:val="auto"/>
        </w:rPr>
      </w:pPr>
      <w:r>
        <w:rPr>
          <w:rFonts w:ascii="Times New Roman" w:cs="Times New Roman" w:eastAsia="Times New Roman" w:hAnsi="Times New Roman"/>
          <w:sz w:val="20"/>
          <w:szCs w:val="20"/>
          <w:color w:val="auto"/>
        </w:rPr>
        <w:t>The present value of the sum of the lease payments and any residual value guaranteed by the lessee that is not already reflected in the lease payments in accordance with paragraph 842-10-30-5(f) and/or any other third party unrelated to the lessor equals or exceeds substantially all of the fair value of the underlying asset;</w:t>
      </w:r>
    </w:p>
    <w:p>
      <w:pPr>
        <w:ind w:left="1080" w:hanging="353"/>
        <w:spacing w:after="0" w:line="278" w:lineRule="auto"/>
        <w:tabs>
          <w:tab w:leader="none" w:pos="1080" w:val="left"/>
        </w:tabs>
        <w:numPr>
          <w:ilvl w:val="0"/>
          <w:numId w:val="44"/>
        </w:numPr>
        <w:rPr>
          <w:rFonts w:ascii="Arial" w:cs="Arial" w:eastAsia="Arial" w:hAnsi="Arial"/>
          <w:sz w:val="20"/>
          <w:szCs w:val="20"/>
          <w:color w:val="auto"/>
        </w:rPr>
      </w:pPr>
      <w:r>
        <w:rPr>
          <w:rFonts w:ascii="Times New Roman" w:cs="Times New Roman" w:eastAsia="Times New Roman" w:hAnsi="Times New Roman"/>
          <w:sz w:val="20"/>
          <w:szCs w:val="20"/>
          <w:color w:val="auto"/>
        </w:rPr>
        <w:t>It is probable that the lessor will collect the lease payments plus any amount necessary to satisfy a residual value guarantee.</w:t>
      </w:r>
    </w:p>
    <w:p>
      <w:pPr>
        <w:spacing w:after="0" w:line="12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1-24 EIB Credit Facility</w:t>
      </w:r>
    </w:p>
    <w:p>
      <w:pPr>
        <w:spacing w:after="0" w:line="198" w:lineRule="exact"/>
        <w:rPr>
          <w:sz w:val="20"/>
          <w:szCs w:val="20"/>
          <w:color w:val="auto"/>
        </w:rPr>
      </w:pPr>
    </w:p>
    <w:p>
      <w:pPr>
        <w:jc w:val="both"/>
        <w:ind w:firstLine="720"/>
        <w:spacing w:after="0" w:line="247" w:lineRule="auto"/>
        <w:rPr>
          <w:sz w:val="20"/>
          <w:szCs w:val="20"/>
          <w:color w:val="auto"/>
        </w:rPr>
      </w:pPr>
      <w:r>
        <w:rPr>
          <w:rFonts w:ascii="Times New Roman" w:cs="Times New Roman" w:eastAsia="Times New Roman" w:hAnsi="Times New Roman"/>
          <w:sz w:val="20"/>
          <w:szCs w:val="20"/>
          <w:color w:val="auto"/>
        </w:rPr>
        <w:t>On October 17 2025 (the “Effective Date”), EDAP entered into a finance contract (the “Finance Contract”) with EIB for up to €36 million to support R&amp;D development of Robotics HIFU programs. The Finance Contract provides funding in three tranches : € 11 million (Tranche A), €12 million (Tranche B) and € 13 million (Tranche C) subject to satisfaction of condition precedents. In connection with the Finance Contract, the Company also agreed to issue warrants (“Warrants”) for each tranche in accordance with the terms and conditions of a warrant agreement (the “Warrant Agreement”).</w:t>
      </w:r>
    </w:p>
    <w:p>
      <w:pPr>
        <w:spacing w:after="0" w:line="16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disbursement of Tranche A was subject to financial and business conditions :</w:t>
      </w:r>
    </w:p>
    <w:p>
      <w:pPr>
        <w:spacing w:after="0" w:line="214" w:lineRule="exact"/>
        <w:rPr>
          <w:sz w:val="20"/>
          <w:szCs w:val="20"/>
          <w:color w:val="auto"/>
        </w:rPr>
      </w:pPr>
    </w:p>
    <w:p>
      <w:pPr>
        <w:ind w:left="1080" w:hanging="353"/>
        <w:spacing w:after="0"/>
        <w:tabs>
          <w:tab w:leader="none" w:pos="1080" w:val="left"/>
        </w:tabs>
        <w:numPr>
          <w:ilvl w:val="0"/>
          <w:numId w:val="45"/>
        </w:numPr>
        <w:rPr>
          <w:rFonts w:ascii="Arial" w:cs="Arial" w:eastAsia="Arial" w:hAnsi="Arial"/>
          <w:sz w:val="20"/>
          <w:szCs w:val="20"/>
          <w:color w:val="auto"/>
        </w:rPr>
      </w:pPr>
      <w:r>
        <w:rPr>
          <w:rFonts w:ascii="Times New Roman" w:cs="Times New Roman" w:eastAsia="Times New Roman" w:hAnsi="Times New Roman"/>
          <w:sz w:val="20"/>
          <w:szCs w:val="20"/>
          <w:color w:val="auto"/>
        </w:rPr>
        <w:t>Issuance of Tranche A Warrants</w:t>
      </w:r>
    </w:p>
    <w:p>
      <w:pPr>
        <w:spacing w:after="0" w:line="13" w:lineRule="exact"/>
        <w:rPr>
          <w:rFonts w:ascii="Arial" w:cs="Arial" w:eastAsia="Arial" w:hAnsi="Arial"/>
          <w:sz w:val="20"/>
          <w:szCs w:val="20"/>
          <w:color w:val="auto"/>
        </w:rPr>
      </w:pPr>
    </w:p>
    <w:p>
      <w:pPr>
        <w:ind w:left="1080" w:hanging="353"/>
        <w:spacing w:after="0"/>
        <w:tabs>
          <w:tab w:leader="none" w:pos="1080" w:val="left"/>
        </w:tabs>
        <w:numPr>
          <w:ilvl w:val="0"/>
          <w:numId w:val="45"/>
        </w:numPr>
        <w:rPr>
          <w:rFonts w:ascii="Arial" w:cs="Arial" w:eastAsia="Arial" w:hAnsi="Arial"/>
          <w:sz w:val="20"/>
          <w:szCs w:val="20"/>
          <w:color w:val="auto"/>
        </w:rPr>
      </w:pPr>
      <w:r>
        <w:rPr>
          <w:rFonts w:ascii="Times New Roman" w:cs="Times New Roman" w:eastAsia="Times New Roman" w:hAnsi="Times New Roman"/>
          <w:sz w:val="20"/>
          <w:szCs w:val="20"/>
          <w:color w:val="auto"/>
        </w:rPr>
        <w:t>Total revenue at least €58 million</w:t>
      </w:r>
    </w:p>
    <w:p>
      <w:pPr>
        <w:spacing w:after="0" w:line="13" w:lineRule="exact"/>
        <w:rPr>
          <w:rFonts w:ascii="Arial" w:cs="Arial" w:eastAsia="Arial" w:hAnsi="Arial"/>
          <w:sz w:val="20"/>
          <w:szCs w:val="20"/>
          <w:color w:val="auto"/>
        </w:rPr>
      </w:pPr>
    </w:p>
    <w:p>
      <w:pPr>
        <w:ind w:left="1080" w:hanging="353"/>
        <w:spacing w:after="0" w:line="278" w:lineRule="auto"/>
        <w:tabs>
          <w:tab w:leader="none" w:pos="1080" w:val="left"/>
        </w:tabs>
        <w:numPr>
          <w:ilvl w:val="0"/>
          <w:numId w:val="45"/>
        </w:numPr>
        <w:rPr>
          <w:rFonts w:ascii="Arial" w:cs="Arial" w:eastAsia="Arial" w:hAnsi="Arial"/>
          <w:sz w:val="20"/>
          <w:szCs w:val="20"/>
          <w:color w:val="auto"/>
        </w:rPr>
      </w:pPr>
      <w:r>
        <w:rPr>
          <w:rFonts w:ascii="Times New Roman" w:cs="Times New Roman" w:eastAsia="Times New Roman" w:hAnsi="Times New Roman"/>
          <w:sz w:val="20"/>
          <w:szCs w:val="20"/>
          <w:color w:val="auto"/>
        </w:rPr>
        <w:t>Business conditions: direct presence in UK/Sweden, CE Mark for Endometriosis and First Focal One telecollaboration</w:t>
      </w:r>
    </w:p>
    <w:p>
      <w:pPr>
        <w:spacing w:after="0" w:line="155" w:lineRule="exact"/>
        <w:rPr>
          <w:sz w:val="20"/>
          <w:szCs w:val="20"/>
          <w:color w:val="auto"/>
        </w:rPr>
      </w:pPr>
    </w:p>
    <w:p>
      <w:pPr>
        <w:jc w:val="both"/>
        <w:ind w:firstLine="720"/>
        <w:spacing w:after="0" w:line="259" w:lineRule="auto"/>
        <w:rPr>
          <w:sz w:val="20"/>
          <w:szCs w:val="20"/>
          <w:color w:val="auto"/>
        </w:rPr>
      </w:pPr>
      <w:r>
        <w:rPr>
          <w:rFonts w:ascii="Times New Roman" w:cs="Times New Roman" w:eastAsia="Times New Roman" w:hAnsi="Times New Roman"/>
          <w:sz w:val="20"/>
          <w:szCs w:val="20"/>
          <w:color w:val="auto"/>
        </w:rPr>
        <w:t>As a condition precedent to the disbursement of Tranche A, the Company had to provide to EIB guarantee agreements of certain of our subsidiaries whereby such subsidiaries provided guarantees with respect to the Company’s obligations towards EIB under the Finance Contract.</w:t>
      </w:r>
    </w:p>
    <w:p>
      <w:pPr>
        <w:spacing w:after="0" w:line="146" w:lineRule="exact"/>
        <w:rPr>
          <w:sz w:val="20"/>
          <w:szCs w:val="20"/>
          <w:color w:val="auto"/>
        </w:rPr>
      </w:pPr>
    </w:p>
    <w:p>
      <w:pPr>
        <w:jc w:val="both"/>
        <w:ind w:firstLine="720"/>
        <w:spacing w:after="0" w:line="279" w:lineRule="auto"/>
        <w:rPr>
          <w:sz w:val="20"/>
          <w:szCs w:val="20"/>
          <w:color w:val="auto"/>
        </w:rPr>
      </w:pPr>
      <w:r>
        <w:rPr>
          <w:rFonts w:ascii="Times New Roman" w:cs="Times New Roman" w:eastAsia="Times New Roman" w:hAnsi="Times New Roman"/>
          <w:sz w:val="20"/>
          <w:szCs w:val="20"/>
          <w:color w:val="auto"/>
        </w:rPr>
        <w:t>Following the satisfaction of these conditions, the Tranche A amount of €11 million was disbursed on October 17, 2025 and the Company issued 2,624,421 warrants to EIB.</w:t>
      </w:r>
    </w:p>
    <w:p>
      <w:pPr>
        <w:spacing w:after="0" w:line="125" w:lineRule="exact"/>
        <w:rPr>
          <w:sz w:val="20"/>
          <w:szCs w:val="20"/>
          <w:color w:val="auto"/>
        </w:rPr>
      </w:pPr>
    </w:p>
    <w:p>
      <w:pPr>
        <w:jc w:val="both"/>
        <w:ind w:firstLine="720"/>
        <w:spacing w:after="0" w:line="259" w:lineRule="auto"/>
        <w:rPr>
          <w:sz w:val="20"/>
          <w:szCs w:val="20"/>
          <w:color w:val="auto"/>
        </w:rPr>
      </w:pPr>
      <w:r>
        <w:rPr>
          <w:rFonts w:ascii="Times New Roman" w:cs="Times New Roman" w:eastAsia="Times New Roman" w:hAnsi="Times New Roman"/>
          <w:sz w:val="20"/>
          <w:szCs w:val="20"/>
          <w:color w:val="auto"/>
        </w:rPr>
        <w:t>All Warrants of a Tranche shall vest at at the maturity date of the applicable Tranche borrowings, or earlier in case of occurrence of specific events, including but not limited to a change of control, a group asset sale, or an event of default.</w:t>
      </w:r>
    </w:p>
    <w:p>
      <w:pPr>
        <w:spacing w:after="0" w:line="146"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The Warrants shall be exercisable for a period of twenty years following the earliest to occur of (i) a change of control event, (ii) the maturity date of the first tranche, (iii) an event of default under the Finance Contract, or (iv) a repayment demand by EIB under the Finance Contract. The Warrants shall automatically be deemed null and void if they are not exercised after 20 years from the disbursement date.</w:t>
      </w:r>
    </w:p>
    <w:p>
      <w:pPr>
        <w:spacing w:after="0" w:line="153" w:lineRule="exact"/>
        <w:rPr>
          <w:sz w:val="20"/>
          <w:szCs w:val="20"/>
          <w:color w:val="auto"/>
        </w:rPr>
      </w:pPr>
    </w:p>
    <w:p>
      <w:pPr>
        <w:jc w:val="both"/>
        <w:ind w:firstLine="720"/>
        <w:spacing w:after="0" w:line="306" w:lineRule="auto"/>
        <w:rPr>
          <w:sz w:val="20"/>
          <w:szCs w:val="20"/>
          <w:color w:val="auto"/>
        </w:rPr>
      </w:pPr>
      <w:r>
        <w:rPr>
          <w:rFonts w:ascii="Times New Roman" w:cs="Times New Roman" w:eastAsia="Times New Roman" w:hAnsi="Times New Roman"/>
          <w:sz w:val="19"/>
          <w:szCs w:val="19"/>
          <w:color w:val="auto"/>
        </w:rPr>
        <w:t>Subject to certain terms and conditions, each Warrant will entitle EIB to one of our ordinary shares in exchange for the exercise price. The exercise price will be equal to 90% of the volume weighted average of the trading</w:t>
      </w:r>
    </w:p>
    <w:p>
      <w:pPr>
        <w:sectPr>
          <w:pgSz w:w="11900" w:h="16838" w:orient="portrait"/>
          <w:cols w:equalWidth="0" w:num="1">
            <w:col w:w="9380"/>
          </w:cols>
          <w:pgMar w:left="1260" w:top="838" w:right="1266" w:bottom="723"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F-18</w:t>
      </w:r>
    </w:p>
    <w:p>
      <w:pPr>
        <w:sectPr>
          <w:pgSz w:w="11900" w:h="16838" w:orient="portrait"/>
          <w:cols w:equalWidth="0" w:num="1">
            <w:col w:w="9380"/>
          </w:cols>
          <w:pgMar w:left="1260" w:top="838" w:right="1266" w:bottom="723" w:gutter="0" w:footer="0" w:header="0"/>
          <w:type w:val="continuous"/>
        </w:sectPr>
      </w:pPr>
    </w:p>
    <w:bookmarkStart w:id="73" w:name="page74"/>
    <w:bookmarkEnd w:id="73"/>
    <w:p>
      <w:pPr>
        <w:ind w:left="3180"/>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795655</wp:posOffset>
            </wp:positionH>
            <wp:positionV relativeFrom="page">
              <wp:posOffset>292735</wp:posOffset>
            </wp:positionV>
            <wp:extent cx="929005" cy="1149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3">
                      <a:extLst>
                        <a:ext uri="{28A0092B-C50C-407E-A947-70E740481C1C}"/>
                      </a:extLst>
                    </a:blip>
                    <a:srcRect/>
                    <a:stretch>
                      <a:fillRect/>
                    </a:stretch>
                  </pic:blipFill>
                  <pic:spPr bwMode="auto">
                    <a:xfrm>
                      <a:off x="0" y="0"/>
                      <a:ext cx="929005" cy="114935"/>
                    </a:xfrm>
                    <a:prstGeom prst="rect">
                      <a:avLst/>
                    </a:prstGeom>
                    <a:noFill/>
                  </pic:spPr>
                </pic:pic>
              </a:graphicData>
            </a:graphic>
          </wp:anchor>
        </w:drawing>
        <w:t>EDAP TMS S.A. AND SUBSIDIARIES</w:t>
      </w:r>
    </w:p>
    <w:p>
      <w:pPr>
        <w:ind w:left="2760"/>
        <w:spacing w:after="0"/>
        <w:rPr>
          <w:sz w:val="20"/>
          <w:szCs w:val="20"/>
          <w:color w:val="auto"/>
        </w:rPr>
      </w:pPr>
      <w:r>
        <w:rPr>
          <w:rFonts w:ascii="Times New Roman" w:cs="Times New Roman" w:eastAsia="Times New Roman" w:hAnsi="Times New Roman"/>
          <w:sz w:val="20"/>
          <w:szCs w:val="20"/>
          <w:b w:val="1"/>
          <w:bCs w:val="1"/>
          <w:color w:val="auto"/>
        </w:rPr>
        <w:t>CONSOLIDATED FINANCIAL STATEMENTS</w:t>
      </w:r>
    </w:p>
    <w:p>
      <w:pPr>
        <w:ind w:left="1500"/>
        <w:spacing w:after="0"/>
        <w:rPr>
          <w:sz w:val="20"/>
          <w:szCs w:val="20"/>
          <w:color w:val="auto"/>
        </w:rPr>
      </w:pPr>
      <w:r>
        <w:rPr>
          <w:rFonts w:ascii="Times New Roman" w:cs="Times New Roman" w:eastAsia="Times New Roman" w:hAnsi="Times New Roman"/>
          <w:sz w:val="20"/>
          <w:szCs w:val="20"/>
          <w:b w:val="1"/>
          <w:bCs w:val="1"/>
          <w:color w:val="auto"/>
        </w:rPr>
        <w:t>(In thousands of U.S. dollars unless otherwise noted, except per share data)</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price of our ordinary shares over an agreed upon period. EIB is entitled to a put option to require the Company to purchase back all or part of the Warrants, at an amount equal to the fair market value of the Warrants subject to certain terms and conditions including but not limited to a change of control, a group asset sale, or an event of default, and up to €20 million in respect of all then-exercisable Warrants. Furthermore, the Company is entitled to a call option under certain circumstances to require EIB to sell to the Company all shares and other securities, including the Warrants, and a right of first refusal to buy back any Warrants that are offered for sale to a third party, subject to certain terms and conditions.</w:t>
      </w:r>
    </w:p>
    <w:p>
      <w:pPr>
        <w:spacing w:after="0" w:line="162" w:lineRule="exact"/>
        <w:rPr>
          <w:sz w:val="20"/>
          <w:szCs w:val="20"/>
          <w:color w:val="auto"/>
        </w:rPr>
      </w:pPr>
    </w:p>
    <w:p>
      <w:pPr>
        <w:jc w:val="both"/>
        <w:ind w:firstLine="720"/>
        <w:spacing w:after="0" w:line="249" w:lineRule="auto"/>
        <w:rPr>
          <w:sz w:val="20"/>
          <w:szCs w:val="20"/>
          <w:color w:val="auto"/>
        </w:rPr>
      </w:pPr>
      <w:r>
        <w:rPr>
          <w:rFonts w:ascii="Times New Roman" w:cs="Times New Roman" w:eastAsia="Times New Roman" w:hAnsi="Times New Roman"/>
          <w:sz w:val="20"/>
          <w:szCs w:val="20"/>
          <w:color w:val="auto"/>
        </w:rPr>
        <w:t>Subject to certain terms and conditions, including but not limited to investment cost reduction, certain change events and events of default, EIB may demand immediate repayment of all or part of the outstanding borrowings, depending on the specific event, together with accrued interest, and all other accrued or outstanding amounts payable to EIB under the Finance Contract and/or cancel any undisbursed Tranches upon the occurrence of certain events. The Finance Contract also includes a customary events of default provision.</w:t>
      </w:r>
    </w:p>
    <w:p>
      <w:pPr>
        <w:spacing w:after="0" w:line="187"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The Company intends to request disbursement of €12 million in Tranche B in April 2026 on the basis that the Company believes that it has or is able to satisfy to all condition precedents to draw this second tranche, including, among other things:</w:t>
      </w:r>
    </w:p>
    <w:p>
      <w:pPr>
        <w:spacing w:after="0" w:line="191" w:lineRule="exact"/>
        <w:rPr>
          <w:sz w:val="20"/>
          <w:szCs w:val="20"/>
          <w:color w:val="auto"/>
        </w:rPr>
      </w:pPr>
    </w:p>
    <w:p>
      <w:pPr>
        <w:ind w:left="720" w:hanging="353"/>
        <w:spacing w:after="0"/>
        <w:tabs>
          <w:tab w:leader="none" w:pos="720" w:val="left"/>
        </w:tabs>
        <w:numPr>
          <w:ilvl w:val="0"/>
          <w:numId w:val="46"/>
        </w:numPr>
        <w:rPr>
          <w:rFonts w:ascii="Arial" w:cs="Arial" w:eastAsia="Arial" w:hAnsi="Arial"/>
          <w:sz w:val="20"/>
          <w:szCs w:val="20"/>
          <w:color w:val="auto"/>
        </w:rPr>
      </w:pPr>
      <w:r>
        <w:rPr>
          <w:rFonts w:ascii="Times New Roman" w:cs="Times New Roman" w:eastAsia="Times New Roman" w:hAnsi="Times New Roman"/>
          <w:sz w:val="20"/>
          <w:szCs w:val="20"/>
          <w:color w:val="auto"/>
        </w:rPr>
        <w:t>issuance of the Tranche B Warrants;</w:t>
      </w:r>
    </w:p>
    <w:p>
      <w:pPr>
        <w:spacing w:after="0" w:line="13" w:lineRule="exact"/>
        <w:rPr>
          <w:rFonts w:ascii="Arial" w:cs="Arial" w:eastAsia="Arial" w:hAnsi="Arial"/>
          <w:sz w:val="20"/>
          <w:szCs w:val="20"/>
          <w:color w:val="auto"/>
        </w:rPr>
      </w:pPr>
    </w:p>
    <w:p>
      <w:pPr>
        <w:ind w:left="720" w:hanging="353"/>
        <w:spacing w:after="0"/>
        <w:tabs>
          <w:tab w:leader="none" w:pos="720" w:val="left"/>
        </w:tabs>
        <w:numPr>
          <w:ilvl w:val="0"/>
          <w:numId w:val="46"/>
        </w:numPr>
        <w:rPr>
          <w:rFonts w:ascii="Arial" w:cs="Arial" w:eastAsia="Arial" w:hAnsi="Arial"/>
          <w:sz w:val="20"/>
          <w:szCs w:val="20"/>
          <w:color w:val="auto"/>
        </w:rPr>
      </w:pPr>
      <w:r>
        <w:rPr>
          <w:rFonts w:ascii="Times New Roman" w:cs="Times New Roman" w:eastAsia="Times New Roman" w:hAnsi="Times New Roman"/>
          <w:sz w:val="20"/>
          <w:szCs w:val="20"/>
          <w:color w:val="auto"/>
        </w:rPr>
        <w:t>achievement of certain revenue and EBITDA thresholds; and</w:t>
      </w:r>
    </w:p>
    <w:p>
      <w:pPr>
        <w:spacing w:after="0" w:line="11" w:lineRule="exact"/>
        <w:rPr>
          <w:rFonts w:ascii="Arial" w:cs="Arial" w:eastAsia="Arial" w:hAnsi="Arial"/>
          <w:sz w:val="20"/>
          <w:szCs w:val="20"/>
          <w:color w:val="auto"/>
        </w:rPr>
      </w:pPr>
    </w:p>
    <w:p>
      <w:pPr>
        <w:ind w:left="720" w:hanging="353"/>
        <w:spacing w:after="0"/>
        <w:tabs>
          <w:tab w:leader="none" w:pos="720" w:val="left"/>
        </w:tabs>
        <w:numPr>
          <w:ilvl w:val="0"/>
          <w:numId w:val="46"/>
        </w:numPr>
        <w:rPr>
          <w:rFonts w:ascii="Arial" w:cs="Arial" w:eastAsia="Arial" w:hAnsi="Arial"/>
          <w:sz w:val="20"/>
          <w:szCs w:val="20"/>
          <w:color w:val="auto"/>
        </w:rPr>
      </w:pPr>
      <w:r>
        <w:rPr>
          <w:rFonts w:ascii="Times New Roman" w:cs="Times New Roman" w:eastAsia="Times New Roman" w:hAnsi="Times New Roman"/>
          <w:sz w:val="20"/>
          <w:szCs w:val="20"/>
          <w:color w:val="auto"/>
        </w:rPr>
        <w:t>achievement of certain manufacturing and clinical milestones.</w:t>
      </w:r>
    </w:p>
    <w:p>
      <w:pPr>
        <w:spacing w:after="0" w:line="230" w:lineRule="exact"/>
        <w:rPr>
          <w:sz w:val="20"/>
          <w:szCs w:val="20"/>
          <w:color w:val="auto"/>
        </w:rPr>
      </w:pPr>
    </w:p>
    <w:p>
      <w:pPr>
        <w:ind w:firstLine="720"/>
        <w:spacing w:after="0" w:line="279" w:lineRule="auto"/>
        <w:rPr>
          <w:sz w:val="20"/>
          <w:szCs w:val="20"/>
          <w:color w:val="auto"/>
        </w:rPr>
      </w:pPr>
      <w:r>
        <w:rPr>
          <w:rFonts w:ascii="Times New Roman" w:cs="Times New Roman" w:eastAsia="Times New Roman" w:hAnsi="Times New Roman"/>
          <w:sz w:val="20"/>
          <w:szCs w:val="20"/>
          <w:color w:val="auto"/>
        </w:rPr>
        <w:t>The Company are entitled to, and may request, disbursement of Tranche C borrowings at any time in the 30 months following the Effective Date upon the occurrence of certain conditions, including, among other things:</w:t>
      </w:r>
    </w:p>
    <w:p>
      <w:pPr>
        <w:spacing w:after="0" w:line="171" w:lineRule="exact"/>
        <w:rPr>
          <w:sz w:val="20"/>
          <w:szCs w:val="20"/>
          <w:color w:val="auto"/>
        </w:rPr>
      </w:pPr>
    </w:p>
    <w:p>
      <w:pPr>
        <w:ind w:left="720" w:hanging="353"/>
        <w:spacing w:after="0"/>
        <w:tabs>
          <w:tab w:leader="none" w:pos="720" w:val="left"/>
        </w:tabs>
        <w:numPr>
          <w:ilvl w:val="0"/>
          <w:numId w:val="47"/>
        </w:numPr>
        <w:rPr>
          <w:rFonts w:ascii="Arial" w:cs="Arial" w:eastAsia="Arial" w:hAnsi="Arial"/>
          <w:sz w:val="20"/>
          <w:szCs w:val="20"/>
          <w:color w:val="auto"/>
        </w:rPr>
      </w:pPr>
      <w:r>
        <w:rPr>
          <w:rFonts w:ascii="Times New Roman" w:cs="Times New Roman" w:eastAsia="Times New Roman" w:hAnsi="Times New Roman"/>
          <w:sz w:val="20"/>
          <w:szCs w:val="20"/>
          <w:color w:val="auto"/>
        </w:rPr>
        <w:t>issuance of the Tranche C Warrants;</w:t>
      </w:r>
    </w:p>
    <w:p>
      <w:pPr>
        <w:spacing w:after="0" w:line="11" w:lineRule="exact"/>
        <w:rPr>
          <w:rFonts w:ascii="Arial" w:cs="Arial" w:eastAsia="Arial" w:hAnsi="Arial"/>
          <w:sz w:val="20"/>
          <w:szCs w:val="20"/>
          <w:color w:val="auto"/>
        </w:rPr>
      </w:pPr>
    </w:p>
    <w:p>
      <w:pPr>
        <w:ind w:left="720" w:hanging="353"/>
        <w:spacing w:after="0"/>
        <w:tabs>
          <w:tab w:leader="none" w:pos="720" w:val="left"/>
        </w:tabs>
        <w:numPr>
          <w:ilvl w:val="0"/>
          <w:numId w:val="47"/>
        </w:numPr>
        <w:rPr>
          <w:rFonts w:ascii="Arial" w:cs="Arial" w:eastAsia="Arial" w:hAnsi="Arial"/>
          <w:sz w:val="20"/>
          <w:szCs w:val="20"/>
          <w:color w:val="auto"/>
        </w:rPr>
      </w:pPr>
      <w:r>
        <w:rPr>
          <w:rFonts w:ascii="Times New Roman" w:cs="Times New Roman" w:eastAsia="Times New Roman" w:hAnsi="Times New Roman"/>
          <w:sz w:val="20"/>
          <w:szCs w:val="20"/>
          <w:color w:val="auto"/>
        </w:rPr>
        <w:t>achievement of certain revenue and EBITDA thresholds; and</w:t>
      </w:r>
    </w:p>
    <w:p>
      <w:pPr>
        <w:spacing w:after="0" w:line="13" w:lineRule="exact"/>
        <w:rPr>
          <w:rFonts w:ascii="Arial" w:cs="Arial" w:eastAsia="Arial" w:hAnsi="Arial"/>
          <w:sz w:val="20"/>
          <w:szCs w:val="20"/>
          <w:color w:val="auto"/>
        </w:rPr>
      </w:pPr>
    </w:p>
    <w:p>
      <w:pPr>
        <w:ind w:left="720" w:hanging="353"/>
        <w:spacing w:after="0"/>
        <w:tabs>
          <w:tab w:leader="none" w:pos="720" w:val="left"/>
        </w:tabs>
        <w:numPr>
          <w:ilvl w:val="0"/>
          <w:numId w:val="47"/>
        </w:numPr>
        <w:rPr>
          <w:rFonts w:ascii="Arial" w:cs="Arial" w:eastAsia="Arial" w:hAnsi="Arial"/>
          <w:sz w:val="20"/>
          <w:szCs w:val="20"/>
          <w:color w:val="auto"/>
        </w:rPr>
      </w:pPr>
      <w:r>
        <w:rPr>
          <w:rFonts w:ascii="Times New Roman" w:cs="Times New Roman" w:eastAsia="Times New Roman" w:hAnsi="Times New Roman"/>
          <w:sz w:val="20"/>
          <w:szCs w:val="20"/>
          <w:color w:val="auto"/>
        </w:rPr>
        <w:t>achievement of certain manufacturing and commercialization milestones.</w:t>
      </w:r>
    </w:p>
    <w:p>
      <w:pPr>
        <w:spacing w:after="0" w:line="230" w:lineRule="exact"/>
        <w:rPr>
          <w:rFonts w:ascii="Arial" w:cs="Arial" w:eastAsia="Arial" w:hAnsi="Arial"/>
          <w:sz w:val="20"/>
          <w:szCs w:val="20"/>
          <w:color w:val="auto"/>
        </w:rPr>
      </w:pPr>
    </w:p>
    <w:p>
      <w:pPr>
        <w:ind w:left="720"/>
        <w:spacing w:after="0"/>
        <w:rPr>
          <w:rFonts w:ascii="Arial" w:cs="Arial" w:eastAsia="Arial" w:hAnsi="Arial"/>
          <w:sz w:val="20"/>
          <w:szCs w:val="20"/>
          <w:color w:val="auto"/>
        </w:rPr>
      </w:pPr>
      <w:r>
        <w:rPr>
          <w:rFonts w:ascii="Times New Roman" w:cs="Times New Roman" w:eastAsia="Times New Roman" w:hAnsi="Times New Roman"/>
          <w:sz w:val="20"/>
          <w:szCs w:val="20"/>
          <w:color w:val="auto"/>
        </w:rPr>
        <w:t>Refer to Note 16-1-1 for the accounting treatment and impact on the 2025 financial statements.</w:t>
      </w:r>
    </w:p>
    <w:p>
      <w:pPr>
        <w:spacing w:after="0" w:line="200" w:lineRule="exact"/>
        <w:rPr>
          <w:sz w:val="20"/>
          <w:szCs w:val="20"/>
          <w:color w:val="auto"/>
        </w:rPr>
      </w:pPr>
    </w:p>
    <w:p>
      <w:pPr>
        <w:spacing w:after="0" w:line="261" w:lineRule="exact"/>
        <w:rPr>
          <w:sz w:val="20"/>
          <w:szCs w:val="20"/>
          <w:color w:val="auto"/>
        </w:rPr>
      </w:pPr>
    </w:p>
    <w:p>
      <w:pPr>
        <w:ind w:left="360"/>
        <w:spacing w:after="0"/>
        <w:tabs>
          <w:tab w:leader="none" w:pos="960" w:val="left"/>
        </w:tabs>
        <w:rPr>
          <w:sz w:val="20"/>
          <w:szCs w:val="20"/>
          <w:color w:val="auto"/>
        </w:rPr>
      </w:pPr>
      <w:r>
        <w:rPr>
          <w:rFonts w:ascii="Times New Roman" w:cs="Times New Roman" w:eastAsia="Times New Roman" w:hAnsi="Times New Roman"/>
          <w:sz w:val="20"/>
          <w:szCs w:val="20"/>
          <w:b w:val="1"/>
          <w:bCs w:val="1"/>
          <w:i w:val="1"/>
          <w:iCs w:val="1"/>
          <w:color w:val="auto"/>
        </w:rPr>
        <w:t>1-25</w:t>
      </w:r>
      <w:r>
        <w:rPr>
          <w:sz w:val="20"/>
          <w:szCs w:val="20"/>
          <w:color w:val="auto"/>
        </w:rPr>
        <w:tab/>
      </w:r>
      <w:r>
        <w:rPr>
          <w:rFonts w:ascii="Times New Roman" w:cs="Times New Roman" w:eastAsia="Times New Roman" w:hAnsi="Times New Roman"/>
          <w:sz w:val="19"/>
          <w:szCs w:val="19"/>
          <w:b w:val="1"/>
          <w:bCs w:val="1"/>
          <w:i w:val="1"/>
          <w:iCs w:val="1"/>
          <w:color w:val="auto"/>
        </w:rPr>
        <w:t>Recent accounting pronouncements</w:t>
      </w:r>
    </w:p>
    <w:p>
      <w:pPr>
        <w:spacing w:after="0" w:line="20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auto"/>
        </w:rPr>
        <w:t>Recently Adopted Accounting Pronouncements</w:t>
      </w:r>
    </w:p>
    <w:p>
      <w:pPr>
        <w:spacing w:after="0" w:line="196" w:lineRule="exact"/>
        <w:rPr>
          <w:sz w:val="20"/>
          <w:szCs w:val="20"/>
          <w:color w:val="auto"/>
        </w:rPr>
      </w:pPr>
    </w:p>
    <w:p>
      <w:pPr>
        <w:ind w:right="560"/>
        <w:spacing w:after="0" w:line="239" w:lineRule="auto"/>
        <w:rPr>
          <w:sz w:val="20"/>
          <w:szCs w:val="20"/>
          <w:color w:val="auto"/>
        </w:rPr>
      </w:pPr>
      <w:r>
        <w:rPr>
          <w:rFonts w:ascii="Times New Roman" w:cs="Times New Roman" w:eastAsia="Times New Roman" w:hAnsi="Times New Roman"/>
          <w:sz w:val="20"/>
          <w:szCs w:val="20"/>
          <w:color w:val="auto"/>
        </w:rPr>
        <w:t>In December 2023, the FASB issued ASU 2023-09, Income Taxes (Topic 740): Improvements to Income Tax Disclosures, which enhances transparency by requiring additional disclosures related to income taxes. The amendments primarily require:</w:t>
      </w:r>
    </w:p>
    <w:p>
      <w:pPr>
        <w:spacing w:after="0" w:line="1" w:lineRule="exact"/>
        <w:rPr>
          <w:sz w:val="20"/>
          <w:szCs w:val="20"/>
          <w:color w:val="auto"/>
        </w:rPr>
      </w:pPr>
    </w:p>
    <w:p>
      <w:pPr>
        <w:jc w:val="both"/>
        <w:ind w:left="720" w:right="400" w:hanging="353"/>
        <w:spacing w:after="0"/>
        <w:tabs>
          <w:tab w:leader="none" w:pos="72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20"/>
          <w:szCs w:val="20"/>
          <w:color w:val="auto"/>
        </w:rPr>
        <w:t>A tabular reconciliation of the effective tax rate to the statutory rate, including both dollar amounts and percentages, with separate disclosure of items that are equal to or greater than 5% of the statutory rate.</w:t>
      </w:r>
    </w:p>
    <w:p>
      <w:pPr>
        <w:ind w:left="720" w:hanging="353"/>
        <w:spacing w:after="0"/>
        <w:tabs>
          <w:tab w:leader="none" w:pos="72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20"/>
          <w:szCs w:val="20"/>
          <w:color w:val="auto"/>
        </w:rPr>
        <w:t>Disaggregation of income taxes paid between federal, state, and foreign jurisdictions, and identification of</w:t>
      </w:r>
    </w:p>
    <w:p>
      <w:pPr>
        <w:ind w:left="720"/>
        <w:spacing w:after="0" w:line="238" w:lineRule="auto"/>
        <w:rPr>
          <w:sz w:val="20"/>
          <w:szCs w:val="20"/>
          <w:color w:val="auto"/>
        </w:rPr>
      </w:pPr>
      <w:r>
        <w:rPr>
          <w:rFonts w:ascii="Times New Roman" w:cs="Times New Roman" w:eastAsia="Times New Roman" w:hAnsi="Times New Roman"/>
          <w:sz w:val="20"/>
          <w:szCs w:val="20"/>
          <w:color w:val="auto"/>
        </w:rPr>
        <w:t>any individual jurisdiction that accounts for 5% or more of total income taxes paid.</w:t>
      </w:r>
    </w:p>
    <w:p>
      <w:pPr>
        <w:spacing w:after="0" w:line="1"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20"/>
          <w:szCs w:val="20"/>
          <w:color w:val="auto"/>
        </w:rPr>
        <w:t>The guidance is effective for annual periods beginning after December 15, 2024, with early adoption permitted. The Company applied the ASU retrospectively by providing the revised disclosures for the year ended December 31, 2024.</w:t>
      </w:r>
    </w:p>
    <w:p>
      <w:pPr>
        <w:spacing w:after="0" w:line="18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auto"/>
        </w:rPr>
        <w:t>Accounting Pronouncements issued not yet adopted</w:t>
      </w:r>
    </w:p>
    <w:p>
      <w:pPr>
        <w:spacing w:after="0" w:line="225"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9"/>
          <w:szCs w:val="19"/>
          <w:color w:val="auto"/>
        </w:rPr>
        <w:t>In November 2024, the FASB issued ASU 2024-03, Income Statement - Reporting Comprehensive Income Topic 220 — Expense Disaggregation Disclosures. The guidance requires disclosure of additional information about specific expense categories in the notes to financial statements at interim and annual reporting periods. The disclosure requirements will be applied on a prospective basis, with the option to apply it retrospectively. For SEC filers, this ASU is effective for fiscal years beginning after December 15, 2026, and interim periods within fiscal</w:t>
      </w:r>
    </w:p>
    <w:p>
      <w:pPr>
        <w:sectPr>
          <w:pgSz w:w="11900" w:h="16838" w:orient="portrait"/>
          <w:cols w:equalWidth="0" w:num="1">
            <w:col w:w="9380"/>
          </w:cols>
          <w:pgMar w:left="1260" w:top="838" w:right="1266" w:bottom="72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F-19</w:t>
      </w:r>
    </w:p>
    <w:p>
      <w:pPr>
        <w:sectPr>
          <w:pgSz w:w="11900" w:h="16838" w:orient="portrait"/>
          <w:cols w:equalWidth="0" w:num="1">
            <w:col w:w="9380"/>
          </w:cols>
          <w:pgMar w:left="1260" w:top="838" w:right="1266" w:bottom="723" w:gutter="0" w:footer="0" w:header="0"/>
          <w:type w:val="continuous"/>
        </w:sectPr>
      </w:pPr>
    </w:p>
    <w:bookmarkStart w:id="74" w:name="page75"/>
    <w:bookmarkEnd w:id="74"/>
    <w:p>
      <w:pPr>
        <w:ind w:left="3180"/>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795655</wp:posOffset>
            </wp:positionH>
            <wp:positionV relativeFrom="page">
              <wp:posOffset>292735</wp:posOffset>
            </wp:positionV>
            <wp:extent cx="929005" cy="1149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84">
                      <a:extLst>
                        <a:ext uri="{28A0092B-C50C-407E-A947-70E740481C1C}"/>
                      </a:extLst>
                    </a:blip>
                    <a:srcRect/>
                    <a:stretch>
                      <a:fillRect/>
                    </a:stretch>
                  </pic:blipFill>
                  <pic:spPr bwMode="auto">
                    <a:xfrm>
                      <a:off x="0" y="0"/>
                      <a:ext cx="929005" cy="114935"/>
                    </a:xfrm>
                    <a:prstGeom prst="rect">
                      <a:avLst/>
                    </a:prstGeom>
                    <a:noFill/>
                  </pic:spPr>
                </pic:pic>
              </a:graphicData>
            </a:graphic>
          </wp:anchor>
        </w:drawing>
        <w:t>EDAP TMS S.A. AND SUBSIDIARIES</w:t>
      </w:r>
    </w:p>
    <w:p>
      <w:pPr>
        <w:ind w:left="2760"/>
        <w:spacing w:after="0"/>
        <w:rPr>
          <w:sz w:val="20"/>
          <w:szCs w:val="20"/>
          <w:color w:val="auto"/>
        </w:rPr>
      </w:pPr>
      <w:r>
        <w:rPr>
          <w:rFonts w:ascii="Times New Roman" w:cs="Times New Roman" w:eastAsia="Times New Roman" w:hAnsi="Times New Roman"/>
          <w:sz w:val="20"/>
          <w:szCs w:val="20"/>
          <w:b w:val="1"/>
          <w:bCs w:val="1"/>
          <w:color w:val="auto"/>
        </w:rPr>
        <w:t>CONSOLIDATED FINANCIAL STATEMENTS</w:t>
      </w:r>
    </w:p>
    <w:p>
      <w:pPr>
        <w:ind w:left="1500"/>
        <w:spacing w:after="0"/>
        <w:rPr>
          <w:sz w:val="20"/>
          <w:szCs w:val="20"/>
          <w:color w:val="auto"/>
        </w:rPr>
      </w:pPr>
      <w:r>
        <w:rPr>
          <w:rFonts w:ascii="Times New Roman" w:cs="Times New Roman" w:eastAsia="Times New Roman" w:hAnsi="Times New Roman"/>
          <w:sz w:val="20"/>
          <w:szCs w:val="20"/>
          <w:b w:val="1"/>
          <w:bCs w:val="1"/>
          <w:color w:val="auto"/>
        </w:rPr>
        <w:t>(In thousands of U.S. dollars unless otherwise noted, except per share data)</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20"/>
          <w:szCs w:val="20"/>
          <w:color w:val="auto"/>
        </w:rPr>
        <w:t>years beginning after December 15, 2027. Management evaluated the impact of adopting ASU 2024-03 and determined that its adoption will result on expanded disclosures on the Company’s consolidated financial statements.</w:t>
      </w:r>
    </w:p>
    <w:p>
      <w:pPr>
        <w:spacing w:after="0" w:line="157"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20"/>
          <w:szCs w:val="20"/>
          <w:color w:val="auto"/>
        </w:rPr>
        <w:t>In December 2025, the FASB issued ASU 2025-12, Codification Improvements, which includes a series of technical corrections, clarifications, and minor improvements to existing guidance across various Topics in the FASB Accounting Standards Codification. The amendments are not expected to significantly affect current accounting practices. ASU 2025-12 is effective for annual and interim reporting periods beginning after December 15, 2026. The Company does not expect the adoption of this ASU to have a material impact on its consolidated financial statements.</w:t>
      </w:r>
    </w:p>
    <w:p>
      <w:pPr>
        <w:spacing w:after="0" w:line="191"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20"/>
          <w:szCs w:val="20"/>
          <w:color w:val="auto"/>
        </w:rPr>
        <w:t>In December 2025, the FASB also issued ASU 2025-11, Interim Reporting (Topic 270): Narrow-Scope Improvements, which clarifies the scope and applicability of interim reporting guidance, enhances the organization and navigability of required interim disclosures, and introduces a disclosure principle requiring entities to disclose material events or changes that occur after the most recent annual reporting period. For public business entities, the ASU is effective for interim reporting periods in fiscal years beginning after December 15, 2027. Early adoption is permitted. The Company is currently evaluating the impact of this ASU on its interim reporting disclosures and does not expect it to have a material impact on its consolidated financial statements.</w:t>
      </w:r>
    </w:p>
    <w:p>
      <w:pPr>
        <w:spacing w:after="0" w:line="189" w:lineRule="exact"/>
        <w:rPr>
          <w:sz w:val="20"/>
          <w:szCs w:val="20"/>
          <w:color w:val="auto"/>
        </w:rPr>
      </w:pPr>
    </w:p>
    <w:p>
      <w:pPr>
        <w:ind w:right="80"/>
        <w:spacing w:after="0" w:line="246" w:lineRule="auto"/>
        <w:rPr>
          <w:sz w:val="20"/>
          <w:szCs w:val="20"/>
          <w:color w:val="auto"/>
        </w:rPr>
      </w:pPr>
      <w:r>
        <w:rPr>
          <w:rFonts w:ascii="Times New Roman" w:cs="Times New Roman" w:eastAsia="Times New Roman" w:hAnsi="Times New Roman"/>
          <w:sz w:val="20"/>
          <w:szCs w:val="20"/>
          <w:color w:val="auto"/>
        </w:rPr>
        <w:t>In December 2025, the FASB issued ASU 2025-10, Government Grants (Topic 832): Accounting for Government Grants Received by Business Entities, which establishes authoritative U.S. GAAP guidance for the recognition, measurement, presentation, and disclosure of government grants received by business entities. The amendments are effective for public business entities for annual reporting periods beginning after December 15, 2028, including interim periods within those annual periods, with early adoption permitted. The Company is evaluating the potential impact of adopting this guidance on its consolidated financial statements and does not expect it to have a material impact on its consolidated financial statements.</w:t>
      </w:r>
    </w:p>
    <w:p>
      <w:pPr>
        <w:spacing w:after="0" w:line="191"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20"/>
          <w:szCs w:val="20"/>
          <w:color w:val="auto"/>
        </w:rPr>
        <w:t>Other accounting standards that have been issued or proposed by the FASB or other standards-setting bodies that do not require adoption until a future date are not expected to have a material impact on the Company’s Consolidated Financial Statements upon adoption.</w:t>
      </w:r>
    </w:p>
    <w:p>
      <w:pPr>
        <w:spacing w:after="0" w:line="400" w:lineRule="exact"/>
        <w:rPr>
          <w:sz w:val="20"/>
          <w:szCs w:val="20"/>
          <w:color w:val="auto"/>
        </w:rPr>
      </w:pPr>
    </w:p>
    <w:p>
      <w:pPr>
        <w:spacing w:after="0"/>
        <w:rPr>
          <w:sz w:val="20"/>
          <w:szCs w:val="20"/>
          <w:color w:val="auto"/>
        </w:rPr>
      </w:pPr>
      <w:r>
        <w:rPr>
          <w:sz w:val="1"/>
          <w:szCs w:val="1"/>
          <w:color w:val="auto"/>
        </w:rPr>
        <w:drawing>
          <wp:inline distT="0" distB="0" distL="0" distR="0">
            <wp:extent cx="194945" cy="94615"/>
            <wp:effectExtent l="0" t="0" r="0"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85">
                      <a:extLst>
                        <a:ext uri="{28A0092B-C50C-407E-A947-70E740481C1C}"/>
                      </a:extLst>
                    </a:blip>
                    <a:srcRect/>
                    <a:stretch>
                      <a:fillRect/>
                    </a:stretch>
                  </pic:blipFill>
                  <pic:spPr bwMode="auto">
                    <a:xfrm>
                      <a:off x="0" y="0"/>
                      <a:ext cx="194945" cy="94615"/>
                    </a:xfrm>
                    <a:prstGeom prst="rect">
                      <a:avLst/>
                    </a:prstGeom>
                    <a:noFill/>
                    <a:ln>
                      <a:noFill/>
                    </a:ln>
                  </pic:spPr>
                </pic:pic>
              </a:graphicData>
            </a:graphic>
          </wp:inline>
        </w:drawing>
      </w:r>
      <w:r>
        <w:rPr>
          <w:rFonts w:ascii="Times New Roman" w:cs="Times New Roman" w:eastAsia="Times New Roman" w:hAnsi="Times New Roman"/>
          <w:sz w:val="20"/>
          <w:szCs w:val="20"/>
          <w:b w:val="1"/>
          <w:bCs w:val="1"/>
          <w:color w:val="auto"/>
        </w:rPr>
        <w:t xml:space="preserve"> CASH EQUIVALENTS</w:t>
      </w:r>
    </w:p>
    <w:p>
      <w:pPr>
        <w:spacing w:after="0" w:line="203" w:lineRule="exact"/>
        <w:rPr>
          <w:sz w:val="20"/>
          <w:szCs w:val="20"/>
          <w:color w:val="auto"/>
        </w:rPr>
      </w:pPr>
    </w:p>
    <w:p>
      <w:pPr>
        <w:ind w:firstLine="720"/>
        <w:spacing w:after="0" w:line="279" w:lineRule="auto"/>
        <w:rPr>
          <w:sz w:val="20"/>
          <w:szCs w:val="20"/>
          <w:color w:val="auto"/>
        </w:rPr>
      </w:pPr>
      <w:r>
        <w:rPr>
          <w:rFonts w:ascii="Times New Roman" w:cs="Times New Roman" w:eastAsia="Times New Roman" w:hAnsi="Times New Roman"/>
          <w:sz w:val="20"/>
          <w:szCs w:val="20"/>
          <w:color w:val="auto"/>
        </w:rPr>
        <w:t>Cash equivalents at December 31, 2025 and 2024 only comprise cash investments which are highly liquid and have initial maturities of 90 days or less.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340" w:type="dxa"/>
            <w:vAlign w:val="bottom"/>
          </w:tcPr>
          <w:p>
            <w:pPr>
              <w:spacing w:after="0"/>
              <w:rPr>
                <w:sz w:val="17"/>
                <w:szCs w:val="17"/>
                <w:color w:val="auto"/>
              </w:rPr>
            </w:pPr>
          </w:p>
        </w:tc>
        <w:tc>
          <w:tcPr>
            <w:tcW w:w="2040" w:type="dxa"/>
            <w:vAlign w:val="bottom"/>
            <w:tcBorders>
              <w:bottom w:val="single" w:sz="8" w:color="auto"/>
            </w:tcBorders>
            <w:gridSpan w:val="4"/>
          </w:tcPr>
          <w:p>
            <w:pPr>
              <w:jc w:val="right"/>
              <w:ind w:right="47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174"/>
        </w:trPr>
        <w:tc>
          <w:tcPr>
            <w:tcW w:w="734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ind w:right="188"/>
              <w:spacing w:after="0" w:line="175" w:lineRule="exact"/>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Borders>
              <w:bottom w:val="single" w:sz="8" w:color="CCEEFF"/>
            </w:tcBorders>
            <w:gridSpan w:val="2"/>
          </w:tcPr>
          <w:p>
            <w:pPr>
              <w:spacing w:after="0"/>
              <w:rPr>
                <w:sz w:val="15"/>
                <w:szCs w:val="15"/>
                <w:color w:val="auto"/>
              </w:rPr>
            </w:pPr>
          </w:p>
        </w:tc>
        <w:tc>
          <w:tcPr>
            <w:tcW w:w="900" w:type="dxa"/>
            <w:vAlign w:val="bottom"/>
            <w:tcBorders>
              <w:bottom w:val="single" w:sz="8" w:color="auto"/>
            </w:tcBorders>
          </w:tcPr>
          <w:p>
            <w:pPr>
              <w:jc w:val="right"/>
              <w:ind w:right="190"/>
              <w:spacing w:after="0" w:line="175" w:lineRule="exact"/>
              <w:rPr>
                <w:sz w:val="20"/>
                <w:szCs w:val="20"/>
                <w:color w:val="auto"/>
              </w:rPr>
            </w:pPr>
            <w:r>
              <w:rPr>
                <w:rFonts w:ascii="Times New Roman" w:cs="Times New Roman" w:eastAsia="Times New Roman" w:hAnsi="Times New Roman"/>
                <w:sz w:val="16"/>
                <w:szCs w:val="16"/>
                <w:b w:val="1"/>
                <w:bCs w:val="1"/>
                <w:color w:val="auto"/>
              </w:rPr>
              <w:t>2024</w:t>
            </w:r>
          </w:p>
        </w:tc>
      </w:tr>
      <w:tr>
        <w:trPr>
          <w:trHeight w:val="220"/>
        </w:trPr>
        <w:tc>
          <w:tcPr>
            <w:tcW w:w="7340" w:type="dxa"/>
            <w:vAlign w:val="bottom"/>
            <w:shd w:val="clear" w:color="auto" w:fill="CCEEFF"/>
          </w:tcPr>
          <w:p>
            <w:pPr>
              <w:spacing w:after="0" w:line="220" w:lineRule="exact"/>
              <w:rPr>
                <w:sz w:val="20"/>
                <w:szCs w:val="20"/>
                <w:color w:val="auto"/>
              </w:rPr>
            </w:pPr>
            <w:r>
              <w:rPr>
                <w:rFonts w:ascii="Times New Roman" w:cs="Times New Roman" w:eastAsia="Times New Roman" w:hAnsi="Times New Roman"/>
                <w:sz w:val="20"/>
                <w:szCs w:val="20"/>
                <w:color w:val="auto"/>
              </w:rPr>
              <w:t>Total cash and cash equivalents</w:t>
            </w:r>
          </w:p>
        </w:tc>
        <w:tc>
          <w:tcPr>
            <w:tcW w:w="900" w:type="dxa"/>
            <w:vAlign w:val="bottom"/>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20,452</w:t>
            </w:r>
          </w:p>
        </w:tc>
        <w:tc>
          <w:tcPr>
            <w:tcW w:w="1140" w:type="dxa"/>
            <w:vAlign w:val="bottom"/>
            <w:gridSpan w:val="3"/>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30,995</w:t>
            </w:r>
          </w:p>
        </w:tc>
      </w:tr>
      <w:tr>
        <w:trPr>
          <w:trHeight w:val="233"/>
        </w:trPr>
        <w:tc>
          <w:tcPr>
            <w:tcW w:w="7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20"/>
                <w:szCs w:val="20"/>
                <w:color w:val="auto"/>
              </w:rPr>
              <w:t>Short term investment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29"/>
        </w:trPr>
        <w:tc>
          <w:tcPr>
            <w:tcW w:w="7340" w:type="dxa"/>
            <w:vAlign w:val="bottom"/>
            <w:tcBorders>
              <w:bottom w:val="single" w:sz="8" w:color="CCEEFF"/>
            </w:tcBorders>
            <w:shd w:val="clear" w:color="auto" w:fill="CCEEFF"/>
          </w:tcPr>
          <w:p>
            <w:pPr>
              <w:spacing w:after="0" w:line="220" w:lineRule="exact"/>
              <w:rPr>
                <w:sz w:val="20"/>
                <w:szCs w:val="20"/>
                <w:color w:val="auto"/>
              </w:rPr>
            </w:pPr>
            <w:r>
              <w:rPr>
                <w:rFonts w:ascii="Times New Roman" w:cs="Times New Roman" w:eastAsia="Times New Roman" w:hAnsi="Times New Roman"/>
                <w:sz w:val="20"/>
                <w:szCs w:val="20"/>
                <w:color w:val="auto"/>
              </w:rPr>
              <w:t>Total cash and cash equivalents</w:t>
            </w:r>
          </w:p>
        </w:tc>
        <w:tc>
          <w:tcPr>
            <w:tcW w:w="900" w:type="dxa"/>
            <w:vAlign w:val="bottom"/>
            <w:tcBorders>
              <w:bottom w:val="single" w:sz="8" w:color="auto"/>
            </w:tcBorders>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20,452</w:t>
            </w:r>
          </w:p>
        </w:tc>
        <w:tc>
          <w:tcPr>
            <w:tcW w:w="2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auto"/>
            </w:tcBorders>
            <w:gridSpan w:val="2"/>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30,995</w:t>
            </w:r>
          </w:p>
        </w:tc>
      </w:tr>
    </w:tbl>
    <w:p>
      <w:pPr>
        <w:spacing w:after="0" w:line="211" w:lineRule="exact"/>
        <w:rPr>
          <w:sz w:val="20"/>
          <w:szCs w:val="20"/>
          <w:color w:val="auto"/>
        </w:rPr>
      </w:pPr>
    </w:p>
    <w:p>
      <w:pPr>
        <w:jc w:val="both"/>
        <w:ind w:firstLine="721"/>
        <w:spacing w:after="0" w:line="279" w:lineRule="auto"/>
        <w:rPr>
          <w:sz w:val="20"/>
          <w:szCs w:val="20"/>
          <w:color w:val="auto"/>
        </w:rPr>
      </w:pPr>
      <w:r>
        <w:rPr>
          <w:rFonts w:ascii="Times New Roman" w:cs="Times New Roman" w:eastAsia="Times New Roman" w:hAnsi="Times New Roman"/>
          <w:sz w:val="20"/>
          <w:szCs w:val="20"/>
          <w:color w:val="auto"/>
        </w:rPr>
        <w:t xml:space="preserve">See </w:t>
      </w:r>
      <w:r>
        <w:rPr>
          <w:rFonts w:ascii="Times New Roman" w:cs="Times New Roman" w:eastAsia="Times New Roman" w:hAnsi="Times New Roman"/>
          <w:sz w:val="20"/>
          <w:szCs w:val="20"/>
          <w:i w:val="1"/>
          <w:iCs w:val="1"/>
          <w:color w:val="auto"/>
        </w:rPr>
        <w:t>Note 15 – Short-term borrowings</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i w:val="1"/>
          <w:iCs w:val="1"/>
          <w:color w:val="auto"/>
        </w:rPr>
        <w:t>Note 16 -1 – Long-term debt</w:t>
      </w:r>
      <w:r>
        <w:rPr>
          <w:rFonts w:ascii="Times New Roman" w:cs="Times New Roman" w:eastAsia="Times New Roman" w:hAnsi="Times New Roman"/>
          <w:sz w:val="20"/>
          <w:szCs w:val="20"/>
          <w:color w:val="auto"/>
        </w:rPr>
        <w:t xml:space="preserve"> as $3,316 thousand of indebtedness tied to investments for which the Company has access at all times.</w:t>
      </w:r>
    </w:p>
    <w:p>
      <w:pPr>
        <w:sectPr>
          <w:pgSz w:w="11900" w:h="16838" w:orient="portrait"/>
          <w:cols w:equalWidth="0" w:num="1">
            <w:col w:w="9380"/>
          </w:cols>
          <w:pgMar w:left="1260" w:top="838" w:right="1266" w:bottom="72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F-20</w:t>
      </w:r>
    </w:p>
    <w:p>
      <w:pPr>
        <w:sectPr>
          <w:pgSz w:w="11900" w:h="16838" w:orient="portrait"/>
          <w:cols w:equalWidth="0" w:num="1">
            <w:col w:w="9380"/>
          </w:cols>
          <w:pgMar w:left="1260" w:top="838" w:right="1266" w:bottom="723" w:gutter="0" w:footer="0" w:header="0"/>
          <w:type w:val="continuous"/>
        </w:sectPr>
      </w:pPr>
    </w:p>
    <w:bookmarkStart w:id="75" w:name="page76"/>
    <w:bookmarkEnd w:id="75"/>
    <w:p>
      <w:pPr>
        <w:ind w:left="3180"/>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795655</wp:posOffset>
            </wp:positionH>
            <wp:positionV relativeFrom="page">
              <wp:posOffset>292735</wp:posOffset>
            </wp:positionV>
            <wp:extent cx="929005" cy="1149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86">
                      <a:extLst>
                        <a:ext uri="{28A0092B-C50C-407E-A947-70E740481C1C}"/>
                      </a:extLst>
                    </a:blip>
                    <a:srcRect/>
                    <a:stretch>
                      <a:fillRect/>
                    </a:stretch>
                  </pic:blipFill>
                  <pic:spPr bwMode="auto">
                    <a:xfrm>
                      <a:off x="0" y="0"/>
                      <a:ext cx="929005" cy="114935"/>
                    </a:xfrm>
                    <a:prstGeom prst="rect">
                      <a:avLst/>
                    </a:prstGeom>
                    <a:noFill/>
                  </pic:spPr>
                </pic:pic>
              </a:graphicData>
            </a:graphic>
          </wp:anchor>
        </w:drawing>
        <w:t>EDAP TMS S.A. AND SUBSIDIARIES</w:t>
      </w:r>
    </w:p>
    <w:p>
      <w:pPr>
        <w:ind w:left="2760"/>
        <w:spacing w:after="0"/>
        <w:rPr>
          <w:sz w:val="20"/>
          <w:szCs w:val="20"/>
          <w:color w:val="auto"/>
        </w:rPr>
      </w:pPr>
      <w:r>
        <w:rPr>
          <w:rFonts w:ascii="Times New Roman" w:cs="Times New Roman" w:eastAsia="Times New Roman" w:hAnsi="Times New Roman"/>
          <w:sz w:val="20"/>
          <w:szCs w:val="20"/>
          <w:b w:val="1"/>
          <w:bCs w:val="1"/>
          <w:color w:val="auto"/>
        </w:rPr>
        <w:t>CONSOLIDATED FINANCIAL STATEMENTS</w:t>
      </w:r>
    </w:p>
    <w:p>
      <w:pPr>
        <w:ind w:left="1500"/>
        <w:spacing w:after="0"/>
        <w:rPr>
          <w:sz w:val="20"/>
          <w:szCs w:val="20"/>
          <w:color w:val="auto"/>
        </w:rPr>
      </w:pPr>
      <w:r>
        <w:rPr>
          <w:rFonts w:ascii="Times New Roman" w:cs="Times New Roman" w:eastAsia="Times New Roman" w:hAnsi="Times New Roman"/>
          <w:sz w:val="20"/>
          <w:szCs w:val="20"/>
          <w:b w:val="1"/>
          <w:bCs w:val="1"/>
          <w:color w:val="auto"/>
        </w:rPr>
        <w:t>(In thousands of U.S. dollars unless otherwise noted, except per share data)</w:t>
      </w: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sz w:val="1"/>
          <w:szCs w:val="1"/>
          <w:color w:val="auto"/>
        </w:rPr>
        <w:drawing>
          <wp:inline distT="0" distB="0" distL="0" distR="0">
            <wp:extent cx="196850" cy="95885"/>
            <wp:effectExtent l="0" t="0" r="0"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87">
                      <a:extLst>
                        <a:ext uri="{28A0092B-C50C-407E-A947-70E740481C1C}"/>
                      </a:extLst>
                    </a:blip>
                    <a:srcRect/>
                    <a:stretch>
                      <a:fillRect/>
                    </a:stretch>
                  </pic:blipFill>
                  <pic:spPr bwMode="auto">
                    <a:xfrm>
                      <a:off x="0" y="0"/>
                      <a:ext cx="196850" cy="95885"/>
                    </a:xfrm>
                    <a:prstGeom prst="rect">
                      <a:avLst/>
                    </a:prstGeom>
                    <a:noFill/>
                    <a:ln>
                      <a:noFill/>
                    </a:ln>
                  </pic:spPr>
                </pic:pic>
              </a:graphicData>
            </a:graphic>
          </wp:inline>
        </w:drawing>
      </w:r>
      <w:r>
        <w:rPr>
          <w:rFonts w:ascii="Times New Roman" w:cs="Times New Roman" w:eastAsia="Times New Roman" w:hAnsi="Times New Roman"/>
          <w:sz w:val="20"/>
          <w:szCs w:val="20"/>
          <w:b w:val="1"/>
          <w:bCs w:val="1"/>
          <w:color w:val="auto"/>
        </w:rPr>
        <w:t xml:space="preserve"> TRADE ACCOUNTS AND NOTES RECEIVABLE, NET</w:t>
      </w:r>
    </w:p>
    <w:p>
      <w:pPr>
        <w:spacing w:after="0" w:line="20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Trade accounts and notes receivable consist of the following:</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20" w:type="dxa"/>
            <w:vAlign w:val="bottom"/>
            <w:tcBorders>
              <w:bottom w:val="single" w:sz="8" w:color="auto"/>
            </w:tcBorders>
            <w:gridSpan w:val="4"/>
          </w:tcPr>
          <w:p>
            <w:pPr>
              <w:jc w:val="right"/>
              <w:ind w:right="467"/>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174"/>
        </w:trPr>
        <w:tc>
          <w:tcPr>
            <w:tcW w:w="73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ind w:right="185"/>
              <w:spacing w:after="0" w:line="175" w:lineRule="exact"/>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Borders>
              <w:bottom w:val="single" w:sz="8" w:color="CCEEFF"/>
            </w:tcBorders>
            <w:gridSpan w:val="2"/>
          </w:tcPr>
          <w:p>
            <w:pPr>
              <w:spacing w:after="0"/>
              <w:rPr>
                <w:sz w:val="15"/>
                <w:szCs w:val="15"/>
                <w:color w:val="auto"/>
              </w:rPr>
            </w:pPr>
          </w:p>
        </w:tc>
        <w:tc>
          <w:tcPr>
            <w:tcW w:w="900" w:type="dxa"/>
            <w:vAlign w:val="bottom"/>
            <w:tcBorders>
              <w:bottom w:val="single" w:sz="8" w:color="auto"/>
            </w:tcBorders>
          </w:tcPr>
          <w:p>
            <w:pPr>
              <w:jc w:val="right"/>
              <w:ind w:right="187"/>
              <w:spacing w:after="0" w:line="175" w:lineRule="exact"/>
              <w:rPr>
                <w:sz w:val="20"/>
                <w:szCs w:val="20"/>
                <w:color w:val="auto"/>
              </w:rPr>
            </w:pPr>
            <w:r>
              <w:rPr>
                <w:rFonts w:ascii="Times New Roman" w:cs="Times New Roman" w:eastAsia="Times New Roman" w:hAnsi="Times New Roman"/>
                <w:sz w:val="16"/>
                <w:szCs w:val="16"/>
                <w:b w:val="1"/>
                <w:bCs w:val="1"/>
                <w:color w:val="auto"/>
              </w:rPr>
              <w:t>2024</w:t>
            </w:r>
          </w:p>
        </w:tc>
      </w:tr>
      <w:tr>
        <w:trPr>
          <w:trHeight w:val="220"/>
        </w:trPr>
        <w:tc>
          <w:tcPr>
            <w:tcW w:w="7360" w:type="dxa"/>
            <w:vAlign w:val="bottom"/>
            <w:gridSpan w:val="2"/>
            <w:shd w:val="clear" w:color="auto" w:fill="CCEEFF"/>
          </w:tcPr>
          <w:p>
            <w:pPr>
              <w:spacing w:after="0" w:line="220" w:lineRule="exact"/>
              <w:rPr>
                <w:sz w:val="20"/>
                <w:szCs w:val="20"/>
                <w:color w:val="auto"/>
              </w:rPr>
            </w:pPr>
            <w:r>
              <w:rPr>
                <w:rFonts w:ascii="Times New Roman" w:cs="Times New Roman" w:eastAsia="Times New Roman" w:hAnsi="Times New Roman"/>
                <w:sz w:val="20"/>
                <w:szCs w:val="20"/>
                <w:color w:val="auto"/>
              </w:rPr>
              <w:t>Trade accounts receivable</w:t>
            </w:r>
          </w:p>
        </w:tc>
        <w:tc>
          <w:tcPr>
            <w:tcW w:w="880" w:type="dxa"/>
            <w:vAlign w:val="bottom"/>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22,087</w:t>
            </w:r>
          </w:p>
        </w:tc>
        <w:tc>
          <w:tcPr>
            <w:tcW w:w="1140" w:type="dxa"/>
            <w:vAlign w:val="bottom"/>
            <w:gridSpan w:val="3"/>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19,392</w:t>
            </w:r>
          </w:p>
        </w:tc>
      </w:tr>
      <w:tr>
        <w:trPr>
          <w:trHeight w:val="230"/>
        </w:trPr>
        <w:tc>
          <w:tcPr>
            <w:tcW w:w="73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Notes receivable</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255</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318</w:t>
            </w:r>
          </w:p>
        </w:tc>
      </w:tr>
      <w:tr>
        <w:trPr>
          <w:trHeight w:val="230"/>
        </w:trPr>
        <w:tc>
          <w:tcPr>
            <w:tcW w:w="7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Less: allowance for doubtful accounts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(510)</w:t>
            </w: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(387)</w:t>
            </w:r>
          </w:p>
        </w:tc>
      </w:tr>
      <w:tr>
        <w:trPr>
          <w:trHeight w:val="220"/>
        </w:trPr>
        <w:tc>
          <w:tcPr>
            <w:tcW w:w="7360" w:type="dxa"/>
            <w:vAlign w:val="bottom"/>
            <w:tcBorders>
              <w:bottom w:val="single" w:sz="8" w:color="CCEEFF"/>
            </w:tcBorders>
            <w:gridSpan w:val="2"/>
          </w:tcPr>
          <w:p>
            <w:pPr>
              <w:spacing w:after="0" w:line="220" w:lineRule="exact"/>
              <w:rPr>
                <w:sz w:val="20"/>
                <w:szCs w:val="20"/>
                <w:color w:val="auto"/>
              </w:rPr>
            </w:pPr>
            <w:r>
              <w:rPr>
                <w:rFonts w:ascii="Times New Roman" w:cs="Times New Roman" w:eastAsia="Times New Roman" w:hAnsi="Times New Roman"/>
                <w:sz w:val="20"/>
                <w:szCs w:val="20"/>
                <w:color w:val="auto"/>
              </w:rPr>
              <w:t>Total</w:t>
            </w:r>
          </w:p>
        </w:tc>
        <w:tc>
          <w:tcPr>
            <w:tcW w:w="88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21,832</w:t>
            </w: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19,324</w:t>
            </w:r>
          </w:p>
        </w:tc>
      </w:tr>
      <w:tr>
        <w:trPr>
          <w:trHeight w:val="220"/>
        </w:trPr>
        <w:tc>
          <w:tcPr>
            <w:tcW w:w="7360" w:type="dxa"/>
            <w:vAlign w:val="bottom"/>
            <w:gridSpan w:val="2"/>
            <w:shd w:val="clear" w:color="auto" w:fill="CCEEFF"/>
          </w:tcPr>
          <w:p>
            <w:pPr>
              <w:spacing w:after="0" w:line="220" w:lineRule="exact"/>
              <w:rPr>
                <w:sz w:val="20"/>
                <w:szCs w:val="20"/>
                <w:color w:val="auto"/>
              </w:rPr>
            </w:pPr>
            <w:r>
              <w:rPr>
                <w:rFonts w:ascii="Times New Roman" w:cs="Times New Roman" w:eastAsia="Times New Roman" w:hAnsi="Times New Roman"/>
                <w:sz w:val="20"/>
                <w:szCs w:val="20"/>
                <w:color w:val="auto"/>
              </w:rPr>
              <w:t>Less current portion</w:t>
            </w:r>
          </w:p>
        </w:tc>
        <w:tc>
          <w:tcPr>
            <w:tcW w:w="880" w:type="dxa"/>
            <w:vAlign w:val="bottom"/>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(21,286)</w:t>
            </w:r>
          </w:p>
        </w:tc>
        <w:tc>
          <w:tcPr>
            <w:tcW w:w="1140" w:type="dxa"/>
            <w:vAlign w:val="bottom"/>
            <w:gridSpan w:val="3"/>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(19,324)</w:t>
            </w:r>
          </w:p>
        </w:tc>
      </w:tr>
      <w:tr>
        <w:trPr>
          <w:trHeight w:val="229"/>
        </w:trPr>
        <w:tc>
          <w:tcPr>
            <w:tcW w:w="734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Total long-term portion</w:t>
            </w:r>
          </w:p>
        </w:tc>
        <w:tc>
          <w:tcPr>
            <w:tcW w:w="20" w:type="dxa"/>
            <w:vAlign w:val="bottom"/>
            <w:tcBorders>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546</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r>
    </w:tbl>
    <w:p>
      <w:pPr>
        <w:spacing w:after="0" w:line="21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Notes receivable usually represent commercial bills of exchange with initial maturities of 90 days or less.</w:t>
      </w:r>
    </w:p>
    <w:p>
      <w:pPr>
        <w:spacing w:after="0" w:line="200" w:lineRule="exact"/>
        <w:rPr>
          <w:sz w:val="20"/>
          <w:szCs w:val="20"/>
          <w:color w:val="auto"/>
        </w:rPr>
      </w:pPr>
    </w:p>
    <w:p>
      <w:pPr>
        <w:jc w:val="both"/>
        <w:ind w:firstLine="720"/>
        <w:spacing w:after="0" w:line="279" w:lineRule="auto"/>
        <w:rPr>
          <w:sz w:val="20"/>
          <w:szCs w:val="20"/>
          <w:color w:val="auto"/>
        </w:rPr>
      </w:pPr>
      <w:r>
        <w:rPr>
          <w:rFonts w:ascii="Times New Roman" w:cs="Times New Roman" w:eastAsia="Times New Roman" w:hAnsi="Times New Roman"/>
          <w:sz w:val="20"/>
          <w:szCs w:val="20"/>
          <w:color w:val="auto"/>
        </w:rPr>
        <w:t>Bad debt expenses amount to a net cost of $143 thousand, and a net cost of $124 thousand, respectively for the years ended December 31, 2025 and 2024.</w:t>
      </w:r>
    </w:p>
    <w:p>
      <w:pPr>
        <w:sectPr>
          <w:pgSz w:w="11900" w:h="16838" w:orient="portrait"/>
          <w:cols w:equalWidth="0" w:num="1">
            <w:col w:w="9380"/>
          </w:cols>
          <w:pgMar w:left="1260" w:top="838" w:right="1266" w:bottom="72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F-21</w:t>
      </w:r>
    </w:p>
    <w:p>
      <w:pPr>
        <w:sectPr>
          <w:pgSz w:w="11900" w:h="16838" w:orient="portrait"/>
          <w:cols w:equalWidth="0" w:num="1">
            <w:col w:w="9380"/>
          </w:cols>
          <w:pgMar w:left="1260" w:top="838" w:right="1266" w:bottom="723" w:gutter="0" w:footer="0" w:header="0"/>
          <w:type w:val="continuous"/>
        </w:sectPr>
      </w:pPr>
    </w:p>
    <w:bookmarkStart w:id="76" w:name="page77"/>
    <w:bookmarkEnd w:id="76"/>
    <w:p>
      <w:pPr>
        <w:ind w:left="3180"/>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795655</wp:posOffset>
            </wp:positionH>
            <wp:positionV relativeFrom="page">
              <wp:posOffset>292735</wp:posOffset>
            </wp:positionV>
            <wp:extent cx="929005" cy="1149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88">
                      <a:extLst>
                        <a:ext uri="{28A0092B-C50C-407E-A947-70E740481C1C}"/>
                      </a:extLst>
                    </a:blip>
                    <a:srcRect/>
                    <a:stretch>
                      <a:fillRect/>
                    </a:stretch>
                  </pic:blipFill>
                  <pic:spPr bwMode="auto">
                    <a:xfrm>
                      <a:off x="0" y="0"/>
                      <a:ext cx="929005" cy="114935"/>
                    </a:xfrm>
                    <a:prstGeom prst="rect">
                      <a:avLst/>
                    </a:prstGeom>
                    <a:noFill/>
                  </pic:spPr>
                </pic:pic>
              </a:graphicData>
            </a:graphic>
          </wp:anchor>
        </w:drawing>
        <w:t>EDAP TMS S.A. AND SUBSIDIARIES</w:t>
      </w:r>
    </w:p>
    <w:p>
      <w:pPr>
        <w:ind w:left="2760"/>
        <w:spacing w:after="0"/>
        <w:rPr>
          <w:sz w:val="20"/>
          <w:szCs w:val="20"/>
          <w:color w:val="auto"/>
        </w:rPr>
      </w:pPr>
      <w:r>
        <w:rPr>
          <w:rFonts w:ascii="Times New Roman" w:cs="Times New Roman" w:eastAsia="Times New Roman" w:hAnsi="Times New Roman"/>
          <w:sz w:val="20"/>
          <w:szCs w:val="20"/>
          <w:b w:val="1"/>
          <w:bCs w:val="1"/>
          <w:color w:val="auto"/>
        </w:rPr>
        <w:t>CONSOLIDATED FINANCIAL STATEMENTS</w:t>
      </w:r>
    </w:p>
    <w:p>
      <w:pPr>
        <w:ind w:left="1500"/>
        <w:spacing w:after="0"/>
        <w:rPr>
          <w:sz w:val="20"/>
          <w:szCs w:val="20"/>
          <w:color w:val="auto"/>
        </w:rPr>
      </w:pPr>
      <w:r>
        <w:rPr>
          <w:rFonts w:ascii="Times New Roman" w:cs="Times New Roman" w:eastAsia="Times New Roman" w:hAnsi="Times New Roman"/>
          <w:sz w:val="20"/>
          <w:szCs w:val="20"/>
          <w:b w:val="1"/>
          <w:bCs w:val="1"/>
          <w:color w:val="auto"/>
        </w:rPr>
        <w:t>(In thousands of U.S. dollars unless otherwise noted, except per share data)</w:t>
      </w: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sz w:val="1"/>
          <w:szCs w:val="1"/>
          <w:color w:val="auto"/>
        </w:rPr>
        <w:drawing>
          <wp:inline distT="0" distB="0" distL="0" distR="0">
            <wp:extent cx="194945" cy="94615"/>
            <wp:effectExtent l="0" t="0" r="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89">
                      <a:extLst>
                        <a:ext uri="{28A0092B-C50C-407E-A947-70E740481C1C}"/>
                      </a:extLst>
                    </a:blip>
                    <a:srcRect/>
                    <a:stretch>
                      <a:fillRect/>
                    </a:stretch>
                  </pic:blipFill>
                  <pic:spPr bwMode="auto">
                    <a:xfrm>
                      <a:off x="0" y="0"/>
                      <a:ext cx="194945" cy="94615"/>
                    </a:xfrm>
                    <a:prstGeom prst="rect">
                      <a:avLst/>
                    </a:prstGeom>
                    <a:noFill/>
                    <a:ln>
                      <a:noFill/>
                    </a:ln>
                  </pic:spPr>
                </pic:pic>
              </a:graphicData>
            </a:graphic>
          </wp:inline>
        </w:drawing>
      </w:r>
      <w:r>
        <w:rPr>
          <w:rFonts w:ascii="Times New Roman" w:cs="Times New Roman" w:eastAsia="Times New Roman" w:hAnsi="Times New Roman"/>
          <w:sz w:val="20"/>
          <w:szCs w:val="20"/>
          <w:b w:val="1"/>
          <w:bCs w:val="1"/>
          <w:color w:val="auto"/>
        </w:rPr>
        <w:t xml:space="preserve"> OTHER RECEIVABLES</w:t>
      </w:r>
    </w:p>
    <w:p>
      <w:pPr>
        <w:spacing w:after="0" w:line="20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Other receivables consist of the following:</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80" w:type="dxa"/>
            <w:vAlign w:val="bottom"/>
            <w:tcBorders>
              <w:bottom w:val="single" w:sz="8" w:color="auto"/>
            </w:tcBorders>
            <w:gridSpan w:val="4"/>
          </w:tcPr>
          <w:p>
            <w:pPr>
              <w:jc w:val="right"/>
              <w:ind w:right="45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174"/>
        </w:trPr>
        <w:tc>
          <w:tcPr>
            <w:tcW w:w="73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right"/>
              <w:ind w:right="125"/>
              <w:spacing w:after="0" w:line="175" w:lineRule="exact"/>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Borders>
              <w:bottom w:val="single" w:sz="8" w:color="CCEEFF"/>
            </w:tcBorders>
            <w:gridSpan w:val="2"/>
          </w:tcPr>
          <w:p>
            <w:pPr>
              <w:spacing w:after="0"/>
              <w:rPr>
                <w:sz w:val="15"/>
                <w:szCs w:val="15"/>
                <w:color w:val="auto"/>
              </w:rPr>
            </w:pPr>
          </w:p>
        </w:tc>
        <w:tc>
          <w:tcPr>
            <w:tcW w:w="980" w:type="dxa"/>
            <w:vAlign w:val="bottom"/>
            <w:tcBorders>
              <w:bottom w:val="single" w:sz="8" w:color="auto"/>
            </w:tcBorders>
          </w:tcPr>
          <w:p>
            <w:pPr>
              <w:jc w:val="right"/>
              <w:ind w:right="230"/>
              <w:spacing w:after="0" w:line="175" w:lineRule="exact"/>
              <w:rPr>
                <w:sz w:val="20"/>
                <w:szCs w:val="20"/>
                <w:color w:val="auto"/>
              </w:rPr>
            </w:pPr>
            <w:r>
              <w:rPr>
                <w:rFonts w:ascii="Times New Roman" w:cs="Times New Roman" w:eastAsia="Times New Roman" w:hAnsi="Times New Roman"/>
                <w:sz w:val="16"/>
                <w:szCs w:val="16"/>
                <w:b w:val="1"/>
                <w:bCs w:val="1"/>
                <w:color w:val="auto"/>
              </w:rPr>
              <w:t>2024</w:t>
            </w:r>
          </w:p>
        </w:tc>
      </w:tr>
      <w:tr>
        <w:trPr>
          <w:trHeight w:val="222"/>
        </w:trPr>
        <w:tc>
          <w:tcPr>
            <w:tcW w:w="7400" w:type="dxa"/>
            <w:vAlign w:val="bottom"/>
            <w:gridSpan w:val="2"/>
            <w:shd w:val="clear" w:color="auto" w:fill="CCEEFF"/>
          </w:tcPr>
          <w:p>
            <w:pPr>
              <w:spacing w:after="0" w:line="223" w:lineRule="exact"/>
              <w:rPr>
                <w:sz w:val="20"/>
                <w:szCs w:val="20"/>
                <w:color w:val="auto"/>
              </w:rPr>
            </w:pPr>
            <w:r>
              <w:rPr>
                <w:rFonts w:ascii="Times New Roman" w:cs="Times New Roman" w:eastAsia="Times New Roman" w:hAnsi="Times New Roman"/>
                <w:sz w:val="20"/>
                <w:szCs w:val="20"/>
                <w:color w:val="auto"/>
              </w:rPr>
              <w:t>Settlement fees</w:t>
            </w:r>
          </w:p>
        </w:tc>
        <w:tc>
          <w:tcPr>
            <w:tcW w:w="76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1220" w:type="dxa"/>
            <w:vAlign w:val="bottom"/>
            <w:gridSpan w:val="3"/>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1,039</w:t>
            </w:r>
          </w:p>
        </w:tc>
      </w:tr>
      <w:tr>
        <w:trPr>
          <w:trHeight w:val="230"/>
        </w:trPr>
        <w:tc>
          <w:tcPr>
            <w:tcW w:w="74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Grants</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265</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201</w:t>
            </w:r>
          </w:p>
        </w:tc>
      </w:tr>
      <w:tr>
        <w:trPr>
          <w:trHeight w:val="230"/>
        </w:trPr>
        <w:tc>
          <w:tcPr>
            <w:tcW w:w="7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Value-added taxes receivable</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879</w:t>
            </w:r>
          </w:p>
        </w:tc>
        <w:tc>
          <w:tcPr>
            <w:tcW w:w="1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385</w:t>
            </w:r>
          </w:p>
        </w:tc>
      </w:tr>
      <w:tr>
        <w:trPr>
          <w:trHeight w:val="230"/>
        </w:trPr>
        <w:tc>
          <w:tcPr>
            <w:tcW w:w="74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Other receivables from Government and public authorities</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19</w:t>
            </w:r>
          </w:p>
        </w:tc>
      </w:tr>
      <w:tr>
        <w:trPr>
          <w:trHeight w:val="230"/>
        </w:trPr>
        <w:tc>
          <w:tcPr>
            <w:tcW w:w="7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Others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72</w:t>
            </w:r>
          </w:p>
        </w:tc>
        <w:tc>
          <w:tcPr>
            <w:tcW w:w="1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109</w:t>
            </w:r>
          </w:p>
        </w:tc>
      </w:tr>
      <w:tr>
        <w:trPr>
          <w:trHeight w:val="231"/>
        </w:trPr>
        <w:tc>
          <w:tcPr>
            <w:tcW w:w="738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Total</w:t>
            </w:r>
          </w:p>
        </w:tc>
        <w:tc>
          <w:tcPr>
            <w:tcW w:w="20" w:type="dxa"/>
            <w:vAlign w:val="bottom"/>
            <w:tcBorders>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1,297</w:t>
            </w:r>
          </w:p>
        </w:tc>
        <w:tc>
          <w:tcPr>
            <w:tcW w:w="2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1,753</w:t>
            </w:r>
          </w:p>
        </w:tc>
      </w:tr>
    </w:tbl>
    <w:p>
      <w:pPr>
        <w:spacing w:after="0" w:line="211"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Settlement fees for the year ended December 31, 2024, are linked to the termination agreement signed with Boston Scientific. These fees were settled in two payments upon fulfilled terms and conditions by the Company. In the Consolidated Statements of Operations, these settlement fees are allocated to the respective lines of expenses generated by the Settlement agreement.</w:t>
      </w:r>
    </w:p>
    <w:p>
      <w:pPr>
        <w:spacing w:after="0" w:line="177" w:lineRule="exact"/>
        <w:rPr>
          <w:sz w:val="20"/>
          <w:szCs w:val="20"/>
          <w:color w:val="auto"/>
        </w:rPr>
      </w:pPr>
    </w:p>
    <w:p>
      <w:pPr>
        <w:spacing w:after="0"/>
        <w:rPr>
          <w:sz w:val="20"/>
          <w:szCs w:val="20"/>
          <w:color w:val="auto"/>
        </w:rPr>
      </w:pPr>
      <w:r>
        <w:rPr>
          <w:sz w:val="1"/>
          <w:szCs w:val="1"/>
          <w:color w:val="auto"/>
        </w:rPr>
        <w:drawing>
          <wp:inline distT="0" distB="0" distL="0" distR="0">
            <wp:extent cx="194945" cy="92710"/>
            <wp:effectExtent l="0" t="0" r="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0">
                      <a:extLst>
                        <a:ext uri="{28A0092B-C50C-407E-A947-70E740481C1C}"/>
                      </a:extLst>
                    </a:blip>
                    <a:srcRect/>
                    <a:stretch>
                      <a:fillRect/>
                    </a:stretch>
                  </pic:blipFill>
                  <pic:spPr bwMode="auto">
                    <a:xfrm>
                      <a:off x="0" y="0"/>
                      <a:ext cx="194945" cy="92710"/>
                    </a:xfrm>
                    <a:prstGeom prst="rect">
                      <a:avLst/>
                    </a:prstGeom>
                    <a:noFill/>
                    <a:ln>
                      <a:noFill/>
                    </a:ln>
                  </pic:spPr>
                </pic:pic>
              </a:graphicData>
            </a:graphic>
          </wp:inline>
        </w:drawing>
      </w:r>
      <w:r>
        <w:rPr>
          <w:rFonts w:ascii="Times New Roman" w:cs="Times New Roman" w:eastAsia="Times New Roman" w:hAnsi="Times New Roman"/>
          <w:sz w:val="20"/>
          <w:szCs w:val="20"/>
          <w:b w:val="1"/>
          <w:bCs w:val="1"/>
          <w:color w:val="auto"/>
        </w:rPr>
        <w:t xml:space="preserve"> INVENTORIES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20" w:type="dxa"/>
            <w:vAlign w:val="bottom"/>
            <w:tcBorders>
              <w:bottom w:val="single" w:sz="8" w:color="auto"/>
            </w:tcBorders>
            <w:gridSpan w:val="4"/>
          </w:tcPr>
          <w:p>
            <w:pPr>
              <w:ind w:left="58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620" w:type="dxa"/>
            <w:vAlign w:val="bottom"/>
            <w:tcBorders>
              <w:bottom w:val="single" w:sz="8" w:color="auto"/>
            </w:tcBorders>
          </w:tcPr>
          <w:p>
            <w:pPr>
              <w:spacing w:after="0"/>
              <w:rPr>
                <w:sz w:val="17"/>
                <w:szCs w:val="17"/>
                <w:color w:val="auto"/>
              </w:rPr>
            </w:pPr>
          </w:p>
        </w:tc>
      </w:tr>
      <w:tr>
        <w:trPr>
          <w:trHeight w:val="174"/>
        </w:trPr>
        <w:tc>
          <w:tcPr>
            <w:tcW w:w="72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jc w:val="right"/>
              <w:ind w:right="305"/>
              <w:spacing w:after="0" w:line="175" w:lineRule="exact"/>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83"/>
              <w:spacing w:after="0" w:line="175" w:lineRule="exact"/>
              <w:rPr>
                <w:sz w:val="20"/>
                <w:szCs w:val="20"/>
                <w:color w:val="auto"/>
              </w:rPr>
            </w:pPr>
            <w:r>
              <w:rPr>
                <w:rFonts w:ascii="Times New Roman" w:cs="Times New Roman" w:eastAsia="Times New Roman" w:hAnsi="Times New Roman"/>
                <w:sz w:val="16"/>
                <w:szCs w:val="16"/>
                <w:b w:val="1"/>
                <w:bCs w:val="1"/>
                <w:color w:val="auto"/>
                <w:w w:val="99"/>
              </w:rPr>
              <w:t>2024</w:t>
            </w:r>
          </w:p>
        </w:tc>
      </w:tr>
      <w:tr>
        <w:trPr>
          <w:trHeight w:val="220"/>
        </w:trPr>
        <w:tc>
          <w:tcPr>
            <w:tcW w:w="7240" w:type="dxa"/>
            <w:vAlign w:val="bottom"/>
            <w:gridSpan w:val="2"/>
            <w:shd w:val="clear" w:color="auto" w:fill="CCEEFF"/>
          </w:tcPr>
          <w:p>
            <w:pPr>
              <w:spacing w:after="0" w:line="220" w:lineRule="exact"/>
              <w:rPr>
                <w:sz w:val="20"/>
                <w:szCs w:val="20"/>
                <w:color w:val="auto"/>
              </w:rPr>
            </w:pPr>
            <w:r>
              <w:rPr>
                <w:rFonts w:ascii="Times New Roman" w:cs="Times New Roman" w:eastAsia="Times New Roman" w:hAnsi="Times New Roman"/>
                <w:sz w:val="20"/>
                <w:szCs w:val="20"/>
                <w:color w:val="auto"/>
              </w:rPr>
              <w:t>Components, spare parts</w:t>
            </w:r>
          </w:p>
        </w:tc>
        <w:tc>
          <w:tcPr>
            <w:tcW w:w="1100" w:type="dxa"/>
            <w:vAlign w:val="bottom"/>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9,239</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w w:val="98"/>
              </w:rPr>
              <w:t>14,350</w:t>
            </w:r>
          </w:p>
        </w:tc>
      </w:tr>
      <w:tr>
        <w:trPr>
          <w:trHeight w:val="230"/>
        </w:trPr>
        <w:tc>
          <w:tcPr>
            <w:tcW w:w="72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Work-in-progress</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1,517</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1,059</w:t>
            </w:r>
          </w:p>
        </w:tc>
      </w:tr>
      <w:tr>
        <w:trPr>
          <w:trHeight w:val="230"/>
        </w:trPr>
        <w:tc>
          <w:tcPr>
            <w:tcW w:w="7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Finished goods – own manufactured products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1,670</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2,891</w:t>
            </w:r>
          </w:p>
        </w:tc>
      </w:tr>
      <w:tr>
        <w:trPr>
          <w:trHeight w:val="230"/>
        </w:trPr>
        <w:tc>
          <w:tcPr>
            <w:tcW w:w="72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20"/>
                <w:szCs w:val="20"/>
                <w:color w:val="auto"/>
              </w:rPr>
              <w:t>Finished goods – distribution products</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1,889</w:t>
            </w:r>
          </w:p>
        </w:tc>
        <w:tc>
          <w:tcPr>
            <w:tcW w:w="1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3,047</w:t>
            </w:r>
          </w:p>
        </w:tc>
      </w:tr>
      <w:tr>
        <w:trPr>
          <w:trHeight w:val="229"/>
        </w:trPr>
        <w:tc>
          <w:tcPr>
            <w:tcW w:w="7240" w:type="dxa"/>
            <w:vAlign w:val="bottom"/>
            <w:gridSpan w:val="2"/>
            <w:shd w:val="clear" w:color="auto" w:fill="CCEEFF"/>
          </w:tcPr>
          <w:p>
            <w:pPr>
              <w:spacing w:after="0" w:line="220" w:lineRule="exact"/>
              <w:rPr>
                <w:sz w:val="20"/>
                <w:szCs w:val="20"/>
                <w:color w:val="auto"/>
              </w:rPr>
            </w:pPr>
            <w:r>
              <w:rPr>
                <w:rFonts w:ascii="Times New Roman" w:cs="Times New Roman" w:eastAsia="Times New Roman" w:hAnsi="Times New Roman"/>
                <w:sz w:val="20"/>
                <w:szCs w:val="20"/>
                <w:color w:val="auto"/>
              </w:rPr>
              <w:t>Total gross inventories</w:t>
            </w:r>
          </w:p>
        </w:tc>
        <w:tc>
          <w:tcPr>
            <w:tcW w:w="1100" w:type="dxa"/>
            <w:vAlign w:val="bottom"/>
            <w:tcBorders>
              <w:bottom w:val="single" w:sz="8" w:color="auto"/>
            </w:tcBorders>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14,314</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w w:val="98"/>
              </w:rPr>
              <w:t>21,347</w:t>
            </w:r>
          </w:p>
        </w:tc>
      </w:tr>
      <w:tr>
        <w:trPr>
          <w:trHeight w:val="230"/>
        </w:trPr>
        <w:tc>
          <w:tcPr>
            <w:tcW w:w="72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20"/>
                <w:szCs w:val="20"/>
                <w:color w:val="auto"/>
              </w:rPr>
              <w:t>Less: allowance for slow-moving inventory and net realizable value</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(1,484)</w:t>
            </w:r>
          </w:p>
        </w:tc>
        <w:tc>
          <w:tcPr>
            <w:tcW w:w="1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(2,134)</w:t>
            </w:r>
          </w:p>
        </w:tc>
      </w:tr>
      <w:tr>
        <w:trPr>
          <w:trHeight w:val="231"/>
        </w:trPr>
        <w:tc>
          <w:tcPr>
            <w:tcW w:w="7220" w:type="dxa"/>
            <w:vAlign w:val="bottom"/>
            <w:shd w:val="clear" w:color="auto" w:fill="CCEEFF"/>
          </w:tcPr>
          <w:p>
            <w:pPr>
              <w:spacing w:after="0" w:line="220" w:lineRule="exact"/>
              <w:rPr>
                <w:sz w:val="20"/>
                <w:szCs w:val="20"/>
                <w:color w:val="auto"/>
              </w:rPr>
            </w:pPr>
            <w:r>
              <w:rPr>
                <w:rFonts w:ascii="Times New Roman" w:cs="Times New Roman" w:eastAsia="Times New Roman" w:hAnsi="Times New Roman"/>
                <w:sz w:val="20"/>
                <w:szCs w:val="20"/>
                <w:color w:val="auto"/>
              </w:rPr>
              <w:t>Total</w:t>
            </w:r>
          </w:p>
        </w:tc>
        <w:tc>
          <w:tcPr>
            <w:tcW w:w="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line="221" w:lineRule="exact"/>
              <w:rPr>
                <w:sz w:val="20"/>
                <w:szCs w:val="20"/>
                <w:color w:val="auto"/>
              </w:rPr>
            </w:pPr>
            <w:r>
              <w:rPr>
                <w:rFonts w:ascii="Times New Roman" w:cs="Times New Roman" w:eastAsia="Times New Roman" w:hAnsi="Times New Roman"/>
                <w:sz w:val="20"/>
                <w:szCs w:val="20"/>
                <w:color w:val="auto"/>
              </w:rPr>
              <w:t>12,830</w:t>
            </w:r>
          </w:p>
        </w:tc>
        <w:tc>
          <w:tcPr>
            <w:tcW w:w="140" w:type="dxa"/>
            <w:vAlign w:val="bottom"/>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line="221" w:lineRule="exact"/>
              <w:rPr>
                <w:sz w:val="20"/>
                <w:szCs w:val="20"/>
                <w:color w:val="auto"/>
              </w:rPr>
            </w:pPr>
            <w:r>
              <w:rPr>
                <w:rFonts w:ascii="Times New Roman" w:cs="Times New Roman" w:eastAsia="Times New Roman" w:hAnsi="Times New Roman"/>
                <w:sz w:val="20"/>
                <w:szCs w:val="20"/>
                <w:color w:val="auto"/>
                <w:w w:val="98"/>
              </w:rPr>
              <w:t>19,213</w:t>
            </w:r>
          </w:p>
        </w:tc>
      </w:tr>
    </w:tbl>
    <w:p>
      <w:pPr>
        <w:spacing w:after="0" w:line="20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The provision for slow moving inventory relates to components and spare parts. The increase in the allowance for slow moving inventory (excluding exchange rate impact), which are classified within cost of sales, amounted to $233 thousand for the year ended December 31, 2025, and $876 thousand for the year ended December 31, 2024. The $650 thousand decrease in the allowance for slow moving inventory for the year ended December 31, 2025, relates mainly to the write- off of Boston Scientific’s inventory further to the termination of the distribution contract with Boston Scientific in the year.</w:t>
      </w:r>
    </w:p>
    <w:p>
      <w:pPr>
        <w:spacing w:after="0" w:line="187" w:lineRule="exact"/>
        <w:rPr>
          <w:sz w:val="20"/>
          <w:szCs w:val="20"/>
          <w:color w:val="auto"/>
        </w:rPr>
      </w:pPr>
    </w:p>
    <w:p>
      <w:pPr>
        <w:spacing w:after="0"/>
        <w:rPr>
          <w:sz w:val="20"/>
          <w:szCs w:val="20"/>
          <w:color w:val="auto"/>
        </w:rPr>
      </w:pPr>
      <w:r>
        <w:rPr>
          <w:sz w:val="1"/>
          <w:szCs w:val="1"/>
          <w:color w:val="auto"/>
        </w:rPr>
        <w:drawing>
          <wp:inline distT="0" distB="0" distL="0" distR="0">
            <wp:extent cx="193675" cy="95885"/>
            <wp:effectExtent l="0" t="0" r="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1">
                      <a:extLst>
                        <a:ext uri="{28A0092B-C50C-407E-A947-70E740481C1C}"/>
                      </a:extLst>
                    </a:blip>
                    <a:srcRect/>
                    <a:stretch>
                      <a:fillRect/>
                    </a:stretch>
                  </pic:blipFill>
                  <pic:spPr bwMode="auto">
                    <a:xfrm>
                      <a:off x="0" y="0"/>
                      <a:ext cx="193675" cy="95885"/>
                    </a:xfrm>
                    <a:prstGeom prst="rect">
                      <a:avLst/>
                    </a:prstGeom>
                    <a:noFill/>
                    <a:ln>
                      <a:noFill/>
                    </a:ln>
                  </pic:spPr>
                </pic:pic>
              </a:graphicData>
            </a:graphic>
          </wp:inline>
        </w:drawing>
      </w:r>
      <w:r>
        <w:rPr>
          <w:rFonts w:ascii="Times New Roman" w:cs="Times New Roman" w:eastAsia="Times New Roman" w:hAnsi="Times New Roman"/>
          <w:sz w:val="20"/>
          <w:szCs w:val="20"/>
          <w:b w:val="1"/>
          <w:bCs w:val="1"/>
          <w:color w:val="auto"/>
        </w:rPr>
        <w:t xml:space="preserve"> OTHER ASSETS</w:t>
      </w:r>
    </w:p>
    <w:p>
      <w:pPr>
        <w:spacing w:after="0" w:line="20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Other assets consist of the following:</w:t>
      </w:r>
    </w:p>
    <w:p>
      <w:pPr>
        <w:spacing w:after="0" w:line="37" w:lineRule="exact"/>
        <w:rPr>
          <w:sz w:val="20"/>
          <w:szCs w:val="20"/>
          <w:color w:val="auto"/>
        </w:rPr>
      </w:pPr>
    </w:p>
    <w:p>
      <w:pPr>
        <w:ind w:left="802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4855210</wp:posOffset>
                </wp:positionH>
                <wp:positionV relativeFrom="paragraph">
                  <wp:posOffset>6350</wp:posOffset>
                </wp:positionV>
                <wp:extent cx="1100455" cy="0"/>
                <wp:wrapNone/>
                <wp:docPr id="91" name="Shape 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00455" cy="4763"/>
                        </a:xfrm>
                        <a:prstGeom prst="line">
                          <a:avLst/>
                        </a:prstGeom>
                        <a:solidFill>
                          <a:srgbClr val="FFFFFF"/>
                        </a:solidFill>
                        <a:ln w="6108">
                          <a:solidFill>
                            <a:srgbClr val="000000"/>
                          </a:solidFill>
                          <a:miter lim="800000"/>
                          <a:headEnd/>
                          <a:tailEnd/>
                        </a:ln>
                      </wps:spPr>
                      <wps:bodyPr/>
                    </wps:wsp>
                  </a:graphicData>
                </a:graphic>
              </wp:anchor>
            </w:drawing>
          </mc:Choice>
          <mc:Fallback>
            <w:pict>
              <v:line id="Shape 91" o:spid="_x0000_s111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2.3pt,0.5pt" to="468.95pt,0.5pt" o:allowincell="f" strokecolor="#000000" strokeweight="0.4809pt"/>
            </w:pict>
          </mc:Fallback>
        </mc:AlternateContent>
      </w:r>
    </w:p>
    <w:p>
      <w:pPr>
        <w:ind w:left="7880"/>
        <w:spacing w:after="0"/>
        <w:tabs>
          <w:tab w:leader="none" w:pos="8800" w:val="left"/>
        </w:tabs>
        <w:rPr>
          <w:sz w:val="20"/>
          <w:szCs w:val="20"/>
          <w:color w:val="auto"/>
        </w:rPr>
      </w:pPr>
      <w:r>
        <w:rPr>
          <w:rFonts w:ascii="Times New Roman" w:cs="Times New Roman" w:eastAsia="Times New Roman" w:hAnsi="Times New Roman"/>
          <w:sz w:val="16"/>
          <w:szCs w:val="16"/>
          <w:b w:val="1"/>
          <w:bCs w:val="1"/>
          <w:color w:val="auto"/>
        </w:rPr>
        <w:t>2025</w:t>
      </w:r>
      <w:r>
        <w:rPr>
          <w:sz w:val="20"/>
          <w:szCs w:val="20"/>
          <w:color w:val="auto"/>
        </w:rPr>
        <w:tab/>
      </w:r>
      <w:r>
        <w:rPr>
          <w:rFonts w:ascii="Times New Roman" w:cs="Times New Roman" w:eastAsia="Times New Roman" w:hAnsi="Times New Roman"/>
          <w:sz w:val="16"/>
          <w:szCs w:val="16"/>
          <w:b w:val="1"/>
          <w:bCs w:val="1"/>
          <w:color w:val="auto"/>
        </w:rPr>
        <w:t>2024</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640" w:type="dxa"/>
            <w:vAlign w:val="bottom"/>
            <w:tcBorders>
              <w:top w:val="single" w:sz="8" w:color="CCEEFF"/>
            </w:tcBorders>
            <w:shd w:val="clear" w:color="auto" w:fill="CCEEFF"/>
          </w:tcPr>
          <w:p>
            <w:pPr>
              <w:spacing w:after="0" w:line="220" w:lineRule="exact"/>
              <w:rPr>
                <w:sz w:val="20"/>
                <w:szCs w:val="20"/>
                <w:color w:val="auto"/>
              </w:rPr>
            </w:pPr>
            <w:r>
              <w:rPr>
                <w:rFonts w:ascii="Times New Roman" w:cs="Times New Roman" w:eastAsia="Times New Roman" w:hAnsi="Times New Roman"/>
                <w:sz w:val="20"/>
                <w:szCs w:val="20"/>
                <w:color w:val="auto"/>
              </w:rPr>
              <w:t>Prepaid expenses, current portion</w:t>
            </w:r>
          </w:p>
        </w:tc>
        <w:tc>
          <w:tcPr>
            <w:tcW w:w="800" w:type="dxa"/>
            <w:vAlign w:val="bottom"/>
            <w:tcBorders>
              <w:top w:val="single" w:sz="8" w:color="auto"/>
              <w:bottom w:val="single" w:sz="8" w:color="auto"/>
            </w:tcBorders>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1,299</w:t>
            </w:r>
          </w:p>
        </w:tc>
        <w:tc>
          <w:tcPr>
            <w:tcW w:w="16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1,307</w:t>
            </w:r>
          </w:p>
        </w:tc>
      </w:tr>
      <w:tr>
        <w:trPr>
          <w:trHeight w:val="231"/>
        </w:trPr>
        <w:tc>
          <w:tcPr>
            <w:tcW w:w="7640" w:type="dxa"/>
            <w:vAlign w:val="bottom"/>
          </w:tcPr>
          <w:p>
            <w:pPr>
              <w:spacing w:after="0"/>
              <w:rPr>
                <w:sz w:val="20"/>
                <w:szCs w:val="20"/>
                <w:color w:val="auto"/>
              </w:rPr>
            </w:pPr>
            <w:r>
              <w:rPr>
                <w:rFonts w:ascii="Times New Roman" w:cs="Times New Roman" w:eastAsia="Times New Roman" w:hAnsi="Times New Roman"/>
                <w:sz w:val="20"/>
                <w:szCs w:val="20"/>
                <w:color w:val="auto"/>
              </w:rPr>
              <w:t>Total</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1,299</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1,307</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4846320</wp:posOffset>
                </wp:positionH>
                <wp:positionV relativeFrom="paragraph">
                  <wp:posOffset>-2540</wp:posOffset>
                </wp:positionV>
                <wp:extent cx="507365" cy="0"/>
                <wp:wrapNone/>
                <wp:docPr id="92" name="Shape 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07365" cy="4763"/>
                        </a:xfrm>
                        <a:prstGeom prst="line">
                          <a:avLst/>
                        </a:prstGeom>
                        <a:solidFill>
                          <a:srgbClr val="FFFFFF"/>
                        </a:solidFill>
                        <a:ln w="6108">
                          <a:solidFill>
                            <a:srgbClr val="000000"/>
                          </a:solidFill>
                          <a:miter lim="800000"/>
                          <a:headEnd/>
                          <a:tailEnd/>
                        </a:ln>
                      </wps:spPr>
                      <wps:bodyPr/>
                    </wps:wsp>
                  </a:graphicData>
                </a:graphic>
              </wp:anchor>
            </w:drawing>
          </mc:Choice>
          <mc:Fallback>
            <w:pict>
              <v:line id="Shape 92" o:spid="_x0000_s111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1.6pt,-0.1999pt" to="421.55pt,-0.1999pt" o:allowincell="f" strokecolor="#000000" strokeweight="0.4809pt"/>
            </w:pict>
          </mc:Fallback>
        </mc:AlternateContent>
        <mc:AlternateContent>
          <mc:Choice Requires="wps">
            <w:drawing>
              <wp:anchor simplePos="0" relativeHeight="251657728" behindDoc="1" locked="0" layoutInCell="0" allowOverlap="1">
                <wp:simplePos x="0" y="0"/>
                <wp:positionH relativeFrom="column">
                  <wp:posOffset>5446395</wp:posOffset>
                </wp:positionH>
                <wp:positionV relativeFrom="paragraph">
                  <wp:posOffset>-2540</wp:posOffset>
                </wp:positionV>
                <wp:extent cx="509270" cy="0"/>
                <wp:wrapNone/>
                <wp:docPr id="93" name="Shape 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09270" cy="4763"/>
                        </a:xfrm>
                        <a:prstGeom prst="line">
                          <a:avLst/>
                        </a:prstGeom>
                        <a:solidFill>
                          <a:srgbClr val="FFFFFF"/>
                        </a:solidFill>
                        <a:ln w="6108">
                          <a:solidFill>
                            <a:srgbClr val="000000"/>
                          </a:solidFill>
                          <a:miter lim="800000"/>
                          <a:headEnd/>
                          <a:tailEnd/>
                        </a:ln>
                      </wps:spPr>
                      <wps:bodyPr/>
                    </wps:wsp>
                  </a:graphicData>
                </a:graphic>
              </wp:anchor>
            </w:drawing>
          </mc:Choice>
          <mc:Fallback>
            <w:pict>
              <v:line id="Shape 93" o:spid="_x0000_s111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8.85pt,-0.1999pt" to="468.95pt,-0.1999pt" o:allowincell="f" strokecolor="#000000" strokeweight="0.4809pt"/>
            </w:pict>
          </mc:Fallback>
        </mc:AlternateContent>
      </w:r>
    </w:p>
    <w:p>
      <w:pPr>
        <w:ind w:left="720"/>
        <w:spacing w:after="0"/>
        <w:rPr>
          <w:sz w:val="20"/>
          <w:szCs w:val="20"/>
          <w:color w:val="auto"/>
        </w:rPr>
      </w:pPr>
      <w:r>
        <w:rPr>
          <w:rFonts w:ascii="Times New Roman" w:cs="Times New Roman" w:eastAsia="Times New Roman" w:hAnsi="Times New Roman"/>
          <w:sz w:val="20"/>
          <w:szCs w:val="20"/>
          <w:color w:val="auto"/>
        </w:rPr>
        <w:t>Prepaid expenses mainly consist of rental and future congresses and conferences expenses.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4846320</wp:posOffset>
                </wp:positionH>
                <wp:positionV relativeFrom="paragraph">
                  <wp:posOffset>-135890</wp:posOffset>
                </wp:positionV>
                <wp:extent cx="507365" cy="0"/>
                <wp:wrapNone/>
                <wp:docPr id="94" name="Shape 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0736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94" o:spid="_x0000_s111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1.6pt,-10.6999pt" to="421.55pt,-10.6999pt" o:allowincell="f" strokecolor="#000000" strokeweight="0.4799pt"/>
            </w:pict>
          </mc:Fallback>
        </mc:AlternateContent>
        <mc:AlternateContent>
          <mc:Choice Requires="wps">
            <w:drawing>
              <wp:anchor simplePos="0" relativeHeight="251657728" behindDoc="1" locked="0" layoutInCell="0" allowOverlap="1">
                <wp:simplePos x="0" y="0"/>
                <wp:positionH relativeFrom="column">
                  <wp:posOffset>5446395</wp:posOffset>
                </wp:positionH>
                <wp:positionV relativeFrom="paragraph">
                  <wp:posOffset>-135890</wp:posOffset>
                </wp:positionV>
                <wp:extent cx="509270" cy="0"/>
                <wp:wrapNone/>
                <wp:docPr id="95" name="Shape 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0927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95" o:spid="_x0000_s112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8.85pt,-10.6999pt" to="468.95pt,-10.6999pt" o:allowincell="f" strokecolor="#000000" strokeweight="0.4799pt"/>
            </w:pict>
          </mc:Fallback>
        </mc:AlternateContent>
      </w:r>
    </w:p>
    <w:p>
      <w:pPr>
        <w:sectPr>
          <w:pgSz w:w="11900" w:h="16838" w:orient="portrait"/>
          <w:cols w:equalWidth="0" w:num="1">
            <w:col w:w="9380"/>
          </w:cols>
          <w:pgMar w:left="1260" w:top="838" w:right="1266" w:bottom="72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F-22</w:t>
      </w:r>
    </w:p>
    <w:p>
      <w:pPr>
        <w:sectPr>
          <w:pgSz w:w="11900" w:h="16838" w:orient="portrait"/>
          <w:cols w:equalWidth="0" w:num="1">
            <w:col w:w="9380"/>
          </w:cols>
          <w:pgMar w:left="1260" w:top="838" w:right="1266" w:bottom="723" w:gutter="0" w:footer="0" w:header="0"/>
          <w:type w:val="continuous"/>
        </w:sectPr>
      </w:pPr>
    </w:p>
    <w:bookmarkStart w:id="77" w:name="page78"/>
    <w:bookmarkEnd w:id="77"/>
    <w:p>
      <w:pPr>
        <w:ind w:left="3180"/>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795655</wp:posOffset>
            </wp:positionH>
            <wp:positionV relativeFrom="page">
              <wp:posOffset>292735</wp:posOffset>
            </wp:positionV>
            <wp:extent cx="929005" cy="1149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92">
                      <a:extLst>
                        <a:ext uri="{28A0092B-C50C-407E-A947-70E740481C1C}"/>
                      </a:extLst>
                    </a:blip>
                    <a:srcRect/>
                    <a:stretch>
                      <a:fillRect/>
                    </a:stretch>
                  </pic:blipFill>
                  <pic:spPr bwMode="auto">
                    <a:xfrm>
                      <a:off x="0" y="0"/>
                      <a:ext cx="929005" cy="114935"/>
                    </a:xfrm>
                    <a:prstGeom prst="rect">
                      <a:avLst/>
                    </a:prstGeom>
                    <a:noFill/>
                  </pic:spPr>
                </pic:pic>
              </a:graphicData>
            </a:graphic>
          </wp:anchor>
        </w:drawing>
        <w:t>EDAP TMS S.A. AND SUBSIDIARIES</w:t>
      </w:r>
    </w:p>
    <w:p>
      <w:pPr>
        <w:ind w:left="2760"/>
        <w:spacing w:after="0"/>
        <w:rPr>
          <w:sz w:val="20"/>
          <w:szCs w:val="20"/>
          <w:color w:val="auto"/>
        </w:rPr>
      </w:pPr>
      <w:r>
        <w:rPr>
          <w:rFonts w:ascii="Times New Roman" w:cs="Times New Roman" w:eastAsia="Times New Roman" w:hAnsi="Times New Roman"/>
          <w:sz w:val="20"/>
          <w:szCs w:val="20"/>
          <w:b w:val="1"/>
          <w:bCs w:val="1"/>
          <w:color w:val="auto"/>
        </w:rPr>
        <w:t>CONSOLIDATED FINANCIAL STATEMENTS</w:t>
      </w:r>
    </w:p>
    <w:p>
      <w:pPr>
        <w:ind w:left="1500"/>
        <w:spacing w:after="0"/>
        <w:rPr>
          <w:sz w:val="20"/>
          <w:szCs w:val="20"/>
          <w:color w:val="auto"/>
        </w:rPr>
      </w:pPr>
      <w:r>
        <w:rPr>
          <w:rFonts w:ascii="Times New Roman" w:cs="Times New Roman" w:eastAsia="Times New Roman" w:hAnsi="Times New Roman"/>
          <w:sz w:val="20"/>
          <w:szCs w:val="20"/>
          <w:b w:val="1"/>
          <w:bCs w:val="1"/>
          <w:color w:val="auto"/>
        </w:rPr>
        <w:t>(In thousands of U.S. dollars unless otherwise noted, except per share data)</w:t>
      </w:r>
    </w:p>
    <w:p>
      <w:pPr>
        <w:spacing w:after="0" w:line="200" w:lineRule="exact"/>
        <w:rPr>
          <w:sz w:val="20"/>
          <w:szCs w:val="20"/>
          <w:color w:val="auto"/>
        </w:rPr>
      </w:pPr>
    </w:p>
    <w:p>
      <w:pPr>
        <w:spacing w:after="0" w:line="400" w:lineRule="exact"/>
        <w:rPr>
          <w:sz w:val="20"/>
          <w:szCs w:val="20"/>
          <w:color w:val="auto"/>
        </w:rPr>
      </w:pPr>
    </w:p>
    <w:p>
      <w:pPr>
        <w:ind w:left="60"/>
        <w:spacing w:after="0"/>
        <w:rPr>
          <w:sz w:val="20"/>
          <w:szCs w:val="20"/>
          <w:color w:val="auto"/>
        </w:rPr>
      </w:pPr>
      <w:r>
        <w:rPr>
          <w:sz w:val="1"/>
          <w:szCs w:val="1"/>
          <w:color w:val="auto"/>
        </w:rPr>
        <w:drawing>
          <wp:inline distT="0" distB="0" distL="0" distR="0">
            <wp:extent cx="194945" cy="92710"/>
            <wp:effectExtent l="0" t="0" r="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93">
                      <a:extLst>
                        <a:ext uri="{28A0092B-C50C-407E-A947-70E740481C1C}"/>
                      </a:extLst>
                    </a:blip>
                    <a:srcRect/>
                    <a:stretch>
                      <a:fillRect/>
                    </a:stretch>
                  </pic:blipFill>
                  <pic:spPr bwMode="auto">
                    <a:xfrm>
                      <a:off x="0" y="0"/>
                      <a:ext cx="194945" cy="92710"/>
                    </a:xfrm>
                    <a:prstGeom prst="rect">
                      <a:avLst/>
                    </a:prstGeom>
                    <a:noFill/>
                    <a:ln>
                      <a:noFill/>
                    </a:ln>
                  </pic:spPr>
                </pic:pic>
              </a:graphicData>
            </a:graphic>
          </wp:inline>
        </w:drawing>
      </w:r>
      <w:r>
        <w:rPr>
          <w:rFonts w:ascii="Times New Roman" w:cs="Times New Roman" w:eastAsia="Times New Roman" w:hAnsi="Times New Roman"/>
          <w:sz w:val="20"/>
          <w:szCs w:val="20"/>
          <w:b w:val="1"/>
          <w:bCs w:val="1"/>
          <w:color w:val="auto"/>
        </w:rPr>
        <w:t xml:space="preserve"> PROPERTY AND EQUIPMENT, NET</w:t>
      </w:r>
    </w:p>
    <w:p>
      <w:pPr>
        <w:spacing w:after="0" w:line="203" w:lineRule="exact"/>
        <w:rPr>
          <w:sz w:val="20"/>
          <w:szCs w:val="20"/>
          <w:color w:val="auto"/>
        </w:rPr>
      </w:pPr>
    </w:p>
    <w:p>
      <w:pPr>
        <w:jc w:val="both"/>
        <w:ind w:firstLine="720"/>
        <w:spacing w:after="0" w:line="279" w:lineRule="auto"/>
        <w:rPr>
          <w:sz w:val="20"/>
          <w:szCs w:val="20"/>
          <w:color w:val="auto"/>
        </w:rPr>
      </w:pPr>
      <w:r>
        <w:rPr>
          <w:rFonts w:ascii="Times New Roman" w:cs="Times New Roman" w:eastAsia="Times New Roman" w:hAnsi="Times New Roman"/>
          <w:sz w:val="20"/>
          <w:szCs w:val="20"/>
          <w:color w:val="auto"/>
        </w:rPr>
        <w:t>Property and equipment consist of Property and equipment purchased or capitalized by the Company and finance leases for 2025 and 2024.</w:t>
      </w:r>
    </w:p>
    <w:p>
      <w:pPr>
        <w:spacing w:after="0" w:line="127" w:lineRule="exact"/>
        <w:rPr>
          <w:sz w:val="20"/>
          <w:szCs w:val="20"/>
          <w:color w:val="auto"/>
        </w:rPr>
      </w:pPr>
    </w:p>
    <w:p>
      <w:pPr>
        <w:ind w:left="360"/>
        <w:spacing w:after="0"/>
        <w:tabs>
          <w:tab w:leader="none" w:pos="860" w:val="left"/>
        </w:tabs>
        <w:rPr>
          <w:sz w:val="20"/>
          <w:szCs w:val="20"/>
          <w:color w:val="auto"/>
        </w:rPr>
      </w:pPr>
      <w:r>
        <w:rPr>
          <w:rFonts w:ascii="Times New Roman" w:cs="Times New Roman" w:eastAsia="Times New Roman" w:hAnsi="Times New Roman"/>
          <w:sz w:val="20"/>
          <w:szCs w:val="20"/>
          <w:b w:val="1"/>
          <w:bCs w:val="1"/>
          <w:i w:val="1"/>
          <w:iCs w:val="1"/>
          <w:color w:val="auto"/>
        </w:rPr>
        <w:t>7-1</w:t>
        <w:tab/>
        <w:t>Property and Equipment, net</w:t>
      </w:r>
    </w:p>
    <w:p>
      <w:pPr>
        <w:spacing w:after="0" w:line="19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Property and equipment consist of the following:</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20" w:type="dxa"/>
            <w:vAlign w:val="bottom"/>
            <w:tcBorders>
              <w:bottom w:val="single" w:sz="8" w:color="auto"/>
            </w:tcBorders>
            <w:gridSpan w:val="4"/>
          </w:tcPr>
          <w:p>
            <w:pPr>
              <w:jc w:val="right"/>
              <w:ind w:right="467"/>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174"/>
        </w:trPr>
        <w:tc>
          <w:tcPr>
            <w:tcW w:w="73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ind w:right="186"/>
              <w:spacing w:after="0" w:line="175" w:lineRule="exact"/>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Borders>
              <w:bottom w:val="single" w:sz="8" w:color="CCEEFF"/>
            </w:tcBorders>
            <w:gridSpan w:val="2"/>
          </w:tcPr>
          <w:p>
            <w:pPr>
              <w:spacing w:after="0"/>
              <w:rPr>
                <w:sz w:val="15"/>
                <w:szCs w:val="15"/>
                <w:color w:val="auto"/>
              </w:rPr>
            </w:pPr>
          </w:p>
        </w:tc>
        <w:tc>
          <w:tcPr>
            <w:tcW w:w="900" w:type="dxa"/>
            <w:vAlign w:val="bottom"/>
            <w:tcBorders>
              <w:bottom w:val="single" w:sz="8" w:color="auto"/>
            </w:tcBorders>
          </w:tcPr>
          <w:p>
            <w:pPr>
              <w:jc w:val="right"/>
              <w:ind w:right="187"/>
              <w:spacing w:after="0" w:line="175" w:lineRule="exact"/>
              <w:rPr>
                <w:sz w:val="20"/>
                <w:szCs w:val="20"/>
                <w:color w:val="auto"/>
              </w:rPr>
            </w:pPr>
            <w:r>
              <w:rPr>
                <w:rFonts w:ascii="Times New Roman" w:cs="Times New Roman" w:eastAsia="Times New Roman" w:hAnsi="Times New Roman"/>
                <w:sz w:val="16"/>
                <w:szCs w:val="16"/>
                <w:b w:val="1"/>
                <w:bCs w:val="1"/>
                <w:color w:val="auto"/>
              </w:rPr>
              <w:t>2024</w:t>
            </w:r>
          </w:p>
        </w:tc>
      </w:tr>
      <w:tr>
        <w:trPr>
          <w:trHeight w:val="222"/>
        </w:trPr>
        <w:tc>
          <w:tcPr>
            <w:tcW w:w="7360" w:type="dxa"/>
            <w:vAlign w:val="bottom"/>
            <w:gridSpan w:val="2"/>
            <w:shd w:val="clear" w:color="auto" w:fill="CCEEFF"/>
          </w:tcPr>
          <w:p>
            <w:pPr>
              <w:spacing w:after="0" w:line="223" w:lineRule="exact"/>
              <w:rPr>
                <w:sz w:val="20"/>
                <w:szCs w:val="20"/>
                <w:color w:val="auto"/>
              </w:rPr>
            </w:pPr>
            <w:r>
              <w:rPr>
                <w:rFonts w:ascii="Times New Roman" w:cs="Times New Roman" w:eastAsia="Times New Roman" w:hAnsi="Times New Roman"/>
                <w:sz w:val="20"/>
                <w:szCs w:val="20"/>
                <w:color w:val="auto"/>
              </w:rPr>
              <w:t>Equipment</w:t>
            </w:r>
          </w:p>
        </w:tc>
        <w:tc>
          <w:tcPr>
            <w:tcW w:w="88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19,217</w:t>
            </w:r>
          </w:p>
        </w:tc>
        <w:tc>
          <w:tcPr>
            <w:tcW w:w="1140" w:type="dxa"/>
            <w:vAlign w:val="bottom"/>
            <w:gridSpan w:val="3"/>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14,154</w:t>
            </w:r>
          </w:p>
        </w:tc>
      </w:tr>
      <w:tr>
        <w:trPr>
          <w:trHeight w:val="230"/>
        </w:trPr>
        <w:tc>
          <w:tcPr>
            <w:tcW w:w="73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20"/>
                <w:szCs w:val="20"/>
                <w:color w:val="auto"/>
              </w:rPr>
              <w:t>Furniture, fixture, and fittings and other</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4,638</w:t>
            </w:r>
          </w:p>
        </w:tc>
        <w:tc>
          <w:tcPr>
            <w:tcW w:w="240" w:type="dxa"/>
            <w:vAlign w:val="bottom"/>
            <w:tcBorders>
              <w:bottom w:val="single" w:sz="8" w:color="CCEEFF"/>
            </w:tcBorders>
            <w:gridSpan w:val="2"/>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4,333</w:t>
            </w:r>
          </w:p>
        </w:tc>
      </w:tr>
      <w:tr>
        <w:trPr>
          <w:trHeight w:val="240"/>
        </w:trPr>
        <w:tc>
          <w:tcPr>
            <w:tcW w:w="7360" w:type="dxa"/>
            <w:vAlign w:val="bottom"/>
            <w:gridSpan w:val="2"/>
            <w:shd w:val="clear" w:color="auto" w:fill="CCEEFF"/>
          </w:tcPr>
          <w:p>
            <w:pPr>
              <w:spacing w:after="0" w:line="220" w:lineRule="exact"/>
              <w:rPr>
                <w:sz w:val="20"/>
                <w:szCs w:val="20"/>
                <w:color w:val="auto"/>
              </w:rPr>
            </w:pPr>
            <w:r>
              <w:rPr>
                <w:rFonts w:ascii="Times New Roman" w:cs="Times New Roman" w:eastAsia="Times New Roman" w:hAnsi="Times New Roman"/>
                <w:sz w:val="20"/>
                <w:szCs w:val="20"/>
                <w:color w:val="auto"/>
              </w:rPr>
              <w:t>Total gross value</w:t>
            </w:r>
          </w:p>
        </w:tc>
        <w:tc>
          <w:tcPr>
            <w:tcW w:w="880" w:type="dxa"/>
            <w:vAlign w:val="bottom"/>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23,855</w:t>
            </w:r>
          </w:p>
        </w:tc>
        <w:tc>
          <w:tcPr>
            <w:tcW w:w="1140" w:type="dxa"/>
            <w:vAlign w:val="bottom"/>
            <w:gridSpan w:val="3"/>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18,486</w:t>
            </w:r>
          </w:p>
        </w:tc>
      </w:tr>
      <w:tr>
        <w:trPr>
          <w:trHeight w:val="222"/>
        </w:trPr>
        <w:tc>
          <w:tcPr>
            <w:tcW w:w="7360" w:type="dxa"/>
            <w:vAlign w:val="bottom"/>
            <w:tcBorders>
              <w:top w:val="single" w:sz="8" w:color="CCEEFF"/>
              <w:bottom w:val="single" w:sz="8" w:color="CCEEFF"/>
            </w:tcBorders>
            <w:gridSpan w:val="2"/>
          </w:tcPr>
          <w:p>
            <w:pPr>
              <w:spacing w:after="0" w:line="222" w:lineRule="exact"/>
              <w:rPr>
                <w:sz w:val="20"/>
                <w:szCs w:val="20"/>
                <w:color w:val="auto"/>
              </w:rPr>
            </w:pPr>
            <w:r>
              <w:rPr>
                <w:rFonts w:ascii="Times New Roman" w:cs="Times New Roman" w:eastAsia="Times New Roman" w:hAnsi="Times New Roman"/>
                <w:sz w:val="20"/>
                <w:szCs w:val="20"/>
                <w:color w:val="auto"/>
              </w:rPr>
              <w:t>Less: accumulated depreciation and amortization</w:t>
            </w:r>
          </w:p>
        </w:tc>
        <w:tc>
          <w:tcPr>
            <w:tcW w:w="880" w:type="dxa"/>
            <w:vAlign w:val="bottom"/>
            <w:tcBorders>
              <w:top w:val="single" w:sz="8" w:color="auto"/>
              <w:bottom w:val="single" w:sz="8" w:color="auto"/>
            </w:tcBorders>
          </w:tcPr>
          <w:p>
            <w:pPr>
              <w:jc w:val="right"/>
              <w:spacing w:after="0" w:line="222" w:lineRule="exact"/>
              <w:rPr>
                <w:sz w:val="20"/>
                <w:szCs w:val="20"/>
                <w:color w:val="auto"/>
              </w:rPr>
            </w:pPr>
            <w:r>
              <w:rPr>
                <w:rFonts w:ascii="Times New Roman" w:cs="Times New Roman" w:eastAsia="Times New Roman" w:hAnsi="Times New Roman"/>
                <w:sz w:val="20"/>
                <w:szCs w:val="20"/>
                <w:color w:val="auto"/>
              </w:rPr>
              <w:t>(13,973)</w:t>
            </w:r>
          </w:p>
        </w:tc>
        <w:tc>
          <w:tcPr>
            <w:tcW w:w="220" w:type="dxa"/>
            <w:vAlign w:val="bottom"/>
            <w:tcBorders>
              <w:top w:val="single" w:sz="8" w:color="CCEEFF"/>
              <w:bottom w:val="single" w:sz="8" w:color="CCEEFF"/>
            </w:tcBorders>
          </w:tcPr>
          <w:p>
            <w:pPr>
              <w:spacing w:after="0"/>
              <w:rPr>
                <w:sz w:val="19"/>
                <w:szCs w:val="19"/>
                <w:color w:val="auto"/>
              </w:rPr>
            </w:pPr>
          </w:p>
        </w:tc>
        <w:tc>
          <w:tcPr>
            <w:tcW w:w="20" w:type="dxa"/>
            <w:vAlign w:val="bottom"/>
            <w:tcBorders>
              <w:top w:val="single" w:sz="8" w:color="CCEEFF"/>
              <w:bottom w:val="single" w:sz="8" w:color="CCEEFF"/>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line="222" w:lineRule="exact"/>
              <w:rPr>
                <w:sz w:val="20"/>
                <w:szCs w:val="20"/>
                <w:color w:val="auto"/>
              </w:rPr>
            </w:pPr>
            <w:r>
              <w:rPr>
                <w:rFonts w:ascii="Times New Roman" w:cs="Times New Roman" w:eastAsia="Times New Roman" w:hAnsi="Times New Roman"/>
                <w:sz w:val="20"/>
                <w:szCs w:val="20"/>
                <w:color w:val="auto"/>
              </w:rPr>
              <w:t>(10,918)</w:t>
            </w:r>
          </w:p>
        </w:tc>
      </w:tr>
      <w:tr>
        <w:trPr>
          <w:trHeight w:val="231"/>
        </w:trPr>
        <w:tc>
          <w:tcPr>
            <w:tcW w:w="7340" w:type="dxa"/>
            <w:vAlign w:val="bottom"/>
            <w:shd w:val="clear" w:color="auto" w:fill="CCEEFF"/>
          </w:tcPr>
          <w:p>
            <w:pPr>
              <w:spacing w:after="0" w:line="221" w:lineRule="exact"/>
              <w:rPr>
                <w:sz w:val="20"/>
                <w:szCs w:val="20"/>
                <w:color w:val="auto"/>
              </w:rPr>
            </w:pPr>
            <w:r>
              <w:rPr>
                <w:rFonts w:ascii="Times New Roman" w:cs="Times New Roman" w:eastAsia="Times New Roman" w:hAnsi="Times New Roman"/>
                <w:sz w:val="20"/>
                <w:szCs w:val="20"/>
                <w:color w:val="auto"/>
              </w:rPr>
              <w:t>Total</w:t>
            </w:r>
          </w:p>
        </w:tc>
        <w:tc>
          <w:tcPr>
            <w:tcW w:w="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line="221" w:lineRule="exact"/>
              <w:rPr>
                <w:sz w:val="20"/>
                <w:szCs w:val="20"/>
                <w:color w:val="auto"/>
              </w:rPr>
            </w:pPr>
            <w:r>
              <w:rPr>
                <w:rFonts w:ascii="Times New Roman" w:cs="Times New Roman" w:eastAsia="Times New Roman" w:hAnsi="Times New Roman"/>
                <w:sz w:val="20"/>
                <w:szCs w:val="20"/>
                <w:color w:val="auto"/>
              </w:rPr>
              <w:t>9,882</w:t>
            </w:r>
          </w:p>
        </w:tc>
        <w:tc>
          <w:tcPr>
            <w:tcW w:w="220" w:type="dxa"/>
            <w:vAlign w:val="bottom"/>
            <w:shd w:val="clear" w:color="auto" w:fill="CCEEFF"/>
          </w:tcPr>
          <w:p>
            <w:pPr>
              <w:spacing w:after="0"/>
              <w:rPr>
                <w:sz w:val="20"/>
                <w:szCs w:val="20"/>
                <w:color w:val="auto"/>
              </w:rPr>
            </w:pPr>
          </w:p>
        </w:tc>
        <w:tc>
          <w:tcPr>
            <w:tcW w:w="920" w:type="dxa"/>
            <w:vAlign w:val="bottom"/>
            <w:tcBorders>
              <w:bottom w:val="single" w:sz="8" w:color="auto"/>
            </w:tcBorders>
            <w:gridSpan w:val="2"/>
            <w:shd w:val="clear" w:color="auto" w:fill="CCEEFF"/>
          </w:tcPr>
          <w:p>
            <w:pPr>
              <w:jc w:val="right"/>
              <w:spacing w:after="0" w:line="221" w:lineRule="exact"/>
              <w:rPr>
                <w:sz w:val="20"/>
                <w:szCs w:val="20"/>
                <w:color w:val="auto"/>
              </w:rPr>
            </w:pPr>
            <w:r>
              <w:rPr>
                <w:rFonts w:ascii="Times New Roman" w:cs="Times New Roman" w:eastAsia="Times New Roman" w:hAnsi="Times New Roman"/>
                <w:sz w:val="20"/>
                <w:szCs w:val="20"/>
                <w:color w:val="auto"/>
              </w:rPr>
              <w:t>7,569</w:t>
            </w:r>
          </w:p>
        </w:tc>
      </w:tr>
    </w:tbl>
    <w:p>
      <w:pPr>
        <w:spacing w:after="0" w:line="211"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Depreciation expense related to property and equipment (inclusive of depreciation expense on equipment leased to customers) amounted to $2,908 thousand and $2,346 thousand for the years ended December 31, 2025 and 2024, respectively.</w:t>
      </w:r>
    </w:p>
    <w:p>
      <w:pPr>
        <w:spacing w:after="0" w:line="15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auto"/>
        </w:rPr>
        <w:t>Assets leased to customers:</w:t>
      </w:r>
    </w:p>
    <w:p>
      <w:pPr>
        <w:spacing w:after="0" w:line="194" w:lineRule="exact"/>
        <w:rPr>
          <w:sz w:val="20"/>
          <w:szCs w:val="20"/>
          <w:color w:val="auto"/>
        </w:rPr>
      </w:pPr>
    </w:p>
    <w:p>
      <w:pPr>
        <w:jc w:val="both"/>
        <w:ind w:firstLine="720"/>
        <w:spacing w:after="0" w:line="259" w:lineRule="auto"/>
        <w:rPr>
          <w:sz w:val="20"/>
          <w:szCs w:val="20"/>
          <w:color w:val="auto"/>
        </w:rPr>
      </w:pPr>
      <w:r>
        <w:rPr>
          <w:rFonts w:ascii="Times New Roman" w:cs="Times New Roman" w:eastAsia="Times New Roman" w:hAnsi="Times New Roman"/>
          <w:sz w:val="20"/>
          <w:szCs w:val="20"/>
          <w:color w:val="auto"/>
        </w:rPr>
        <w:t>Capitalized costs on equipment leased to customers of $3,620 thousand and $1,602 thousand are included in property and equipment at December 31, 2025 and 2024, respectively. Accumulated amortization of these assets leased to third parties was $510 thousand and $365 thousand, at December 31, 2025 and 2024, respectively.</w:t>
      </w:r>
    </w:p>
    <w:p>
      <w:pPr>
        <w:spacing w:after="0" w:line="146" w:lineRule="exact"/>
        <w:rPr>
          <w:sz w:val="20"/>
          <w:szCs w:val="20"/>
          <w:color w:val="auto"/>
        </w:rPr>
      </w:pPr>
    </w:p>
    <w:p>
      <w:pPr>
        <w:jc w:val="both"/>
        <w:ind w:firstLine="720"/>
        <w:spacing w:after="0" w:line="279" w:lineRule="auto"/>
        <w:rPr>
          <w:sz w:val="20"/>
          <w:szCs w:val="20"/>
          <w:color w:val="auto"/>
        </w:rPr>
      </w:pPr>
      <w:r>
        <w:rPr>
          <w:rFonts w:ascii="Times New Roman" w:cs="Times New Roman" w:eastAsia="Times New Roman" w:hAnsi="Times New Roman"/>
          <w:sz w:val="20"/>
          <w:szCs w:val="20"/>
          <w:color w:val="auto"/>
        </w:rPr>
        <w:t>Depreciation expense on equipment leased to customers amounted to $129 thousand and $141 thousand for the years ended December 31, 2025 and, 2024 respectively.</w:t>
      </w:r>
    </w:p>
    <w:p>
      <w:pPr>
        <w:spacing w:after="0" w:line="127" w:lineRule="exact"/>
        <w:rPr>
          <w:sz w:val="20"/>
          <w:szCs w:val="20"/>
          <w:color w:val="auto"/>
        </w:rPr>
      </w:pPr>
    </w:p>
    <w:p>
      <w:pPr>
        <w:ind w:left="360"/>
        <w:spacing w:after="0"/>
        <w:tabs>
          <w:tab w:leader="none" w:pos="860" w:val="left"/>
        </w:tabs>
        <w:rPr>
          <w:sz w:val="20"/>
          <w:szCs w:val="20"/>
          <w:color w:val="auto"/>
        </w:rPr>
      </w:pPr>
      <w:r>
        <w:rPr>
          <w:rFonts w:ascii="Times New Roman" w:cs="Times New Roman" w:eastAsia="Times New Roman" w:hAnsi="Times New Roman"/>
          <w:sz w:val="20"/>
          <w:szCs w:val="20"/>
          <w:b w:val="1"/>
          <w:bCs w:val="1"/>
          <w:i w:val="1"/>
          <w:iCs w:val="1"/>
          <w:color w:val="auto"/>
        </w:rPr>
        <w:t>7-2</w:t>
        <w:tab/>
        <w:t>Finance leases</w:t>
      </w:r>
    </w:p>
    <w:p>
      <w:pPr>
        <w:spacing w:after="0" w:line="19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Finance lease right-of-use assets in 2025 and previous years consist of the following:</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20" w:type="dxa"/>
            <w:vAlign w:val="bottom"/>
            <w:tcBorders>
              <w:bottom w:val="single" w:sz="8" w:color="auto"/>
            </w:tcBorders>
            <w:gridSpan w:val="4"/>
          </w:tcPr>
          <w:p>
            <w:pPr>
              <w:ind w:left="58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620" w:type="dxa"/>
            <w:vAlign w:val="bottom"/>
            <w:tcBorders>
              <w:bottom w:val="single" w:sz="8" w:color="auto"/>
            </w:tcBorders>
          </w:tcPr>
          <w:p>
            <w:pPr>
              <w:spacing w:after="0"/>
              <w:rPr>
                <w:sz w:val="17"/>
                <w:szCs w:val="17"/>
                <w:color w:val="auto"/>
              </w:rPr>
            </w:pPr>
          </w:p>
        </w:tc>
      </w:tr>
      <w:tr>
        <w:trPr>
          <w:trHeight w:val="174"/>
        </w:trPr>
        <w:tc>
          <w:tcPr>
            <w:tcW w:w="72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ind w:right="245"/>
              <w:spacing w:after="0" w:line="175" w:lineRule="exact"/>
              <w:rPr>
                <w:sz w:val="20"/>
                <w:szCs w:val="20"/>
                <w:color w:val="auto"/>
              </w:rPr>
            </w:pPr>
            <w:r>
              <w:rPr>
                <w:rFonts w:ascii="Times New Roman" w:cs="Times New Roman" w:eastAsia="Times New Roman" w:hAnsi="Times New Roman"/>
                <w:sz w:val="16"/>
                <w:szCs w:val="16"/>
                <w:b w:val="1"/>
                <w:bCs w:val="1"/>
                <w:color w:val="auto"/>
              </w:rPr>
              <w:t>2025</w:t>
            </w:r>
          </w:p>
        </w:tc>
        <w:tc>
          <w:tcPr>
            <w:tcW w:w="2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83"/>
              <w:spacing w:after="0" w:line="175" w:lineRule="exact"/>
              <w:rPr>
                <w:sz w:val="20"/>
                <w:szCs w:val="20"/>
                <w:color w:val="auto"/>
              </w:rPr>
            </w:pPr>
            <w:r>
              <w:rPr>
                <w:rFonts w:ascii="Times New Roman" w:cs="Times New Roman" w:eastAsia="Times New Roman" w:hAnsi="Times New Roman"/>
                <w:sz w:val="16"/>
                <w:szCs w:val="16"/>
                <w:b w:val="1"/>
                <w:bCs w:val="1"/>
                <w:color w:val="auto"/>
                <w:w w:val="99"/>
              </w:rPr>
              <w:t>2024</w:t>
            </w:r>
          </w:p>
        </w:tc>
      </w:tr>
      <w:tr>
        <w:trPr>
          <w:trHeight w:val="220"/>
        </w:trPr>
        <w:tc>
          <w:tcPr>
            <w:tcW w:w="7240" w:type="dxa"/>
            <w:vAlign w:val="bottom"/>
            <w:gridSpan w:val="2"/>
            <w:shd w:val="clear" w:color="auto" w:fill="CCEEFF"/>
          </w:tcPr>
          <w:p>
            <w:pPr>
              <w:spacing w:after="0" w:line="220" w:lineRule="exact"/>
              <w:rPr>
                <w:sz w:val="20"/>
                <w:szCs w:val="20"/>
                <w:color w:val="auto"/>
              </w:rPr>
            </w:pPr>
            <w:r>
              <w:rPr>
                <w:rFonts w:ascii="Times New Roman" w:cs="Times New Roman" w:eastAsia="Times New Roman" w:hAnsi="Times New Roman"/>
                <w:sz w:val="20"/>
                <w:szCs w:val="20"/>
                <w:color w:val="auto"/>
              </w:rPr>
              <w:t>Facilities</w:t>
            </w:r>
          </w:p>
        </w:tc>
        <w:tc>
          <w:tcPr>
            <w:tcW w:w="1520" w:type="dxa"/>
            <w:vAlign w:val="bottom"/>
            <w:gridSpan w:val="4"/>
            <w:shd w:val="clear" w:color="auto" w:fill="CCEEFF"/>
          </w:tcPr>
          <w:p>
            <w:pPr>
              <w:jc w:val="right"/>
              <w:ind w:right="600"/>
              <w:spacing w:after="0" w:line="220" w:lineRule="exact"/>
              <w:rPr>
                <w:sz w:val="20"/>
                <w:szCs w:val="20"/>
                <w:color w:val="auto"/>
              </w:rPr>
            </w:pPr>
            <w:r>
              <w:rPr>
                <w:rFonts w:ascii="Times New Roman" w:cs="Times New Roman" w:eastAsia="Times New Roman" w:hAnsi="Times New Roman"/>
                <w:sz w:val="20"/>
                <w:szCs w:val="20"/>
                <w:color w:val="auto"/>
              </w:rPr>
              <w:t>—</w:t>
            </w:r>
          </w:p>
        </w:tc>
        <w:tc>
          <w:tcPr>
            <w:tcW w:w="620" w:type="dxa"/>
            <w:vAlign w:val="bottom"/>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r>
      <w:tr>
        <w:trPr>
          <w:trHeight w:val="230"/>
        </w:trPr>
        <w:tc>
          <w:tcPr>
            <w:tcW w:w="72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Equipment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259</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229</w:t>
            </w:r>
          </w:p>
        </w:tc>
      </w:tr>
      <w:tr>
        <w:trPr>
          <w:trHeight w:val="253"/>
        </w:trPr>
        <w:tc>
          <w:tcPr>
            <w:tcW w:w="72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Vehicles and IT equipment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1,071</w:t>
            </w:r>
          </w:p>
        </w:tc>
        <w:tc>
          <w:tcPr>
            <w:tcW w:w="2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1,055</w:t>
            </w:r>
          </w:p>
        </w:tc>
      </w:tr>
      <w:tr>
        <w:trPr>
          <w:trHeight w:val="209"/>
        </w:trPr>
        <w:tc>
          <w:tcPr>
            <w:tcW w:w="7240" w:type="dxa"/>
            <w:vAlign w:val="bottom"/>
            <w:tcBorders>
              <w:bottom w:val="single" w:sz="8" w:color="CCEEFF"/>
            </w:tcBorders>
            <w:gridSpan w:val="2"/>
          </w:tcPr>
          <w:p>
            <w:pPr>
              <w:spacing w:after="0" w:line="200" w:lineRule="exact"/>
              <w:rPr>
                <w:sz w:val="20"/>
                <w:szCs w:val="20"/>
                <w:color w:val="auto"/>
              </w:rPr>
            </w:pPr>
            <w:r>
              <w:rPr>
                <w:rFonts w:ascii="Times New Roman" w:cs="Times New Roman" w:eastAsia="Times New Roman" w:hAnsi="Times New Roman"/>
                <w:sz w:val="20"/>
                <w:szCs w:val="20"/>
                <w:color w:val="auto"/>
              </w:rPr>
              <w:t>Total gross value</w:t>
            </w:r>
          </w:p>
        </w:tc>
        <w:tc>
          <w:tcPr>
            <w:tcW w:w="980" w:type="dxa"/>
            <w:vAlign w:val="bottom"/>
            <w:tcBorders>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1,329</w:t>
            </w:r>
          </w:p>
        </w:tc>
        <w:tc>
          <w:tcPr>
            <w:tcW w:w="2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1,283</w:t>
            </w:r>
          </w:p>
        </w:tc>
      </w:tr>
      <w:tr>
        <w:trPr>
          <w:trHeight w:val="233"/>
        </w:trPr>
        <w:tc>
          <w:tcPr>
            <w:tcW w:w="7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Less: accumulated depreciation and amortization</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(817)</w:t>
            </w:r>
          </w:p>
        </w:tc>
        <w:tc>
          <w:tcPr>
            <w:tcW w:w="2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(768)</w:t>
            </w:r>
          </w:p>
        </w:tc>
      </w:tr>
      <w:tr>
        <w:trPr>
          <w:trHeight w:val="231"/>
        </w:trPr>
        <w:tc>
          <w:tcPr>
            <w:tcW w:w="722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Total</w:t>
            </w:r>
          </w:p>
        </w:tc>
        <w:tc>
          <w:tcPr>
            <w:tcW w:w="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512</w:t>
            </w:r>
          </w:p>
        </w:tc>
        <w:tc>
          <w:tcPr>
            <w:tcW w:w="2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516</w:t>
            </w:r>
          </w:p>
        </w:tc>
      </w:tr>
    </w:tbl>
    <w:p>
      <w:pPr>
        <w:spacing w:after="0" w:line="208" w:lineRule="exact"/>
        <w:rPr>
          <w:sz w:val="20"/>
          <w:szCs w:val="20"/>
          <w:color w:val="auto"/>
        </w:rPr>
      </w:pPr>
    </w:p>
    <w:p>
      <w:pPr>
        <w:jc w:val="both"/>
        <w:ind w:firstLine="720"/>
        <w:spacing w:after="0" w:line="279" w:lineRule="auto"/>
        <w:rPr>
          <w:sz w:val="20"/>
          <w:szCs w:val="20"/>
          <w:color w:val="auto"/>
        </w:rPr>
      </w:pPr>
      <w:r>
        <w:rPr>
          <w:rFonts w:ascii="Times New Roman" w:cs="Times New Roman" w:eastAsia="Times New Roman" w:hAnsi="Times New Roman"/>
          <w:sz w:val="20"/>
          <w:szCs w:val="20"/>
          <w:color w:val="auto"/>
        </w:rPr>
        <w:t>Depreciation expense related to finance lease right-of-use assets amounted to $204 thousand and $212 thousand for the years ended December 31, 2025 and 2024, respectively.</w:t>
      </w:r>
    </w:p>
    <w:p>
      <w:pPr>
        <w:sectPr>
          <w:pgSz w:w="11900" w:h="16838" w:orient="portrait"/>
          <w:cols w:equalWidth="0" w:num="1">
            <w:col w:w="9380"/>
          </w:cols>
          <w:pgMar w:left="1260" w:top="838" w:right="1266" w:bottom="72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F-23</w:t>
      </w:r>
    </w:p>
    <w:p>
      <w:pPr>
        <w:sectPr>
          <w:pgSz w:w="11900" w:h="16838" w:orient="portrait"/>
          <w:cols w:equalWidth="0" w:num="1">
            <w:col w:w="9380"/>
          </w:cols>
          <w:pgMar w:left="1260" w:top="838" w:right="1266" w:bottom="723" w:gutter="0" w:footer="0" w:header="0"/>
          <w:type w:val="continuous"/>
        </w:sectPr>
      </w:pPr>
    </w:p>
    <w:bookmarkStart w:id="78" w:name="page79"/>
    <w:bookmarkEnd w:id="78"/>
    <w:p>
      <w:pPr>
        <w:ind w:left="3180"/>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795655</wp:posOffset>
            </wp:positionH>
            <wp:positionV relativeFrom="page">
              <wp:posOffset>292735</wp:posOffset>
            </wp:positionV>
            <wp:extent cx="929005" cy="1149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94">
                      <a:extLst>
                        <a:ext uri="{28A0092B-C50C-407E-A947-70E740481C1C}"/>
                      </a:extLst>
                    </a:blip>
                    <a:srcRect/>
                    <a:stretch>
                      <a:fillRect/>
                    </a:stretch>
                  </pic:blipFill>
                  <pic:spPr bwMode="auto">
                    <a:xfrm>
                      <a:off x="0" y="0"/>
                      <a:ext cx="929005" cy="114935"/>
                    </a:xfrm>
                    <a:prstGeom prst="rect">
                      <a:avLst/>
                    </a:prstGeom>
                    <a:noFill/>
                  </pic:spPr>
                </pic:pic>
              </a:graphicData>
            </a:graphic>
          </wp:anchor>
        </w:drawing>
        <w:t>EDAP TMS S.A. AND SUBSIDIARIES</w:t>
      </w:r>
    </w:p>
    <w:p>
      <w:pPr>
        <w:ind w:left="2760"/>
        <w:spacing w:after="0"/>
        <w:rPr>
          <w:sz w:val="20"/>
          <w:szCs w:val="20"/>
          <w:color w:val="auto"/>
        </w:rPr>
      </w:pPr>
      <w:r>
        <w:rPr>
          <w:rFonts w:ascii="Times New Roman" w:cs="Times New Roman" w:eastAsia="Times New Roman" w:hAnsi="Times New Roman"/>
          <w:sz w:val="20"/>
          <w:szCs w:val="20"/>
          <w:b w:val="1"/>
          <w:bCs w:val="1"/>
          <w:color w:val="auto"/>
        </w:rPr>
        <w:t>CONSOLIDATED FINANCIAL STATEMENTS</w:t>
      </w:r>
    </w:p>
    <w:p>
      <w:pPr>
        <w:ind w:left="1500"/>
        <w:spacing w:after="0"/>
        <w:rPr>
          <w:sz w:val="20"/>
          <w:szCs w:val="20"/>
          <w:color w:val="auto"/>
        </w:rPr>
      </w:pPr>
      <w:r>
        <w:rPr>
          <w:rFonts w:ascii="Times New Roman" w:cs="Times New Roman" w:eastAsia="Times New Roman" w:hAnsi="Times New Roman"/>
          <w:sz w:val="20"/>
          <w:szCs w:val="20"/>
          <w:b w:val="1"/>
          <w:bCs w:val="1"/>
          <w:color w:val="auto"/>
        </w:rPr>
        <w:t>(In thousands of U.S. dollars unless otherwise noted, except per share data)</w:t>
      </w: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sz w:val="1"/>
          <w:szCs w:val="1"/>
          <w:color w:val="auto"/>
        </w:rPr>
        <w:drawing>
          <wp:inline distT="0" distB="0" distL="0" distR="0">
            <wp:extent cx="194945" cy="94615"/>
            <wp:effectExtent l="0" t="0" r="0" b="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95">
                      <a:extLst>
                        <a:ext uri="{28A0092B-C50C-407E-A947-70E740481C1C}"/>
                      </a:extLst>
                    </a:blip>
                    <a:srcRect/>
                    <a:stretch>
                      <a:fillRect/>
                    </a:stretch>
                  </pic:blipFill>
                  <pic:spPr bwMode="auto">
                    <a:xfrm>
                      <a:off x="0" y="0"/>
                      <a:ext cx="194945" cy="94615"/>
                    </a:xfrm>
                    <a:prstGeom prst="rect">
                      <a:avLst/>
                    </a:prstGeom>
                    <a:noFill/>
                    <a:ln>
                      <a:noFill/>
                    </a:ln>
                  </pic:spPr>
                </pic:pic>
              </a:graphicData>
            </a:graphic>
          </wp:inline>
        </w:drawing>
      </w:r>
      <w:r>
        <w:rPr>
          <w:rFonts w:ascii="Times New Roman" w:cs="Times New Roman" w:eastAsia="Times New Roman" w:hAnsi="Times New Roman"/>
          <w:sz w:val="20"/>
          <w:szCs w:val="20"/>
          <w:b w:val="1"/>
          <w:bCs w:val="1"/>
          <w:color w:val="auto"/>
        </w:rPr>
        <w:t xml:space="preserve"> OPERATING LEASE RIGHT-OF-USE ASSETS</w:t>
      </w:r>
    </w:p>
    <w:p>
      <w:pPr>
        <w:spacing w:after="0" w:line="20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Operating lease right-of-use assets consist of the following:</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20" w:type="dxa"/>
            <w:vAlign w:val="bottom"/>
            <w:tcBorders>
              <w:bottom w:val="single" w:sz="8" w:color="auto"/>
            </w:tcBorders>
            <w:gridSpan w:val="5"/>
          </w:tcPr>
          <w:p>
            <w:pPr>
              <w:jc w:val="right"/>
              <w:ind w:right="464"/>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174"/>
        </w:trPr>
        <w:tc>
          <w:tcPr>
            <w:tcW w:w="6680" w:type="dxa"/>
            <w:vAlign w:val="bottom"/>
            <w:tcBorders>
              <w:bottom w:val="single" w:sz="8" w:color="CCEEFF"/>
            </w:tcBorders>
          </w:tcPr>
          <w:p>
            <w:pPr>
              <w:spacing w:after="0"/>
              <w:rPr>
                <w:sz w:val="15"/>
                <w:szCs w:val="15"/>
                <w:color w:val="auto"/>
              </w:rPr>
            </w:pPr>
          </w:p>
        </w:tc>
        <w:tc>
          <w:tcPr>
            <w:tcW w:w="44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ind w:right="190"/>
              <w:spacing w:after="0" w:line="175" w:lineRule="exact"/>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84"/>
              <w:spacing w:after="0" w:line="175" w:lineRule="exact"/>
              <w:rPr>
                <w:sz w:val="20"/>
                <w:szCs w:val="20"/>
                <w:color w:val="auto"/>
              </w:rPr>
            </w:pPr>
            <w:r>
              <w:rPr>
                <w:rFonts w:ascii="Times New Roman" w:cs="Times New Roman" w:eastAsia="Times New Roman" w:hAnsi="Times New Roman"/>
                <w:sz w:val="16"/>
                <w:szCs w:val="16"/>
                <w:b w:val="1"/>
                <w:bCs w:val="1"/>
                <w:color w:val="auto"/>
                <w:w w:val="99"/>
              </w:rPr>
              <w:t>2024</w:t>
            </w:r>
          </w:p>
        </w:tc>
      </w:tr>
      <w:tr>
        <w:trPr>
          <w:trHeight w:val="220"/>
        </w:trPr>
        <w:tc>
          <w:tcPr>
            <w:tcW w:w="6680" w:type="dxa"/>
            <w:vAlign w:val="bottom"/>
            <w:shd w:val="clear" w:color="auto" w:fill="CCEEFF"/>
          </w:tcPr>
          <w:p>
            <w:pPr>
              <w:spacing w:after="0" w:line="220" w:lineRule="exact"/>
              <w:rPr>
                <w:sz w:val="20"/>
                <w:szCs w:val="20"/>
                <w:color w:val="auto"/>
              </w:rPr>
            </w:pPr>
            <w:r>
              <w:rPr>
                <w:rFonts w:ascii="Times New Roman" w:cs="Times New Roman" w:eastAsia="Times New Roman" w:hAnsi="Times New Roman"/>
                <w:sz w:val="20"/>
                <w:szCs w:val="20"/>
                <w:color w:val="auto"/>
              </w:rPr>
              <w:t>Facilities</w:t>
            </w:r>
          </w:p>
        </w:tc>
        <w:tc>
          <w:tcPr>
            <w:tcW w:w="1560" w:type="dxa"/>
            <w:vAlign w:val="bottom"/>
            <w:gridSpan w:val="4"/>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2,701</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2,425</w:t>
            </w:r>
          </w:p>
        </w:tc>
      </w:tr>
      <w:tr>
        <w:trPr>
          <w:trHeight w:val="230"/>
        </w:trPr>
        <w:tc>
          <w:tcPr>
            <w:tcW w:w="6680" w:type="dxa"/>
            <w:vAlign w:val="bottom"/>
          </w:tcPr>
          <w:p>
            <w:pPr>
              <w:spacing w:after="0"/>
              <w:rPr>
                <w:sz w:val="20"/>
                <w:szCs w:val="20"/>
                <w:color w:val="auto"/>
              </w:rPr>
            </w:pPr>
            <w:r>
              <w:rPr>
                <w:rFonts w:ascii="Times New Roman" w:cs="Times New Roman" w:eastAsia="Times New Roman" w:hAnsi="Times New Roman"/>
                <w:sz w:val="20"/>
                <w:szCs w:val="20"/>
                <w:color w:val="auto"/>
              </w:rPr>
              <w:t>Equipment</w:t>
            </w:r>
          </w:p>
        </w:tc>
        <w:tc>
          <w:tcPr>
            <w:tcW w:w="156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11</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w:t>
            </w:r>
          </w:p>
        </w:tc>
      </w:tr>
      <w:tr>
        <w:trPr>
          <w:trHeight w:val="233"/>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Furniture, fixture, and fittings and other</w:t>
            </w:r>
          </w:p>
        </w:tc>
        <w:tc>
          <w:tcPr>
            <w:tcW w:w="4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399</w:t>
            </w: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217</w:t>
            </w:r>
          </w:p>
        </w:tc>
      </w:tr>
      <w:tr>
        <w:trPr>
          <w:trHeight w:val="231"/>
        </w:trPr>
        <w:tc>
          <w:tcPr>
            <w:tcW w:w="668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Total net operating lease right of use</w:t>
            </w: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3,111</w:t>
            </w:r>
          </w:p>
        </w:tc>
        <w:tc>
          <w:tcPr>
            <w:tcW w:w="2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2,653</w:t>
            </w:r>
          </w:p>
        </w:tc>
      </w:tr>
      <w:tr>
        <w:trPr>
          <w:trHeight w:val="439"/>
        </w:trPr>
        <w:tc>
          <w:tcPr>
            <w:tcW w:w="668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Operating  lease  cost  amounted  to  $1,238  thousand  and  $1,047</w:t>
            </w:r>
          </w:p>
        </w:tc>
        <w:tc>
          <w:tcPr>
            <w:tcW w:w="2080" w:type="dxa"/>
            <w:vAlign w:val="bottom"/>
            <w:gridSpan w:val="7"/>
          </w:tcPr>
          <w:p>
            <w:pPr>
              <w:ind w:left="80"/>
              <w:spacing w:after="0"/>
              <w:rPr>
                <w:sz w:val="20"/>
                <w:szCs w:val="20"/>
                <w:color w:val="auto"/>
              </w:rPr>
            </w:pPr>
            <w:r>
              <w:rPr>
                <w:rFonts w:ascii="Times New Roman" w:cs="Times New Roman" w:eastAsia="Times New Roman" w:hAnsi="Times New Roman"/>
                <w:sz w:val="20"/>
                <w:szCs w:val="20"/>
                <w:color w:val="auto"/>
              </w:rPr>
              <w:t>thousand  for  the years</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ended</w:t>
            </w:r>
          </w:p>
        </w:tc>
      </w:tr>
      <w:tr>
        <w:trPr>
          <w:trHeight w:val="267"/>
        </w:trPr>
        <w:tc>
          <w:tcPr>
            <w:tcW w:w="6680" w:type="dxa"/>
            <w:vAlign w:val="bottom"/>
          </w:tcPr>
          <w:p>
            <w:pPr>
              <w:spacing w:after="0"/>
              <w:rPr>
                <w:sz w:val="20"/>
                <w:szCs w:val="20"/>
                <w:color w:val="auto"/>
              </w:rPr>
            </w:pPr>
            <w:r>
              <w:rPr>
                <w:rFonts w:ascii="Times New Roman" w:cs="Times New Roman" w:eastAsia="Times New Roman" w:hAnsi="Times New Roman"/>
                <w:sz w:val="20"/>
                <w:szCs w:val="20"/>
                <w:color w:val="auto"/>
              </w:rPr>
              <w:t>December 31, 2025 and 2024, respectively.</w:t>
            </w: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spacing w:after="0"/>
              <w:rPr>
                <w:sz w:val="23"/>
                <w:szCs w:val="23"/>
                <w:color w:val="auto"/>
              </w:rPr>
            </w:pPr>
          </w:p>
        </w:tc>
      </w:tr>
    </w:tbl>
    <w:p>
      <w:pPr>
        <w:spacing w:after="0" w:line="163" w:lineRule="exact"/>
        <w:rPr>
          <w:sz w:val="20"/>
          <w:szCs w:val="20"/>
          <w:color w:val="auto"/>
        </w:rPr>
      </w:pPr>
    </w:p>
    <w:p>
      <w:pPr>
        <w:jc w:val="both"/>
        <w:ind w:firstLine="720"/>
        <w:spacing w:after="0" w:line="279" w:lineRule="auto"/>
        <w:rPr>
          <w:sz w:val="20"/>
          <w:szCs w:val="20"/>
          <w:color w:val="auto"/>
        </w:rPr>
      </w:pPr>
      <w:r>
        <w:rPr>
          <w:rFonts w:ascii="Times New Roman" w:cs="Times New Roman" w:eastAsia="Times New Roman" w:hAnsi="Times New Roman"/>
          <w:sz w:val="20"/>
          <w:szCs w:val="20"/>
          <w:color w:val="auto"/>
        </w:rPr>
        <w:t>Variable lease costs related to above contracts amounted to $169 thousand and $196 thousand for the years ended December 31, 2025 and 2024, respectively.</w:t>
      </w:r>
    </w:p>
    <w:p>
      <w:pPr>
        <w:spacing w:after="0" w:line="125" w:lineRule="exact"/>
        <w:rPr>
          <w:sz w:val="20"/>
          <w:szCs w:val="20"/>
          <w:color w:val="auto"/>
        </w:rPr>
      </w:pPr>
    </w:p>
    <w:p>
      <w:pPr>
        <w:jc w:val="both"/>
        <w:ind w:firstLine="720"/>
        <w:spacing w:after="0" w:line="279" w:lineRule="auto"/>
        <w:rPr>
          <w:sz w:val="20"/>
          <w:szCs w:val="20"/>
          <w:color w:val="auto"/>
        </w:rPr>
      </w:pPr>
      <w:r>
        <w:rPr>
          <w:rFonts w:ascii="Times New Roman" w:cs="Times New Roman" w:eastAsia="Times New Roman" w:hAnsi="Times New Roman"/>
          <w:sz w:val="20"/>
          <w:szCs w:val="20"/>
          <w:color w:val="auto"/>
        </w:rPr>
        <w:t>Non-recognized lease liabilities for short term leases amounted to $78 thousand and $71 thousand for the years ended December 31, 2025 and 2024, respectively.</w:t>
      </w:r>
    </w:p>
    <w:p>
      <w:pPr>
        <w:spacing w:after="0" w:line="153" w:lineRule="exact"/>
        <w:rPr>
          <w:sz w:val="20"/>
          <w:szCs w:val="20"/>
          <w:color w:val="auto"/>
        </w:rPr>
      </w:pPr>
    </w:p>
    <w:p>
      <w:pPr>
        <w:spacing w:after="0"/>
        <w:rPr>
          <w:sz w:val="20"/>
          <w:szCs w:val="20"/>
          <w:color w:val="auto"/>
        </w:rPr>
      </w:pPr>
      <w:r>
        <w:rPr>
          <w:sz w:val="1"/>
          <w:szCs w:val="1"/>
          <w:color w:val="auto"/>
        </w:rPr>
        <w:drawing>
          <wp:inline distT="0" distB="0" distL="0" distR="0">
            <wp:extent cx="194945" cy="95885"/>
            <wp:effectExtent l="0" t="0" r="0"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96">
                      <a:extLst>
                        <a:ext uri="{28A0092B-C50C-407E-A947-70E740481C1C}"/>
                      </a:extLst>
                    </a:blip>
                    <a:srcRect/>
                    <a:stretch>
                      <a:fillRect/>
                    </a:stretch>
                  </pic:blipFill>
                  <pic:spPr bwMode="auto">
                    <a:xfrm>
                      <a:off x="0" y="0"/>
                      <a:ext cx="194945" cy="95885"/>
                    </a:xfrm>
                    <a:prstGeom prst="rect">
                      <a:avLst/>
                    </a:prstGeom>
                    <a:noFill/>
                    <a:ln>
                      <a:noFill/>
                    </a:ln>
                  </pic:spPr>
                </pic:pic>
              </a:graphicData>
            </a:graphic>
          </wp:inline>
        </w:drawing>
      </w:r>
      <w:r>
        <w:rPr>
          <w:rFonts w:ascii="Times New Roman" w:cs="Times New Roman" w:eastAsia="Times New Roman" w:hAnsi="Times New Roman"/>
          <w:sz w:val="20"/>
          <w:szCs w:val="20"/>
          <w:b w:val="1"/>
          <w:bCs w:val="1"/>
          <w:color w:val="auto"/>
        </w:rPr>
        <w:t xml:space="preserve"> GOODWILL AND INTANGIBLE ASSETS</w:t>
      </w:r>
    </w:p>
    <w:p>
      <w:pPr>
        <w:spacing w:after="0" w:line="203" w:lineRule="exact"/>
        <w:rPr>
          <w:sz w:val="20"/>
          <w:szCs w:val="20"/>
          <w:color w:val="auto"/>
        </w:rPr>
      </w:pPr>
    </w:p>
    <w:p>
      <w:pPr>
        <w:jc w:val="both"/>
        <w:ind w:firstLine="720"/>
        <w:spacing w:after="0" w:line="246" w:lineRule="auto"/>
        <w:rPr>
          <w:sz w:val="20"/>
          <w:szCs w:val="20"/>
          <w:color w:val="auto"/>
        </w:rPr>
      </w:pPr>
      <w:r>
        <w:rPr>
          <w:rFonts w:ascii="Times New Roman" w:cs="Times New Roman" w:eastAsia="Times New Roman" w:hAnsi="Times New Roman"/>
          <w:sz w:val="20"/>
          <w:szCs w:val="20"/>
          <w:color w:val="auto"/>
        </w:rPr>
        <w:t>As discussed in Note 1-13, ASC 350 requires that goodwill not be amortized but instead be tested at least annually for impairment, or more frequently when events or change in circumstances indicate that the asset might be impaired, by comparing the carrying value to the fair value of the reporting unit to which they are assigned. The Company considers its ASC 280 operating segments — High Intensity Focused Ultrasound (HIFU), Lithotripsy (ESWL) and Distribution services (DIST) — to be its reporting units for purposes of testing for impairment. Goodwill amounts to $583 thousand for the ESWL division, $1,493 thousand for the DIST division and to $757 thousand for the HIFU division, at December 31, 2025.</w:t>
      </w:r>
    </w:p>
    <w:p>
      <w:pPr>
        <w:spacing w:after="0" w:line="160"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The Company completed the required annual impairment test in the fourth quarter of 2025 . To determine the fair value of the Company’s reporting units, the Company used the discounted cash flow approach for each of the three reportable units. In all three cases, the fair value of the reporting unit was in excess of the reporting unit’s book value, which resulted in no goodwill impairment.</w:t>
      </w:r>
    </w:p>
    <w:p>
      <w:pPr>
        <w:spacing w:after="0" w:line="15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Intangible assets consist of the following:</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20" w:type="dxa"/>
            <w:vAlign w:val="bottom"/>
            <w:tcBorders>
              <w:bottom w:val="single" w:sz="8" w:color="auto"/>
            </w:tcBorders>
            <w:gridSpan w:val="4"/>
          </w:tcPr>
          <w:p>
            <w:pPr>
              <w:jc w:val="right"/>
              <w:ind w:right="465"/>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174"/>
        </w:trPr>
        <w:tc>
          <w:tcPr>
            <w:tcW w:w="73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ind w:right="183"/>
              <w:spacing w:after="0" w:line="175" w:lineRule="exact"/>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Borders>
              <w:bottom w:val="single" w:sz="8" w:color="CCEEFF"/>
            </w:tcBorders>
            <w:gridSpan w:val="2"/>
          </w:tcPr>
          <w:p>
            <w:pPr>
              <w:spacing w:after="0"/>
              <w:rPr>
                <w:sz w:val="15"/>
                <w:szCs w:val="15"/>
                <w:color w:val="auto"/>
              </w:rPr>
            </w:pPr>
          </w:p>
        </w:tc>
        <w:tc>
          <w:tcPr>
            <w:tcW w:w="900" w:type="dxa"/>
            <w:vAlign w:val="bottom"/>
            <w:tcBorders>
              <w:bottom w:val="single" w:sz="8" w:color="auto"/>
            </w:tcBorders>
          </w:tcPr>
          <w:p>
            <w:pPr>
              <w:jc w:val="right"/>
              <w:ind w:right="185"/>
              <w:spacing w:after="0" w:line="175" w:lineRule="exact"/>
              <w:rPr>
                <w:sz w:val="20"/>
                <w:szCs w:val="20"/>
                <w:color w:val="auto"/>
              </w:rPr>
            </w:pPr>
            <w:r>
              <w:rPr>
                <w:rFonts w:ascii="Times New Roman" w:cs="Times New Roman" w:eastAsia="Times New Roman" w:hAnsi="Times New Roman"/>
                <w:sz w:val="16"/>
                <w:szCs w:val="16"/>
                <w:b w:val="1"/>
                <w:bCs w:val="1"/>
                <w:color w:val="auto"/>
              </w:rPr>
              <w:t>2024</w:t>
            </w:r>
          </w:p>
        </w:tc>
      </w:tr>
      <w:tr>
        <w:trPr>
          <w:trHeight w:val="220"/>
        </w:trPr>
        <w:tc>
          <w:tcPr>
            <w:tcW w:w="7360" w:type="dxa"/>
            <w:vAlign w:val="bottom"/>
            <w:gridSpan w:val="2"/>
            <w:shd w:val="clear" w:color="auto" w:fill="CCEEFF"/>
          </w:tcPr>
          <w:p>
            <w:pPr>
              <w:spacing w:after="0" w:line="220" w:lineRule="exact"/>
              <w:rPr>
                <w:sz w:val="20"/>
                <w:szCs w:val="20"/>
                <w:color w:val="auto"/>
              </w:rPr>
            </w:pPr>
            <w:r>
              <w:rPr>
                <w:rFonts w:ascii="Times New Roman" w:cs="Times New Roman" w:eastAsia="Times New Roman" w:hAnsi="Times New Roman"/>
                <w:sz w:val="20"/>
                <w:szCs w:val="20"/>
                <w:color w:val="auto"/>
              </w:rPr>
              <w:t>Licenses</w:t>
            </w:r>
          </w:p>
        </w:tc>
        <w:tc>
          <w:tcPr>
            <w:tcW w:w="880" w:type="dxa"/>
            <w:vAlign w:val="bottom"/>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3,564</w:t>
            </w:r>
          </w:p>
        </w:tc>
        <w:tc>
          <w:tcPr>
            <w:tcW w:w="1140" w:type="dxa"/>
            <w:vAlign w:val="bottom"/>
            <w:gridSpan w:val="3"/>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2,412</w:t>
            </w:r>
          </w:p>
        </w:tc>
      </w:tr>
      <w:tr>
        <w:trPr>
          <w:trHeight w:val="230"/>
        </w:trPr>
        <w:tc>
          <w:tcPr>
            <w:tcW w:w="73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Trade name and trademark</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333</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332</w:t>
            </w:r>
          </w:p>
        </w:tc>
      </w:tr>
      <w:tr>
        <w:trPr>
          <w:trHeight w:val="230"/>
        </w:trPr>
        <w:tc>
          <w:tcPr>
            <w:tcW w:w="7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Patents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484</w:t>
            </w: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428</w:t>
            </w:r>
          </w:p>
        </w:tc>
      </w:tr>
      <w:tr>
        <w:trPr>
          <w:trHeight w:val="230"/>
        </w:trPr>
        <w:tc>
          <w:tcPr>
            <w:tcW w:w="73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20"/>
                <w:szCs w:val="20"/>
                <w:color w:val="auto"/>
              </w:rPr>
              <w:t>Organization costs</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264</w:t>
            </w:r>
          </w:p>
        </w:tc>
        <w:tc>
          <w:tcPr>
            <w:tcW w:w="240" w:type="dxa"/>
            <w:vAlign w:val="bottom"/>
            <w:tcBorders>
              <w:bottom w:val="single" w:sz="8" w:color="CCEEFF"/>
            </w:tcBorders>
            <w:gridSpan w:val="2"/>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234</w:t>
            </w:r>
          </w:p>
        </w:tc>
      </w:tr>
      <w:tr>
        <w:trPr>
          <w:trHeight w:val="226"/>
        </w:trPr>
        <w:tc>
          <w:tcPr>
            <w:tcW w:w="7360" w:type="dxa"/>
            <w:vAlign w:val="bottom"/>
            <w:gridSpan w:val="2"/>
            <w:shd w:val="clear" w:color="auto" w:fill="CCEEFF"/>
          </w:tcPr>
          <w:p>
            <w:pPr>
              <w:spacing w:after="0" w:line="218" w:lineRule="exact"/>
              <w:rPr>
                <w:sz w:val="20"/>
                <w:szCs w:val="20"/>
                <w:color w:val="auto"/>
              </w:rPr>
            </w:pPr>
            <w:r>
              <w:rPr>
                <w:rFonts w:ascii="Times New Roman" w:cs="Times New Roman" w:eastAsia="Times New Roman" w:hAnsi="Times New Roman"/>
                <w:sz w:val="20"/>
                <w:szCs w:val="20"/>
                <w:color w:val="auto"/>
              </w:rPr>
              <w:t>Total gross value</w:t>
            </w:r>
          </w:p>
        </w:tc>
        <w:tc>
          <w:tcPr>
            <w:tcW w:w="880" w:type="dxa"/>
            <w:vAlign w:val="bottom"/>
            <w:shd w:val="clear" w:color="auto" w:fill="CCEEFF"/>
          </w:tcPr>
          <w:p>
            <w:pPr>
              <w:jc w:val="right"/>
              <w:spacing w:after="0" w:line="218" w:lineRule="exact"/>
              <w:rPr>
                <w:sz w:val="20"/>
                <w:szCs w:val="20"/>
                <w:color w:val="auto"/>
              </w:rPr>
            </w:pPr>
            <w:r>
              <w:rPr>
                <w:rFonts w:ascii="Times New Roman" w:cs="Times New Roman" w:eastAsia="Times New Roman" w:hAnsi="Times New Roman"/>
                <w:sz w:val="20"/>
                <w:szCs w:val="20"/>
                <w:color w:val="auto"/>
              </w:rPr>
              <w:t>4,644</w:t>
            </w:r>
          </w:p>
        </w:tc>
        <w:tc>
          <w:tcPr>
            <w:tcW w:w="1140" w:type="dxa"/>
            <w:vAlign w:val="bottom"/>
            <w:gridSpan w:val="3"/>
            <w:shd w:val="clear" w:color="auto" w:fill="CCEEFF"/>
          </w:tcPr>
          <w:p>
            <w:pPr>
              <w:jc w:val="right"/>
              <w:spacing w:after="0" w:line="218" w:lineRule="exact"/>
              <w:rPr>
                <w:sz w:val="20"/>
                <w:szCs w:val="20"/>
                <w:color w:val="auto"/>
              </w:rPr>
            </w:pPr>
            <w:r>
              <w:rPr>
                <w:rFonts w:ascii="Times New Roman" w:cs="Times New Roman" w:eastAsia="Times New Roman" w:hAnsi="Times New Roman"/>
                <w:sz w:val="20"/>
                <w:szCs w:val="20"/>
                <w:color w:val="auto"/>
              </w:rPr>
              <w:t>3,405</w:t>
            </w:r>
          </w:p>
        </w:tc>
      </w:tr>
      <w:tr>
        <w:trPr>
          <w:trHeight w:val="233"/>
        </w:trPr>
        <w:tc>
          <w:tcPr>
            <w:tcW w:w="73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Accumulated amortization for licenses</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(1,721)</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(1,287)</w:t>
            </w:r>
          </w:p>
        </w:tc>
      </w:tr>
      <w:tr>
        <w:trPr>
          <w:trHeight w:val="230"/>
        </w:trPr>
        <w:tc>
          <w:tcPr>
            <w:tcW w:w="7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Accumulated amortization for trade name and trademark</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(379)</w:t>
            </w: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(330)</w:t>
            </w:r>
          </w:p>
        </w:tc>
      </w:tr>
      <w:tr>
        <w:trPr>
          <w:trHeight w:val="228"/>
        </w:trPr>
        <w:tc>
          <w:tcPr>
            <w:tcW w:w="7360" w:type="dxa"/>
            <w:vAlign w:val="bottom"/>
            <w:gridSpan w:val="2"/>
          </w:tcPr>
          <w:p>
            <w:pPr>
              <w:spacing w:after="0" w:line="228" w:lineRule="exact"/>
              <w:rPr>
                <w:sz w:val="20"/>
                <w:szCs w:val="20"/>
                <w:color w:val="auto"/>
              </w:rPr>
            </w:pPr>
            <w:r>
              <w:rPr>
                <w:rFonts w:ascii="Times New Roman" w:cs="Times New Roman" w:eastAsia="Times New Roman" w:hAnsi="Times New Roman"/>
                <w:sz w:val="20"/>
                <w:szCs w:val="20"/>
                <w:color w:val="auto"/>
              </w:rPr>
              <w:t>Accumulated amortization for patents</w:t>
            </w:r>
          </w:p>
        </w:tc>
        <w:tc>
          <w:tcPr>
            <w:tcW w:w="88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auto"/>
              </w:rPr>
              <w:t>(484)</w:t>
            </w:r>
          </w:p>
        </w:tc>
        <w:tc>
          <w:tcPr>
            <w:tcW w:w="1140" w:type="dxa"/>
            <w:vAlign w:val="bottom"/>
            <w:gridSpan w:val="3"/>
          </w:tcPr>
          <w:p>
            <w:pPr>
              <w:jc w:val="right"/>
              <w:spacing w:after="0" w:line="228" w:lineRule="exact"/>
              <w:rPr>
                <w:sz w:val="20"/>
                <w:szCs w:val="20"/>
                <w:color w:val="auto"/>
              </w:rPr>
            </w:pPr>
            <w:r>
              <w:rPr>
                <w:rFonts w:ascii="Times New Roman" w:cs="Times New Roman" w:eastAsia="Times New Roman" w:hAnsi="Times New Roman"/>
                <w:sz w:val="20"/>
                <w:szCs w:val="20"/>
                <w:color w:val="auto"/>
              </w:rPr>
              <w:t>(428)</w:t>
            </w:r>
          </w:p>
        </w:tc>
      </w:tr>
      <w:tr>
        <w:trPr>
          <w:trHeight w:val="230"/>
        </w:trPr>
        <w:tc>
          <w:tcPr>
            <w:tcW w:w="7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Accumulated amortization for organization costs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(264)</w:t>
            </w: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(234)</w:t>
            </w:r>
          </w:p>
        </w:tc>
      </w:tr>
      <w:tr>
        <w:trPr>
          <w:trHeight w:val="230"/>
        </w:trPr>
        <w:tc>
          <w:tcPr>
            <w:tcW w:w="73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20"/>
                <w:szCs w:val="20"/>
                <w:color w:val="auto"/>
              </w:rPr>
              <w:t>Less: Total accumulated amortization</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(2,848)</w:t>
            </w:r>
          </w:p>
        </w:tc>
        <w:tc>
          <w:tcPr>
            <w:tcW w:w="240" w:type="dxa"/>
            <w:vAlign w:val="bottom"/>
            <w:tcBorders>
              <w:bottom w:val="single" w:sz="8" w:color="CCEEFF"/>
            </w:tcBorders>
            <w:gridSpan w:val="2"/>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(2,278)</w:t>
            </w:r>
          </w:p>
        </w:tc>
      </w:tr>
      <w:tr>
        <w:trPr>
          <w:trHeight w:val="231"/>
        </w:trPr>
        <w:tc>
          <w:tcPr>
            <w:tcW w:w="7340" w:type="dxa"/>
            <w:vAlign w:val="bottom"/>
            <w:shd w:val="clear" w:color="auto" w:fill="CCEEFF"/>
          </w:tcPr>
          <w:p>
            <w:pPr>
              <w:spacing w:after="0" w:line="221" w:lineRule="exact"/>
              <w:rPr>
                <w:sz w:val="20"/>
                <w:szCs w:val="20"/>
                <w:color w:val="auto"/>
              </w:rPr>
            </w:pPr>
            <w:r>
              <w:rPr>
                <w:rFonts w:ascii="Times New Roman" w:cs="Times New Roman" w:eastAsia="Times New Roman" w:hAnsi="Times New Roman"/>
                <w:sz w:val="20"/>
                <w:szCs w:val="20"/>
                <w:color w:val="auto"/>
              </w:rPr>
              <w:t>Total</w:t>
            </w:r>
          </w:p>
        </w:tc>
        <w:tc>
          <w:tcPr>
            <w:tcW w:w="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line="221" w:lineRule="exact"/>
              <w:rPr>
                <w:sz w:val="20"/>
                <w:szCs w:val="20"/>
                <w:color w:val="auto"/>
              </w:rPr>
            </w:pPr>
            <w:r>
              <w:rPr>
                <w:rFonts w:ascii="Times New Roman" w:cs="Times New Roman" w:eastAsia="Times New Roman" w:hAnsi="Times New Roman"/>
                <w:sz w:val="20"/>
                <w:szCs w:val="20"/>
                <w:color w:val="auto"/>
              </w:rPr>
              <w:t>1,796</w:t>
            </w:r>
          </w:p>
        </w:tc>
        <w:tc>
          <w:tcPr>
            <w:tcW w:w="220" w:type="dxa"/>
            <w:vAlign w:val="bottom"/>
            <w:shd w:val="clear" w:color="auto" w:fill="CCEEFF"/>
          </w:tcPr>
          <w:p>
            <w:pPr>
              <w:spacing w:after="0"/>
              <w:rPr>
                <w:sz w:val="20"/>
                <w:szCs w:val="20"/>
                <w:color w:val="auto"/>
              </w:rPr>
            </w:pPr>
          </w:p>
        </w:tc>
        <w:tc>
          <w:tcPr>
            <w:tcW w:w="920" w:type="dxa"/>
            <w:vAlign w:val="bottom"/>
            <w:tcBorders>
              <w:bottom w:val="single" w:sz="8" w:color="auto"/>
            </w:tcBorders>
            <w:gridSpan w:val="2"/>
            <w:shd w:val="clear" w:color="auto" w:fill="CCEEFF"/>
          </w:tcPr>
          <w:p>
            <w:pPr>
              <w:jc w:val="right"/>
              <w:spacing w:after="0" w:line="221" w:lineRule="exact"/>
              <w:rPr>
                <w:sz w:val="20"/>
                <w:szCs w:val="20"/>
                <w:color w:val="auto"/>
              </w:rPr>
            </w:pPr>
            <w:r>
              <w:rPr>
                <w:rFonts w:ascii="Times New Roman" w:cs="Times New Roman" w:eastAsia="Times New Roman" w:hAnsi="Times New Roman"/>
                <w:sz w:val="20"/>
                <w:szCs w:val="20"/>
                <w:color w:val="auto"/>
              </w:rPr>
              <w:t>1,127</w:t>
            </w:r>
          </w:p>
        </w:tc>
      </w:tr>
    </w:tbl>
    <w:p>
      <w:pPr>
        <w:spacing w:after="0" w:line="208" w:lineRule="exact"/>
        <w:rPr>
          <w:sz w:val="20"/>
          <w:szCs w:val="20"/>
          <w:color w:val="auto"/>
        </w:rPr>
      </w:pPr>
    </w:p>
    <w:p>
      <w:pPr>
        <w:jc w:val="both"/>
        <w:ind w:firstLine="720"/>
        <w:spacing w:after="0" w:line="259" w:lineRule="auto"/>
        <w:rPr>
          <w:sz w:val="20"/>
          <w:szCs w:val="20"/>
          <w:color w:val="auto"/>
        </w:rPr>
      </w:pPr>
      <w:r>
        <w:rPr>
          <w:rFonts w:ascii="Times New Roman" w:cs="Times New Roman" w:eastAsia="Times New Roman" w:hAnsi="Times New Roman"/>
          <w:sz w:val="20"/>
          <w:szCs w:val="20"/>
          <w:color w:val="auto"/>
        </w:rPr>
        <w:t>Amortization expenses related to intangible assets amounted to $304 thousand and $238 thousand, for the years ended December 31, 2025 and 2024, respectively. In 2025, Licences also includes implementation costs for SAP in the United States for $761 thousand.</w:t>
      </w:r>
    </w:p>
    <w:p>
      <w:pPr>
        <w:sectPr>
          <w:pgSz w:w="11900" w:h="16838" w:orient="portrait"/>
          <w:cols w:equalWidth="0" w:num="1">
            <w:col w:w="9380"/>
          </w:cols>
          <w:pgMar w:left="1260" w:top="838" w:right="1266" w:bottom="72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F-24</w:t>
      </w:r>
    </w:p>
    <w:p>
      <w:pPr>
        <w:sectPr>
          <w:pgSz w:w="11900" w:h="16838" w:orient="portrait"/>
          <w:cols w:equalWidth="0" w:num="1">
            <w:col w:w="9380"/>
          </w:cols>
          <w:pgMar w:left="1260" w:top="838" w:right="1266" w:bottom="723" w:gutter="0" w:footer="0" w:header="0"/>
          <w:type w:val="continuous"/>
        </w:sectPr>
      </w:pPr>
    </w:p>
    <w:bookmarkStart w:id="79" w:name="page80"/>
    <w:bookmarkEnd w:id="79"/>
    <w:p>
      <w:pPr>
        <w:ind w:left="3180"/>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795655</wp:posOffset>
            </wp:positionH>
            <wp:positionV relativeFrom="page">
              <wp:posOffset>292735</wp:posOffset>
            </wp:positionV>
            <wp:extent cx="929005" cy="1149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97">
                      <a:extLst>
                        <a:ext uri="{28A0092B-C50C-407E-A947-70E740481C1C}"/>
                      </a:extLst>
                    </a:blip>
                    <a:srcRect/>
                    <a:stretch>
                      <a:fillRect/>
                    </a:stretch>
                  </pic:blipFill>
                  <pic:spPr bwMode="auto">
                    <a:xfrm>
                      <a:off x="0" y="0"/>
                      <a:ext cx="929005" cy="114935"/>
                    </a:xfrm>
                    <a:prstGeom prst="rect">
                      <a:avLst/>
                    </a:prstGeom>
                    <a:noFill/>
                  </pic:spPr>
                </pic:pic>
              </a:graphicData>
            </a:graphic>
          </wp:anchor>
        </w:drawing>
        <w:t>EDAP TMS S.A. AND SUBSIDIARIES</w:t>
      </w:r>
    </w:p>
    <w:p>
      <w:pPr>
        <w:ind w:left="2760"/>
        <w:spacing w:after="0"/>
        <w:rPr>
          <w:sz w:val="20"/>
          <w:szCs w:val="20"/>
          <w:color w:val="auto"/>
        </w:rPr>
      </w:pPr>
      <w:r>
        <w:rPr>
          <w:rFonts w:ascii="Times New Roman" w:cs="Times New Roman" w:eastAsia="Times New Roman" w:hAnsi="Times New Roman"/>
          <w:sz w:val="20"/>
          <w:szCs w:val="20"/>
          <w:b w:val="1"/>
          <w:bCs w:val="1"/>
          <w:color w:val="auto"/>
        </w:rPr>
        <w:t>CONSOLIDATED FINANCIAL STATEMENTS</w:t>
      </w:r>
    </w:p>
    <w:p>
      <w:pPr>
        <w:ind w:left="1500"/>
        <w:spacing w:after="0"/>
        <w:rPr>
          <w:sz w:val="20"/>
          <w:szCs w:val="20"/>
          <w:color w:val="auto"/>
        </w:rPr>
      </w:pPr>
      <w:r>
        <w:rPr>
          <w:rFonts w:ascii="Times New Roman" w:cs="Times New Roman" w:eastAsia="Times New Roman" w:hAnsi="Times New Roman"/>
          <w:sz w:val="20"/>
          <w:szCs w:val="20"/>
          <w:b w:val="1"/>
          <w:bCs w:val="1"/>
          <w:color w:val="auto"/>
        </w:rPr>
        <w:t>(In thousands of U.S. dollars unless otherwise noted, except per share data)</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9380" w:type="dxa"/>
            <w:vAlign w:val="bottom"/>
            <w:gridSpan w:val="8"/>
          </w:tcPr>
          <w:p>
            <w:pPr>
              <w:ind w:left="720"/>
              <w:spacing w:after="0"/>
              <w:rPr>
                <w:sz w:val="20"/>
                <w:szCs w:val="20"/>
                <w:color w:val="auto"/>
              </w:rPr>
            </w:pPr>
            <w:r>
              <w:rPr>
                <w:rFonts w:ascii="Times New Roman" w:cs="Times New Roman" w:eastAsia="Times New Roman" w:hAnsi="Times New Roman"/>
                <w:sz w:val="20"/>
                <w:szCs w:val="20"/>
                <w:color w:val="auto"/>
              </w:rPr>
              <w:t>For the five coming years, the annual estimated amortization expense will consist of the following:</w:t>
            </w:r>
          </w:p>
        </w:tc>
      </w:tr>
      <w:tr>
        <w:trPr>
          <w:trHeight w:val="402"/>
        </w:trPr>
        <w:tc>
          <w:tcPr>
            <w:tcW w:w="7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03"/>
        </w:trPr>
        <w:tc>
          <w:tcPr>
            <w:tcW w:w="73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gridSpan w:val="3"/>
          </w:tcPr>
          <w:p>
            <w:pPr>
              <w:jc w:val="right"/>
              <w:ind w:right="270"/>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20"/>
        </w:trPr>
        <w:tc>
          <w:tcPr>
            <w:tcW w:w="7340" w:type="dxa"/>
            <w:vAlign w:val="bottom"/>
            <w:shd w:val="clear" w:color="auto" w:fill="CCEEFF"/>
          </w:tcPr>
          <w:p>
            <w:pPr>
              <w:spacing w:after="0" w:line="220" w:lineRule="exact"/>
              <w:rPr>
                <w:sz w:val="20"/>
                <w:szCs w:val="20"/>
                <w:color w:val="auto"/>
              </w:rPr>
            </w:pPr>
            <w:r>
              <w:rPr>
                <w:rFonts w:ascii="Times New Roman" w:cs="Times New Roman" w:eastAsia="Times New Roman" w:hAnsi="Times New Roman"/>
                <w:sz w:val="20"/>
                <w:szCs w:val="20"/>
                <w:color w:val="auto"/>
              </w:rPr>
              <w:t>2026</w:t>
            </w:r>
          </w:p>
        </w:tc>
        <w:tc>
          <w:tcPr>
            <w:tcW w:w="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268</w:t>
            </w:r>
          </w:p>
        </w:tc>
      </w:tr>
      <w:tr>
        <w:trPr>
          <w:trHeight w:val="230"/>
        </w:trPr>
        <w:tc>
          <w:tcPr>
            <w:tcW w:w="7340" w:type="dxa"/>
            <w:vAlign w:val="bottom"/>
          </w:tcPr>
          <w:p>
            <w:pPr>
              <w:spacing w:after="0"/>
              <w:rPr>
                <w:sz w:val="20"/>
                <w:szCs w:val="20"/>
                <w:color w:val="auto"/>
              </w:rPr>
            </w:pPr>
            <w:r>
              <w:rPr>
                <w:rFonts w:ascii="Times New Roman" w:cs="Times New Roman" w:eastAsia="Times New Roman" w:hAnsi="Times New Roman"/>
                <w:sz w:val="20"/>
                <w:szCs w:val="20"/>
                <w:color w:val="auto"/>
              </w:rPr>
              <w:t>2027</w:t>
            </w: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248</w:t>
            </w:r>
          </w:p>
        </w:tc>
      </w:tr>
      <w:tr>
        <w:trPr>
          <w:trHeight w:val="233"/>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2028</w:t>
            </w:r>
          </w:p>
        </w:tc>
        <w:tc>
          <w:tcPr>
            <w:tcW w:w="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138</w:t>
            </w:r>
          </w:p>
        </w:tc>
      </w:tr>
      <w:tr>
        <w:trPr>
          <w:trHeight w:val="230"/>
        </w:trPr>
        <w:tc>
          <w:tcPr>
            <w:tcW w:w="7340" w:type="dxa"/>
            <w:vAlign w:val="bottom"/>
          </w:tcPr>
          <w:p>
            <w:pPr>
              <w:spacing w:after="0"/>
              <w:rPr>
                <w:sz w:val="20"/>
                <w:szCs w:val="20"/>
                <w:color w:val="auto"/>
              </w:rPr>
            </w:pPr>
            <w:r>
              <w:rPr>
                <w:rFonts w:ascii="Times New Roman" w:cs="Times New Roman" w:eastAsia="Times New Roman" w:hAnsi="Times New Roman"/>
                <w:sz w:val="20"/>
                <w:szCs w:val="20"/>
                <w:color w:val="auto"/>
              </w:rPr>
              <w:t>2029</w:t>
            </w: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107</w:t>
            </w:r>
          </w:p>
        </w:tc>
      </w:tr>
      <w:tr>
        <w:trPr>
          <w:trHeight w:val="230"/>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2030</w:t>
            </w:r>
          </w:p>
        </w:tc>
        <w:tc>
          <w:tcPr>
            <w:tcW w:w="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100</w:t>
            </w:r>
          </w:p>
        </w:tc>
      </w:tr>
      <w:tr>
        <w:trPr>
          <w:trHeight w:val="230"/>
        </w:trPr>
        <w:tc>
          <w:tcPr>
            <w:tcW w:w="73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20"/>
                <w:szCs w:val="20"/>
                <w:color w:val="auto"/>
              </w:rPr>
              <w:t>2031 and thereafter</w:t>
            </w:r>
          </w:p>
        </w:tc>
        <w:tc>
          <w:tcPr>
            <w:tcW w:w="8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20"/>
                <w:szCs w:val="20"/>
                <w:color w:val="auto"/>
              </w:rPr>
              <w:t>209</w:t>
            </w:r>
          </w:p>
        </w:tc>
      </w:tr>
      <w:tr>
        <w:trPr>
          <w:trHeight w:val="231"/>
        </w:trPr>
        <w:tc>
          <w:tcPr>
            <w:tcW w:w="7360" w:type="dxa"/>
            <w:vAlign w:val="bottom"/>
            <w:gridSpan w:val="2"/>
            <w:shd w:val="clear" w:color="auto" w:fill="CCEEFF"/>
          </w:tcPr>
          <w:p>
            <w:pPr>
              <w:spacing w:after="0" w:line="223" w:lineRule="exact"/>
              <w:rPr>
                <w:sz w:val="20"/>
                <w:szCs w:val="20"/>
                <w:color w:val="auto"/>
              </w:rPr>
            </w:pPr>
            <w:r>
              <w:rPr>
                <w:rFonts w:ascii="Times New Roman" w:cs="Times New Roman" w:eastAsia="Times New Roman" w:hAnsi="Times New Roman"/>
                <w:sz w:val="20"/>
                <w:szCs w:val="20"/>
                <w:color w:val="auto"/>
              </w:rPr>
              <w:t>Total</w:t>
            </w: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gridSpan w:val="3"/>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1,071</w:t>
            </w:r>
          </w:p>
        </w:tc>
      </w:tr>
      <w:tr>
        <w:trPr>
          <w:trHeight w:val="960"/>
        </w:trPr>
        <w:tc>
          <w:tcPr>
            <w:tcW w:w="7360" w:type="dxa"/>
            <w:vAlign w:val="bottom"/>
            <w:gridSpan w:val="2"/>
          </w:tcPr>
          <w:p>
            <w:pPr>
              <w:ind w:left="720"/>
              <w:spacing w:after="0"/>
              <w:rPr>
                <w:sz w:val="20"/>
                <w:szCs w:val="20"/>
                <w:color w:val="auto"/>
              </w:rPr>
            </w:pPr>
            <w:r>
              <w:rPr>
                <w:rFonts w:ascii="Times New Roman" w:cs="Times New Roman" w:eastAsia="Times New Roman" w:hAnsi="Times New Roman"/>
                <w:sz w:val="20"/>
                <w:szCs w:val="20"/>
                <w:color w:val="auto"/>
              </w:rPr>
              <w:t>Deposits and other non-current assets consist of the following:</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58"/>
        </w:trPr>
        <w:tc>
          <w:tcPr>
            <w:tcW w:w="7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20" w:type="dxa"/>
            <w:vAlign w:val="bottom"/>
            <w:tcBorders>
              <w:bottom w:val="single" w:sz="8" w:color="auto"/>
            </w:tcBorders>
            <w:gridSpan w:val="6"/>
          </w:tcPr>
          <w:p>
            <w:pPr>
              <w:jc w:val="right"/>
              <w:ind w:right="47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174"/>
        </w:trPr>
        <w:tc>
          <w:tcPr>
            <w:tcW w:w="73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ind w:right="187"/>
              <w:spacing w:after="0" w:line="175" w:lineRule="exact"/>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gridSpan w:val="2"/>
          </w:tcPr>
          <w:p>
            <w:pPr>
              <w:spacing w:after="0"/>
              <w:rPr>
                <w:sz w:val="15"/>
                <w:szCs w:val="15"/>
                <w:color w:val="auto"/>
              </w:rPr>
            </w:pPr>
          </w:p>
        </w:tc>
        <w:tc>
          <w:tcPr>
            <w:tcW w:w="900" w:type="dxa"/>
            <w:vAlign w:val="bottom"/>
            <w:tcBorders>
              <w:bottom w:val="single" w:sz="8" w:color="auto"/>
            </w:tcBorders>
          </w:tcPr>
          <w:p>
            <w:pPr>
              <w:jc w:val="right"/>
              <w:ind w:right="190"/>
              <w:spacing w:after="0" w:line="175" w:lineRule="exact"/>
              <w:rPr>
                <w:sz w:val="20"/>
                <w:szCs w:val="20"/>
                <w:color w:val="auto"/>
              </w:rPr>
            </w:pPr>
            <w:r>
              <w:rPr>
                <w:rFonts w:ascii="Times New Roman" w:cs="Times New Roman" w:eastAsia="Times New Roman" w:hAnsi="Times New Roman"/>
                <w:sz w:val="16"/>
                <w:szCs w:val="16"/>
                <w:b w:val="1"/>
                <w:bCs w:val="1"/>
                <w:color w:val="auto"/>
              </w:rPr>
              <w:t>2024</w:t>
            </w:r>
          </w:p>
        </w:tc>
      </w:tr>
      <w:tr>
        <w:trPr>
          <w:trHeight w:val="220"/>
        </w:trPr>
        <w:tc>
          <w:tcPr>
            <w:tcW w:w="7360" w:type="dxa"/>
            <w:vAlign w:val="bottom"/>
            <w:gridSpan w:val="2"/>
            <w:shd w:val="clear" w:color="auto" w:fill="CCEEFF"/>
          </w:tcPr>
          <w:p>
            <w:pPr>
              <w:spacing w:after="0" w:line="220" w:lineRule="exact"/>
              <w:rPr>
                <w:sz w:val="20"/>
                <w:szCs w:val="20"/>
                <w:color w:val="auto"/>
              </w:rPr>
            </w:pPr>
            <w:r>
              <w:rPr>
                <w:rFonts w:ascii="Times New Roman" w:cs="Times New Roman" w:eastAsia="Times New Roman" w:hAnsi="Times New Roman"/>
                <w:sz w:val="20"/>
                <w:szCs w:val="20"/>
                <w:color w:val="auto"/>
              </w:rPr>
              <w:t>Deposits</w:t>
            </w:r>
          </w:p>
        </w:tc>
        <w:tc>
          <w:tcPr>
            <w:tcW w:w="880" w:type="dxa"/>
            <w:vAlign w:val="bottom"/>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656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678</w:t>
            </w:r>
          </w:p>
        </w:tc>
      </w:tr>
      <w:tr>
        <w:trPr>
          <w:trHeight w:val="233"/>
        </w:trPr>
        <w:tc>
          <w:tcPr>
            <w:tcW w:w="73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Research and development tax credit receivable from the French State</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1,402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903</w:t>
            </w:r>
          </w:p>
        </w:tc>
      </w:tr>
      <w:tr>
        <w:trPr>
          <w:trHeight w:val="250"/>
        </w:trPr>
        <w:tc>
          <w:tcPr>
            <w:tcW w:w="7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Other non-current assets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w:t>
            </w:r>
          </w:p>
        </w:tc>
      </w:tr>
      <w:tr>
        <w:trPr>
          <w:trHeight w:val="211"/>
        </w:trPr>
        <w:tc>
          <w:tcPr>
            <w:tcW w:w="734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20"/>
                <w:szCs w:val="20"/>
                <w:color w:val="auto"/>
              </w:rPr>
              <w:t>Total</w:t>
            </w:r>
          </w:p>
        </w:tc>
        <w:tc>
          <w:tcPr>
            <w:tcW w:w="20" w:type="dxa"/>
            <w:vAlign w:val="bottom"/>
            <w:tcBorders>
              <w:top w:val="single" w:sz="8" w:color="CCEEFF"/>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20"/>
                <w:szCs w:val="20"/>
                <w:color w:val="auto"/>
              </w:rPr>
              <w:t>2,059</w:t>
            </w: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20"/>
                <w:szCs w:val="20"/>
                <w:color w:val="auto"/>
              </w:rPr>
              <w:t>1,581</w:t>
            </w:r>
          </w:p>
        </w:tc>
      </w:tr>
      <w:tr>
        <w:trPr>
          <w:trHeight w:val="503"/>
        </w:trPr>
        <w:tc>
          <w:tcPr>
            <w:tcW w:w="7360" w:type="dxa"/>
            <w:vAlign w:val="bottom"/>
            <w:gridSpan w:val="2"/>
          </w:tcPr>
          <w:p>
            <w:pPr>
              <w:ind w:left="460"/>
              <w:spacing w:after="0"/>
              <w:rPr>
                <w:sz w:val="20"/>
                <w:szCs w:val="20"/>
                <w:color w:val="auto"/>
              </w:rPr>
            </w:pPr>
            <w:r>
              <w:rPr>
                <w:rFonts w:ascii="Times New Roman" w:cs="Times New Roman" w:eastAsia="Times New Roman" w:hAnsi="Times New Roman"/>
                <w:sz w:val="20"/>
                <w:szCs w:val="20"/>
                <w:b w:val="1"/>
                <w:bCs w:val="1"/>
                <w:color w:val="auto"/>
              </w:rPr>
              <w:t>TRADE ACCOUNTS AND NOTES PAYABLE</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26"/>
        </w:trPr>
        <w:tc>
          <w:tcPr>
            <w:tcW w:w="7360" w:type="dxa"/>
            <w:vAlign w:val="bottom"/>
            <w:gridSpan w:val="2"/>
          </w:tcPr>
          <w:p>
            <w:pPr>
              <w:ind w:left="720"/>
              <w:spacing w:after="0"/>
              <w:rPr>
                <w:sz w:val="20"/>
                <w:szCs w:val="20"/>
                <w:color w:val="auto"/>
              </w:rPr>
            </w:pPr>
            <w:r>
              <w:rPr>
                <w:rFonts w:ascii="Times New Roman" w:cs="Times New Roman" w:eastAsia="Times New Roman" w:hAnsi="Times New Roman"/>
                <w:sz w:val="20"/>
                <w:szCs w:val="20"/>
                <w:color w:val="auto"/>
              </w:rPr>
              <w:t>Trade accounts and notes payable consist of the following:</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87"/>
        </w:trPr>
        <w:tc>
          <w:tcPr>
            <w:tcW w:w="7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20" w:type="dxa"/>
            <w:vAlign w:val="bottom"/>
            <w:tcBorders>
              <w:bottom w:val="single" w:sz="8" w:color="auto"/>
            </w:tcBorders>
            <w:gridSpan w:val="6"/>
          </w:tcPr>
          <w:p>
            <w:pPr>
              <w:jc w:val="right"/>
              <w:ind w:right="47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174"/>
        </w:trPr>
        <w:tc>
          <w:tcPr>
            <w:tcW w:w="73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ind w:right="187"/>
              <w:spacing w:after="0" w:line="175" w:lineRule="exact"/>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gridSpan w:val="2"/>
          </w:tcPr>
          <w:p>
            <w:pPr>
              <w:spacing w:after="0"/>
              <w:rPr>
                <w:sz w:val="15"/>
                <w:szCs w:val="15"/>
                <w:color w:val="auto"/>
              </w:rPr>
            </w:pPr>
          </w:p>
        </w:tc>
        <w:tc>
          <w:tcPr>
            <w:tcW w:w="900" w:type="dxa"/>
            <w:vAlign w:val="bottom"/>
            <w:tcBorders>
              <w:bottom w:val="single" w:sz="8" w:color="auto"/>
            </w:tcBorders>
          </w:tcPr>
          <w:p>
            <w:pPr>
              <w:jc w:val="right"/>
              <w:ind w:right="190"/>
              <w:spacing w:after="0" w:line="175" w:lineRule="exact"/>
              <w:rPr>
                <w:sz w:val="20"/>
                <w:szCs w:val="20"/>
                <w:color w:val="auto"/>
              </w:rPr>
            </w:pPr>
            <w:r>
              <w:rPr>
                <w:rFonts w:ascii="Times New Roman" w:cs="Times New Roman" w:eastAsia="Times New Roman" w:hAnsi="Times New Roman"/>
                <w:sz w:val="16"/>
                <w:szCs w:val="16"/>
                <w:b w:val="1"/>
                <w:bCs w:val="1"/>
                <w:color w:val="auto"/>
              </w:rPr>
              <w:t>2024</w:t>
            </w:r>
          </w:p>
        </w:tc>
      </w:tr>
      <w:tr>
        <w:trPr>
          <w:trHeight w:val="218"/>
        </w:trPr>
        <w:tc>
          <w:tcPr>
            <w:tcW w:w="7360" w:type="dxa"/>
            <w:vAlign w:val="bottom"/>
            <w:gridSpan w:val="2"/>
            <w:shd w:val="clear" w:color="auto" w:fill="CCEEFF"/>
          </w:tcPr>
          <w:p>
            <w:pPr>
              <w:spacing w:after="0" w:line="218" w:lineRule="exact"/>
              <w:rPr>
                <w:sz w:val="20"/>
                <w:szCs w:val="20"/>
                <w:color w:val="auto"/>
              </w:rPr>
            </w:pPr>
            <w:r>
              <w:rPr>
                <w:rFonts w:ascii="Times New Roman" w:cs="Times New Roman" w:eastAsia="Times New Roman" w:hAnsi="Times New Roman"/>
                <w:sz w:val="20"/>
                <w:szCs w:val="20"/>
                <w:color w:val="auto"/>
              </w:rPr>
              <w:t>Trade accounts payable</w:t>
            </w:r>
          </w:p>
        </w:tc>
        <w:tc>
          <w:tcPr>
            <w:tcW w:w="880" w:type="dxa"/>
            <w:vAlign w:val="bottom"/>
            <w:shd w:val="clear" w:color="auto" w:fill="CCEEFF"/>
          </w:tcPr>
          <w:p>
            <w:pPr>
              <w:jc w:val="right"/>
              <w:spacing w:after="0" w:line="218" w:lineRule="exact"/>
              <w:rPr>
                <w:sz w:val="20"/>
                <w:szCs w:val="20"/>
                <w:color w:val="auto"/>
              </w:rPr>
            </w:pPr>
            <w:r>
              <w:rPr>
                <w:rFonts w:ascii="Times New Roman" w:cs="Times New Roman" w:eastAsia="Times New Roman" w:hAnsi="Times New Roman"/>
                <w:sz w:val="20"/>
                <w:szCs w:val="20"/>
                <w:color w:val="auto"/>
              </w:rPr>
              <w:t>11,721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spacing w:after="0" w:line="218" w:lineRule="exact"/>
              <w:rPr>
                <w:sz w:val="20"/>
                <w:szCs w:val="20"/>
                <w:color w:val="auto"/>
              </w:rPr>
            </w:pPr>
            <w:r>
              <w:rPr>
                <w:rFonts w:ascii="Times New Roman" w:cs="Times New Roman" w:eastAsia="Times New Roman" w:hAnsi="Times New Roman"/>
                <w:sz w:val="20"/>
                <w:szCs w:val="20"/>
                <w:color w:val="auto"/>
              </w:rPr>
              <w:t>13,045</w:t>
            </w:r>
          </w:p>
        </w:tc>
      </w:tr>
      <w:tr>
        <w:trPr>
          <w:trHeight w:val="230"/>
        </w:trPr>
        <w:tc>
          <w:tcPr>
            <w:tcW w:w="73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20"/>
                <w:szCs w:val="20"/>
                <w:color w:val="auto"/>
              </w:rPr>
              <w:t>Notes payable</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62</w:t>
            </w: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gridSpan w:val="2"/>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56</w:t>
            </w:r>
          </w:p>
        </w:tc>
      </w:tr>
      <w:tr>
        <w:trPr>
          <w:trHeight w:val="231"/>
        </w:trPr>
        <w:tc>
          <w:tcPr>
            <w:tcW w:w="7340" w:type="dxa"/>
            <w:vAlign w:val="bottom"/>
            <w:shd w:val="clear" w:color="auto" w:fill="CCEEFF"/>
          </w:tcPr>
          <w:p>
            <w:pPr>
              <w:spacing w:after="0" w:line="221" w:lineRule="exact"/>
              <w:rPr>
                <w:sz w:val="20"/>
                <w:szCs w:val="20"/>
                <w:color w:val="auto"/>
              </w:rPr>
            </w:pPr>
            <w:r>
              <w:rPr>
                <w:rFonts w:ascii="Times New Roman" w:cs="Times New Roman" w:eastAsia="Times New Roman" w:hAnsi="Times New Roman"/>
                <w:sz w:val="20"/>
                <w:szCs w:val="20"/>
                <w:color w:val="auto"/>
              </w:rPr>
              <w:t>Total</w:t>
            </w:r>
          </w:p>
        </w:tc>
        <w:tc>
          <w:tcPr>
            <w:tcW w:w="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line="221" w:lineRule="exact"/>
              <w:rPr>
                <w:sz w:val="20"/>
                <w:szCs w:val="20"/>
                <w:color w:val="auto"/>
              </w:rPr>
            </w:pPr>
            <w:r>
              <w:rPr>
                <w:rFonts w:ascii="Times New Roman" w:cs="Times New Roman" w:eastAsia="Times New Roman" w:hAnsi="Times New Roman"/>
                <w:sz w:val="20"/>
                <w:szCs w:val="20"/>
                <w:color w:val="auto"/>
              </w:rPr>
              <w:t>11,783</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tcBorders>
              <w:bottom w:val="single" w:sz="8" w:color="auto"/>
            </w:tcBorders>
            <w:gridSpan w:val="2"/>
            <w:shd w:val="clear" w:color="auto" w:fill="CCEEFF"/>
          </w:tcPr>
          <w:p>
            <w:pPr>
              <w:jc w:val="right"/>
              <w:spacing w:after="0" w:line="221" w:lineRule="exact"/>
              <w:rPr>
                <w:sz w:val="20"/>
                <w:szCs w:val="20"/>
                <w:color w:val="auto"/>
              </w:rPr>
            </w:pPr>
            <w:r>
              <w:rPr>
                <w:rFonts w:ascii="Times New Roman" w:cs="Times New Roman" w:eastAsia="Times New Roman" w:hAnsi="Times New Roman"/>
                <w:sz w:val="20"/>
                <w:szCs w:val="20"/>
                <w:color w:val="auto"/>
              </w:rPr>
              <w:t>13,101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-2943860</wp:posOffset>
            </wp:positionV>
            <wp:extent cx="3192780" cy="958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98">
                      <a:extLst>
                        <a:ext uri="{28A0092B-C50C-407E-A947-70E740481C1C}"/>
                      </a:extLst>
                    </a:blip>
                    <a:srcRect/>
                    <a:stretch>
                      <a:fillRect/>
                    </a:stretch>
                  </pic:blipFill>
                  <pic:spPr bwMode="auto">
                    <a:xfrm>
                      <a:off x="0" y="0"/>
                      <a:ext cx="3192780" cy="9588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-1302385</wp:posOffset>
            </wp:positionV>
            <wp:extent cx="254635" cy="946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99">
                      <a:extLst>
                        <a:ext uri="{28A0092B-C50C-407E-A947-70E740481C1C}"/>
                      </a:extLst>
                    </a:blip>
                    <a:srcRect/>
                    <a:stretch>
                      <a:fillRect/>
                    </a:stretch>
                  </pic:blipFill>
                  <pic:spPr bwMode="auto">
                    <a:xfrm>
                      <a:off x="0" y="0"/>
                      <a:ext cx="254635" cy="94615"/>
                    </a:xfrm>
                    <a:prstGeom prst="rect">
                      <a:avLst/>
                    </a:prstGeom>
                    <a:noFill/>
                  </pic:spPr>
                </pic:pic>
              </a:graphicData>
            </a:graphic>
          </wp:anchor>
        </w:drawing>
      </w:r>
    </w:p>
    <w:p>
      <w:pPr>
        <w:spacing w:after="0" w:line="188" w:lineRule="exact"/>
        <w:rPr>
          <w:sz w:val="20"/>
          <w:szCs w:val="20"/>
          <w:color w:val="auto"/>
        </w:rPr>
      </w:pPr>
    </w:p>
    <w:p>
      <w:pPr>
        <w:jc w:val="both"/>
        <w:ind w:firstLine="720"/>
        <w:spacing w:after="0" w:line="279" w:lineRule="auto"/>
        <w:rPr>
          <w:sz w:val="20"/>
          <w:szCs w:val="20"/>
          <w:color w:val="auto"/>
        </w:rPr>
      </w:pPr>
      <w:r>
        <w:rPr>
          <w:rFonts w:ascii="Times New Roman" w:cs="Times New Roman" w:eastAsia="Times New Roman" w:hAnsi="Times New Roman"/>
          <w:sz w:val="20"/>
          <w:szCs w:val="20"/>
          <w:color w:val="auto"/>
        </w:rPr>
        <w:t>Trade accounts payable usually represent invoices with a due date of 90 days or less and invoices to be received.</w:t>
      </w:r>
    </w:p>
    <w:p>
      <w:pPr>
        <w:spacing w:after="0" w:line="12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Notes payable represent commercial bills of exchange (drafts) with initial maturities of 90 days or less.</w:t>
      </w:r>
    </w:p>
    <w:p>
      <w:pPr>
        <w:spacing w:after="0" w:line="227" w:lineRule="exact"/>
        <w:rPr>
          <w:sz w:val="20"/>
          <w:szCs w:val="20"/>
          <w:color w:val="auto"/>
        </w:rPr>
      </w:pPr>
    </w:p>
    <w:p>
      <w:pPr>
        <w:ind w:left="20"/>
        <w:spacing w:after="0"/>
        <w:rPr>
          <w:sz w:val="20"/>
          <w:szCs w:val="20"/>
          <w:color w:val="auto"/>
        </w:rPr>
      </w:pPr>
      <w:r>
        <w:rPr>
          <w:sz w:val="1"/>
          <w:szCs w:val="1"/>
          <w:color w:val="auto"/>
        </w:rPr>
        <w:drawing>
          <wp:inline distT="0" distB="0" distL="0" distR="0">
            <wp:extent cx="254635" cy="92710"/>
            <wp:effectExtent l="0" t="0" r="0" b="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00">
                      <a:extLst>
                        <a:ext uri="{28A0092B-C50C-407E-A947-70E740481C1C}"/>
                      </a:extLst>
                    </a:blip>
                    <a:srcRect/>
                    <a:stretch>
                      <a:fillRect/>
                    </a:stretch>
                  </pic:blipFill>
                  <pic:spPr bwMode="auto">
                    <a:xfrm>
                      <a:off x="0" y="0"/>
                      <a:ext cx="254635" cy="92710"/>
                    </a:xfrm>
                    <a:prstGeom prst="rect">
                      <a:avLst/>
                    </a:prstGeom>
                    <a:noFill/>
                    <a:ln>
                      <a:noFill/>
                    </a:ln>
                  </pic:spPr>
                </pic:pic>
              </a:graphicData>
            </a:graphic>
          </wp:inline>
        </w:drawing>
      </w:r>
      <w:r>
        <w:rPr>
          <w:rFonts w:ascii="Times New Roman" w:cs="Times New Roman" w:eastAsia="Times New Roman" w:hAnsi="Times New Roman"/>
          <w:sz w:val="20"/>
          <w:szCs w:val="20"/>
          <w:b w:val="1"/>
          <w:bCs w:val="1"/>
          <w:color w:val="auto"/>
        </w:rPr>
        <w:t xml:space="preserve"> DEFERRED REVENUES</w:t>
      </w:r>
    </w:p>
    <w:p>
      <w:pPr>
        <w:spacing w:after="0" w:line="20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Deferred revenues consist of the following:</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20" w:type="dxa"/>
            <w:vAlign w:val="bottom"/>
            <w:tcBorders>
              <w:bottom w:val="single" w:sz="8" w:color="auto"/>
            </w:tcBorders>
            <w:gridSpan w:val="4"/>
          </w:tcPr>
          <w:p>
            <w:pPr>
              <w:jc w:val="right"/>
              <w:ind w:right="467"/>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174"/>
        </w:trPr>
        <w:tc>
          <w:tcPr>
            <w:tcW w:w="73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ind w:right="184"/>
              <w:spacing w:after="0" w:line="175" w:lineRule="exact"/>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Borders>
              <w:bottom w:val="single" w:sz="8" w:color="CCEEFF"/>
            </w:tcBorders>
            <w:gridSpan w:val="2"/>
          </w:tcPr>
          <w:p>
            <w:pPr>
              <w:spacing w:after="0"/>
              <w:rPr>
                <w:sz w:val="15"/>
                <w:szCs w:val="15"/>
                <w:color w:val="auto"/>
              </w:rPr>
            </w:pPr>
          </w:p>
        </w:tc>
        <w:tc>
          <w:tcPr>
            <w:tcW w:w="900" w:type="dxa"/>
            <w:vAlign w:val="bottom"/>
            <w:tcBorders>
              <w:bottom w:val="single" w:sz="8" w:color="auto"/>
            </w:tcBorders>
          </w:tcPr>
          <w:p>
            <w:pPr>
              <w:jc w:val="right"/>
              <w:ind w:right="187"/>
              <w:spacing w:after="0" w:line="175" w:lineRule="exact"/>
              <w:rPr>
                <w:sz w:val="20"/>
                <w:szCs w:val="20"/>
                <w:color w:val="auto"/>
              </w:rPr>
            </w:pPr>
            <w:r>
              <w:rPr>
                <w:rFonts w:ascii="Times New Roman" w:cs="Times New Roman" w:eastAsia="Times New Roman" w:hAnsi="Times New Roman"/>
                <w:sz w:val="16"/>
                <w:szCs w:val="16"/>
                <w:b w:val="1"/>
                <w:bCs w:val="1"/>
                <w:color w:val="auto"/>
              </w:rPr>
              <w:t>2024</w:t>
            </w:r>
          </w:p>
        </w:tc>
      </w:tr>
      <w:tr>
        <w:trPr>
          <w:trHeight w:val="222"/>
        </w:trPr>
        <w:tc>
          <w:tcPr>
            <w:tcW w:w="7360" w:type="dxa"/>
            <w:vAlign w:val="bottom"/>
            <w:gridSpan w:val="2"/>
            <w:shd w:val="clear" w:color="auto" w:fill="CCEEFF"/>
          </w:tcPr>
          <w:p>
            <w:pPr>
              <w:spacing w:after="0" w:line="223" w:lineRule="exact"/>
              <w:rPr>
                <w:sz w:val="20"/>
                <w:szCs w:val="20"/>
                <w:color w:val="auto"/>
              </w:rPr>
            </w:pPr>
            <w:r>
              <w:rPr>
                <w:rFonts w:ascii="Times New Roman" w:cs="Times New Roman" w:eastAsia="Times New Roman" w:hAnsi="Times New Roman"/>
                <w:sz w:val="20"/>
                <w:szCs w:val="20"/>
                <w:color w:val="auto"/>
              </w:rPr>
              <w:t>Deferred revenues on maintenance contracts</w:t>
            </w:r>
          </w:p>
        </w:tc>
        <w:tc>
          <w:tcPr>
            <w:tcW w:w="88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2,748</w:t>
            </w:r>
          </w:p>
        </w:tc>
        <w:tc>
          <w:tcPr>
            <w:tcW w:w="1140" w:type="dxa"/>
            <w:vAlign w:val="bottom"/>
            <w:gridSpan w:val="3"/>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2,425</w:t>
            </w:r>
          </w:p>
        </w:tc>
      </w:tr>
      <w:tr>
        <w:trPr>
          <w:trHeight w:val="230"/>
        </w:trPr>
        <w:tc>
          <w:tcPr>
            <w:tcW w:w="73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Deferred revenue on RPP</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611</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693</w:t>
            </w:r>
          </w:p>
        </w:tc>
      </w:tr>
      <w:tr>
        <w:trPr>
          <w:trHeight w:val="230"/>
        </w:trPr>
        <w:tc>
          <w:tcPr>
            <w:tcW w:w="7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Deferred revenue on sale of devices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147</w:t>
            </w: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142</w:t>
            </w:r>
          </w:p>
        </w:tc>
      </w:tr>
      <w:tr>
        <w:trPr>
          <w:trHeight w:val="233"/>
        </w:trPr>
        <w:tc>
          <w:tcPr>
            <w:tcW w:w="73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Deferred revenue on extension of warranty, included in sales contracts</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822</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523</w:t>
            </w:r>
          </w:p>
        </w:tc>
      </w:tr>
      <w:tr>
        <w:trPr>
          <w:trHeight w:val="250"/>
        </w:trPr>
        <w:tc>
          <w:tcPr>
            <w:tcW w:w="7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Deferred revenue on treatment probe lease and other</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3,735</w:t>
            </w: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3,487</w:t>
            </w:r>
          </w:p>
        </w:tc>
      </w:tr>
      <w:tr>
        <w:trPr>
          <w:trHeight w:val="209"/>
        </w:trPr>
        <w:tc>
          <w:tcPr>
            <w:tcW w:w="7360" w:type="dxa"/>
            <w:vAlign w:val="bottom"/>
            <w:tcBorders>
              <w:top w:val="single" w:sz="8" w:color="CCEEFF"/>
              <w:bottom w:val="single" w:sz="8" w:color="CCEEFF"/>
            </w:tcBorders>
            <w:gridSpan w:val="2"/>
          </w:tcPr>
          <w:p>
            <w:pPr>
              <w:spacing w:after="0" w:line="200" w:lineRule="exact"/>
              <w:rPr>
                <w:sz w:val="20"/>
                <w:szCs w:val="20"/>
                <w:color w:val="auto"/>
              </w:rPr>
            </w:pPr>
            <w:r>
              <w:rPr>
                <w:rFonts w:ascii="Times New Roman" w:cs="Times New Roman" w:eastAsia="Times New Roman" w:hAnsi="Times New Roman"/>
                <w:sz w:val="20"/>
                <w:szCs w:val="20"/>
                <w:color w:val="auto"/>
              </w:rPr>
              <w:t>Total</w:t>
            </w:r>
          </w:p>
        </w:tc>
        <w:tc>
          <w:tcPr>
            <w:tcW w:w="880" w:type="dxa"/>
            <w:vAlign w:val="bottom"/>
            <w:tcBorders>
              <w:top w:val="single" w:sz="8" w:color="auto"/>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8,063</w:t>
            </w:r>
          </w:p>
        </w:tc>
        <w:tc>
          <w:tcPr>
            <w:tcW w:w="220" w:type="dxa"/>
            <w:vAlign w:val="bottom"/>
            <w:tcBorders>
              <w:top w:val="single" w:sz="8" w:color="CCEEFF"/>
              <w:bottom w:val="single" w:sz="8" w:color="CCEEFF"/>
            </w:tcBorders>
          </w:tcPr>
          <w:p>
            <w:pPr>
              <w:spacing w:after="0"/>
              <w:rPr>
                <w:sz w:val="18"/>
                <w:szCs w:val="18"/>
                <w:color w:val="auto"/>
              </w:rPr>
            </w:pPr>
          </w:p>
        </w:tc>
        <w:tc>
          <w:tcPr>
            <w:tcW w:w="20" w:type="dxa"/>
            <w:vAlign w:val="bottom"/>
            <w:tcBorders>
              <w:top w:val="single" w:sz="8" w:color="CCEEFF"/>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7,271</w:t>
            </w:r>
          </w:p>
        </w:tc>
      </w:tr>
      <w:tr>
        <w:trPr>
          <w:trHeight w:val="233"/>
        </w:trPr>
        <w:tc>
          <w:tcPr>
            <w:tcW w:w="7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Less long term portion</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(966)</w:t>
            </w: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(372)</w:t>
            </w:r>
          </w:p>
        </w:tc>
      </w:tr>
      <w:tr>
        <w:trPr>
          <w:trHeight w:val="231"/>
        </w:trPr>
        <w:tc>
          <w:tcPr>
            <w:tcW w:w="734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Current portion</w:t>
            </w:r>
          </w:p>
        </w:tc>
        <w:tc>
          <w:tcPr>
            <w:tcW w:w="20" w:type="dxa"/>
            <w:vAlign w:val="bottom"/>
            <w:tcBorders>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7,098</w:t>
            </w:r>
          </w:p>
        </w:tc>
        <w:tc>
          <w:tcPr>
            <w:tcW w:w="2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6,899</w:t>
            </w:r>
          </w:p>
        </w:tc>
      </w:tr>
    </w:tbl>
    <w:p>
      <w:pPr>
        <w:spacing w:after="0" w:line="200" w:lineRule="exact"/>
        <w:rPr>
          <w:sz w:val="20"/>
          <w:szCs w:val="20"/>
          <w:color w:val="auto"/>
        </w:rPr>
      </w:pPr>
    </w:p>
    <w:p>
      <w:pPr>
        <w:sectPr>
          <w:pgSz w:w="11900" w:h="16838" w:orient="portrait"/>
          <w:cols w:equalWidth="0" w:num="1">
            <w:col w:w="9380"/>
          </w:cols>
          <w:pgMar w:left="1260" w:top="838" w:right="1266" w:bottom="72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F-25</w:t>
      </w:r>
    </w:p>
    <w:p>
      <w:pPr>
        <w:sectPr>
          <w:pgSz w:w="11900" w:h="16838" w:orient="portrait"/>
          <w:cols w:equalWidth="0" w:num="1">
            <w:col w:w="9380"/>
          </w:cols>
          <w:pgMar w:left="1260" w:top="838" w:right="1266" w:bottom="723" w:gutter="0" w:footer="0" w:header="0"/>
          <w:type w:val="continuous"/>
        </w:sectPr>
      </w:pPr>
    </w:p>
    <w:bookmarkStart w:id="80" w:name="page81"/>
    <w:bookmarkEnd w:id="80"/>
    <w:p>
      <w:pPr>
        <w:ind w:left="3180"/>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795655</wp:posOffset>
            </wp:positionH>
            <wp:positionV relativeFrom="page">
              <wp:posOffset>292735</wp:posOffset>
            </wp:positionV>
            <wp:extent cx="929005" cy="1149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01">
                      <a:extLst>
                        <a:ext uri="{28A0092B-C50C-407E-A947-70E740481C1C}"/>
                      </a:extLst>
                    </a:blip>
                    <a:srcRect/>
                    <a:stretch>
                      <a:fillRect/>
                    </a:stretch>
                  </pic:blipFill>
                  <pic:spPr bwMode="auto">
                    <a:xfrm>
                      <a:off x="0" y="0"/>
                      <a:ext cx="929005" cy="114935"/>
                    </a:xfrm>
                    <a:prstGeom prst="rect">
                      <a:avLst/>
                    </a:prstGeom>
                    <a:noFill/>
                  </pic:spPr>
                </pic:pic>
              </a:graphicData>
            </a:graphic>
          </wp:anchor>
        </w:drawing>
        <w:t>EDAP TMS S.A. AND SUBSIDIARIES</w:t>
      </w:r>
    </w:p>
    <w:p>
      <w:pPr>
        <w:ind w:left="2760"/>
        <w:spacing w:after="0"/>
        <w:rPr>
          <w:sz w:val="20"/>
          <w:szCs w:val="20"/>
          <w:color w:val="auto"/>
        </w:rPr>
      </w:pPr>
      <w:r>
        <w:rPr>
          <w:rFonts w:ascii="Times New Roman" w:cs="Times New Roman" w:eastAsia="Times New Roman" w:hAnsi="Times New Roman"/>
          <w:sz w:val="20"/>
          <w:szCs w:val="20"/>
          <w:b w:val="1"/>
          <w:bCs w:val="1"/>
          <w:color w:val="auto"/>
        </w:rPr>
        <w:t>CONSOLIDATED FINANCIAL STATEMENTS</w:t>
      </w:r>
    </w:p>
    <w:p>
      <w:pPr>
        <w:ind w:left="1500"/>
        <w:spacing w:after="0"/>
        <w:rPr>
          <w:sz w:val="20"/>
          <w:szCs w:val="20"/>
          <w:color w:val="auto"/>
        </w:rPr>
      </w:pPr>
      <w:r>
        <w:rPr>
          <w:rFonts w:ascii="Times New Roman" w:cs="Times New Roman" w:eastAsia="Times New Roman" w:hAnsi="Times New Roman"/>
          <w:sz w:val="20"/>
          <w:szCs w:val="20"/>
          <w:b w:val="1"/>
          <w:bCs w:val="1"/>
          <w:color w:val="auto"/>
        </w:rPr>
        <w:t>(In thousands of U.S. dollars unless otherwise noted, except per share data)</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Deferred revenue on extension of warranty will be recognized over the following periods: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03"/>
        </w:trPr>
        <w:tc>
          <w:tcPr>
            <w:tcW w:w="712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2025</w:t>
            </w:r>
          </w:p>
        </w:tc>
      </w:tr>
      <w:tr>
        <w:trPr>
          <w:trHeight w:val="220"/>
        </w:trPr>
        <w:tc>
          <w:tcPr>
            <w:tcW w:w="7120" w:type="dxa"/>
            <w:vAlign w:val="bottom"/>
            <w:shd w:val="clear" w:color="auto" w:fill="CCEEFF"/>
          </w:tcPr>
          <w:p>
            <w:pPr>
              <w:spacing w:after="0" w:line="220" w:lineRule="exact"/>
              <w:rPr>
                <w:sz w:val="20"/>
                <w:szCs w:val="20"/>
                <w:color w:val="auto"/>
              </w:rPr>
            </w:pPr>
            <w:r>
              <w:rPr>
                <w:rFonts w:ascii="Times New Roman" w:cs="Times New Roman" w:eastAsia="Times New Roman" w:hAnsi="Times New Roman"/>
                <w:sz w:val="20"/>
                <w:szCs w:val="20"/>
                <w:color w:val="auto"/>
              </w:rPr>
              <w:t>2026</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229</w:t>
            </w:r>
          </w:p>
        </w:tc>
      </w:tr>
      <w:tr>
        <w:trPr>
          <w:trHeight w:val="230"/>
        </w:trPr>
        <w:tc>
          <w:tcPr>
            <w:tcW w:w="7120" w:type="dxa"/>
            <w:vAlign w:val="bottom"/>
          </w:tcPr>
          <w:p>
            <w:pPr>
              <w:spacing w:after="0"/>
              <w:rPr>
                <w:sz w:val="20"/>
                <w:szCs w:val="20"/>
                <w:color w:val="auto"/>
              </w:rPr>
            </w:pPr>
            <w:r>
              <w:rPr>
                <w:rFonts w:ascii="Times New Roman" w:cs="Times New Roman" w:eastAsia="Times New Roman" w:hAnsi="Times New Roman"/>
                <w:sz w:val="20"/>
                <w:szCs w:val="20"/>
                <w:color w:val="auto"/>
              </w:rPr>
              <w:t>2027</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35</w:t>
            </w:r>
          </w:p>
        </w:tc>
      </w:tr>
      <w:tr>
        <w:trPr>
          <w:trHeight w:val="233"/>
        </w:trPr>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2028</w:t>
            </w: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84</w:t>
            </w:r>
          </w:p>
        </w:tc>
      </w:tr>
      <w:tr>
        <w:trPr>
          <w:trHeight w:val="230"/>
        </w:trPr>
        <w:tc>
          <w:tcPr>
            <w:tcW w:w="7120" w:type="dxa"/>
            <w:vAlign w:val="bottom"/>
          </w:tcPr>
          <w:p>
            <w:pPr>
              <w:spacing w:after="0"/>
              <w:rPr>
                <w:sz w:val="20"/>
                <w:szCs w:val="20"/>
                <w:color w:val="auto"/>
              </w:rPr>
            </w:pPr>
            <w:r>
              <w:rPr>
                <w:rFonts w:ascii="Times New Roman" w:cs="Times New Roman" w:eastAsia="Times New Roman" w:hAnsi="Times New Roman"/>
                <w:sz w:val="20"/>
                <w:szCs w:val="20"/>
                <w:color w:val="auto"/>
              </w:rPr>
              <w:t>2029</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104</w:t>
            </w:r>
          </w:p>
        </w:tc>
      </w:tr>
      <w:tr>
        <w:trPr>
          <w:trHeight w:val="230"/>
        </w:trPr>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2030</w:t>
            </w: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81</w:t>
            </w:r>
          </w:p>
        </w:tc>
      </w:tr>
      <w:tr>
        <w:trPr>
          <w:trHeight w:val="230"/>
        </w:trPr>
        <w:tc>
          <w:tcPr>
            <w:tcW w:w="736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20"/>
                <w:szCs w:val="20"/>
                <w:color w:val="auto"/>
              </w:rPr>
              <w:t>2031 and thereafter</w:t>
            </w:r>
          </w:p>
        </w:tc>
        <w:tc>
          <w:tcPr>
            <w:tcW w:w="8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20"/>
                <w:szCs w:val="20"/>
                <w:color w:val="auto"/>
              </w:rPr>
              <w:t>289</w:t>
            </w:r>
          </w:p>
        </w:tc>
      </w:tr>
      <w:tr>
        <w:trPr>
          <w:trHeight w:val="231"/>
        </w:trPr>
        <w:tc>
          <w:tcPr>
            <w:tcW w:w="7360" w:type="dxa"/>
            <w:vAlign w:val="bottom"/>
            <w:gridSpan w:val="3"/>
            <w:shd w:val="clear" w:color="auto" w:fill="CCEEFF"/>
          </w:tcPr>
          <w:p>
            <w:pPr>
              <w:spacing w:after="0" w:line="223" w:lineRule="exact"/>
              <w:rPr>
                <w:sz w:val="20"/>
                <w:szCs w:val="20"/>
                <w:color w:val="auto"/>
              </w:rPr>
            </w:pPr>
            <w:r>
              <w:rPr>
                <w:rFonts w:ascii="Times New Roman" w:cs="Times New Roman" w:eastAsia="Times New Roman" w:hAnsi="Times New Roman"/>
                <w:sz w:val="20"/>
                <w:szCs w:val="20"/>
                <w:color w:val="auto"/>
              </w:rPr>
              <w:t>Total</w:t>
            </w: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gridSpan w:val="3"/>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822</w:t>
            </w:r>
          </w:p>
        </w:tc>
      </w:tr>
      <w:tr>
        <w:trPr>
          <w:trHeight w:val="478"/>
        </w:trPr>
        <w:tc>
          <w:tcPr>
            <w:tcW w:w="7360" w:type="dxa"/>
            <w:vAlign w:val="bottom"/>
            <w:gridSpan w:val="3"/>
          </w:tcPr>
          <w:p>
            <w:pPr>
              <w:ind w:left="720"/>
              <w:spacing w:after="0"/>
              <w:rPr>
                <w:sz w:val="20"/>
                <w:szCs w:val="20"/>
                <w:color w:val="auto"/>
              </w:rPr>
            </w:pPr>
            <w:r>
              <w:rPr>
                <w:rFonts w:ascii="Times New Roman" w:cs="Times New Roman" w:eastAsia="Times New Roman" w:hAnsi="Times New Roman"/>
                <w:sz w:val="20"/>
                <w:szCs w:val="20"/>
                <w:color w:val="auto"/>
              </w:rPr>
              <w:t>Changes in deferred revenue on extension of warranty are as follows:</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18"/>
        </w:trPr>
        <w:tc>
          <w:tcPr>
            <w:tcW w:w="71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31"/>
        </w:trPr>
        <w:tc>
          <w:tcPr>
            <w:tcW w:w="7360" w:type="dxa"/>
            <w:vAlign w:val="bottom"/>
            <w:gridSpan w:val="3"/>
            <w:shd w:val="clear" w:color="auto" w:fill="CCEEFF"/>
          </w:tcPr>
          <w:p>
            <w:pPr>
              <w:spacing w:after="0" w:line="223" w:lineRule="exact"/>
              <w:rPr>
                <w:sz w:val="20"/>
                <w:szCs w:val="20"/>
                <w:color w:val="auto"/>
              </w:rPr>
            </w:pPr>
            <w:r>
              <w:rPr>
                <w:rFonts w:ascii="Times New Roman" w:cs="Times New Roman" w:eastAsia="Times New Roman" w:hAnsi="Times New Roman"/>
                <w:sz w:val="20"/>
                <w:szCs w:val="20"/>
                <w:color w:val="auto"/>
              </w:rPr>
              <w:t>Balance as of December 31, 2023</w:t>
            </w: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20" w:type="dxa"/>
            <w:vAlign w:val="bottom"/>
            <w:tcBorders>
              <w:bottom w:val="single" w:sz="8" w:color="auto"/>
            </w:tcBorders>
            <w:gridSpan w:val="3"/>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654</w:t>
            </w:r>
          </w:p>
        </w:tc>
      </w:tr>
      <w:tr>
        <w:trPr>
          <w:trHeight w:val="230"/>
        </w:trPr>
        <w:tc>
          <w:tcPr>
            <w:tcW w:w="73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New extension of warranty</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182</w:t>
            </w:r>
          </w:p>
        </w:tc>
      </w:tr>
      <w:tr>
        <w:trPr>
          <w:trHeight w:val="233"/>
        </w:trPr>
        <w:tc>
          <w:tcPr>
            <w:tcW w:w="7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20"/>
                <w:szCs w:val="20"/>
                <w:color w:val="auto"/>
              </w:rPr>
              <w:t>Recognition of revenue</w:t>
            </w: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(274)</w:t>
            </w:r>
          </w:p>
        </w:tc>
      </w:tr>
      <w:tr>
        <w:trPr>
          <w:trHeight w:val="230"/>
        </w:trPr>
        <w:tc>
          <w:tcPr>
            <w:tcW w:w="736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20"/>
                <w:szCs w:val="20"/>
                <w:color w:val="auto"/>
              </w:rPr>
              <w:t>Exchange rate impact</w:t>
            </w:r>
          </w:p>
        </w:tc>
        <w:tc>
          <w:tcPr>
            <w:tcW w:w="8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20"/>
                <w:szCs w:val="20"/>
                <w:color w:val="auto"/>
              </w:rPr>
              <w:t>(39)</w:t>
            </w:r>
          </w:p>
        </w:tc>
      </w:tr>
      <w:tr>
        <w:trPr>
          <w:trHeight w:val="240"/>
        </w:trPr>
        <w:tc>
          <w:tcPr>
            <w:tcW w:w="7360" w:type="dxa"/>
            <w:vAlign w:val="bottom"/>
            <w:tcBorders>
              <w:bottom w:val="single" w:sz="8" w:color="CCEEFF"/>
            </w:tcBorders>
            <w:gridSpan w:val="3"/>
            <w:shd w:val="clear" w:color="auto" w:fill="CCEEFF"/>
          </w:tcPr>
          <w:p>
            <w:pPr>
              <w:spacing w:after="0" w:line="220" w:lineRule="exact"/>
              <w:rPr>
                <w:sz w:val="20"/>
                <w:szCs w:val="20"/>
                <w:color w:val="auto"/>
              </w:rPr>
            </w:pPr>
            <w:r>
              <w:rPr>
                <w:rFonts w:ascii="Times New Roman" w:cs="Times New Roman" w:eastAsia="Times New Roman" w:hAnsi="Times New Roman"/>
                <w:sz w:val="20"/>
                <w:szCs w:val="20"/>
                <w:color w:val="auto"/>
              </w:rPr>
              <w:t>Balance as of December 31, 2024</w:t>
            </w: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auto"/>
            </w:tcBorders>
            <w:gridSpan w:val="3"/>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523</w:t>
            </w:r>
          </w:p>
        </w:tc>
      </w:tr>
      <w:tr>
        <w:trPr>
          <w:trHeight w:val="222"/>
        </w:trPr>
        <w:tc>
          <w:tcPr>
            <w:tcW w:w="7360" w:type="dxa"/>
            <w:vAlign w:val="bottom"/>
            <w:gridSpan w:val="3"/>
          </w:tcPr>
          <w:p>
            <w:pPr>
              <w:spacing w:after="0" w:line="222" w:lineRule="exact"/>
              <w:rPr>
                <w:sz w:val="20"/>
                <w:szCs w:val="20"/>
                <w:color w:val="auto"/>
              </w:rPr>
            </w:pPr>
            <w:r>
              <w:rPr>
                <w:rFonts w:ascii="Times New Roman" w:cs="Times New Roman" w:eastAsia="Times New Roman" w:hAnsi="Times New Roman"/>
                <w:sz w:val="20"/>
                <w:szCs w:val="20"/>
                <w:color w:val="auto"/>
              </w:rPr>
              <w:t>New extension of warranty</w:t>
            </w: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gridSpan w:val="3"/>
          </w:tcPr>
          <w:p>
            <w:pPr>
              <w:jc w:val="right"/>
              <w:spacing w:after="0" w:line="222" w:lineRule="exact"/>
              <w:rPr>
                <w:sz w:val="20"/>
                <w:szCs w:val="20"/>
                <w:color w:val="auto"/>
              </w:rPr>
            </w:pPr>
            <w:r>
              <w:rPr>
                <w:rFonts w:ascii="Times New Roman" w:cs="Times New Roman" w:eastAsia="Times New Roman" w:hAnsi="Times New Roman"/>
                <w:sz w:val="20"/>
                <w:szCs w:val="20"/>
                <w:color w:val="auto"/>
              </w:rPr>
              <w:t>418</w:t>
            </w:r>
          </w:p>
        </w:tc>
      </w:tr>
      <w:tr>
        <w:trPr>
          <w:trHeight w:val="230"/>
        </w:trPr>
        <w:tc>
          <w:tcPr>
            <w:tcW w:w="7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20"/>
                <w:szCs w:val="20"/>
                <w:color w:val="auto"/>
              </w:rPr>
              <w:t>Recognition of revenue</w:t>
            </w: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(187)</w:t>
            </w:r>
          </w:p>
        </w:tc>
      </w:tr>
      <w:tr>
        <w:trPr>
          <w:trHeight w:val="230"/>
        </w:trPr>
        <w:tc>
          <w:tcPr>
            <w:tcW w:w="736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20"/>
                <w:szCs w:val="20"/>
                <w:color w:val="auto"/>
              </w:rPr>
              <w:t>Exchange rate impact</w:t>
            </w:r>
          </w:p>
        </w:tc>
        <w:tc>
          <w:tcPr>
            <w:tcW w:w="8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20"/>
                <w:szCs w:val="20"/>
                <w:color w:val="auto"/>
              </w:rPr>
              <w:t>69</w:t>
            </w:r>
          </w:p>
        </w:tc>
      </w:tr>
      <w:tr>
        <w:trPr>
          <w:trHeight w:val="242"/>
        </w:trPr>
        <w:tc>
          <w:tcPr>
            <w:tcW w:w="7360" w:type="dxa"/>
            <w:vAlign w:val="bottom"/>
            <w:tcBorders>
              <w:bottom w:val="single" w:sz="8" w:color="CCEEFF"/>
            </w:tcBorders>
            <w:gridSpan w:val="3"/>
            <w:shd w:val="clear" w:color="auto" w:fill="CCEEFF"/>
          </w:tcPr>
          <w:p>
            <w:pPr>
              <w:spacing w:after="0" w:line="223" w:lineRule="exact"/>
              <w:rPr>
                <w:sz w:val="20"/>
                <w:szCs w:val="20"/>
                <w:color w:val="auto"/>
              </w:rPr>
            </w:pPr>
            <w:r>
              <w:rPr>
                <w:rFonts w:ascii="Times New Roman" w:cs="Times New Roman" w:eastAsia="Times New Roman" w:hAnsi="Times New Roman"/>
                <w:sz w:val="20"/>
                <w:szCs w:val="20"/>
                <w:color w:val="auto"/>
              </w:rPr>
              <w:t>Balance as of December 31, 2025</w:t>
            </w: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gridSpan w:val="3"/>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822</w:t>
            </w:r>
          </w:p>
        </w:tc>
      </w:tr>
      <w:tr>
        <w:trPr>
          <w:trHeight w:val="494"/>
        </w:trPr>
        <w:tc>
          <w:tcPr>
            <w:tcW w:w="7360" w:type="dxa"/>
            <w:vAlign w:val="bottom"/>
            <w:gridSpan w:val="3"/>
          </w:tcPr>
          <w:p>
            <w:pPr>
              <w:ind w:left="460"/>
              <w:spacing w:after="0"/>
              <w:rPr>
                <w:sz w:val="20"/>
                <w:szCs w:val="20"/>
                <w:color w:val="auto"/>
              </w:rPr>
            </w:pPr>
            <w:r>
              <w:rPr>
                <w:rFonts w:ascii="Times New Roman" w:cs="Times New Roman" w:eastAsia="Times New Roman" w:hAnsi="Times New Roman"/>
                <w:sz w:val="20"/>
                <w:szCs w:val="20"/>
                <w:b w:val="1"/>
                <w:bCs w:val="1"/>
                <w:color w:val="auto"/>
              </w:rPr>
              <w:t>OTHER ACCRUED LIABILITIES</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26"/>
        </w:trPr>
        <w:tc>
          <w:tcPr>
            <w:tcW w:w="7360" w:type="dxa"/>
            <w:vAlign w:val="bottom"/>
            <w:gridSpan w:val="3"/>
          </w:tcPr>
          <w:p>
            <w:pPr>
              <w:ind w:left="720"/>
              <w:spacing w:after="0"/>
              <w:rPr>
                <w:sz w:val="20"/>
                <w:szCs w:val="20"/>
                <w:color w:val="auto"/>
              </w:rPr>
            </w:pPr>
            <w:r>
              <w:rPr>
                <w:rFonts w:ascii="Times New Roman" w:cs="Times New Roman" w:eastAsia="Times New Roman" w:hAnsi="Times New Roman"/>
                <w:sz w:val="20"/>
                <w:szCs w:val="20"/>
                <w:color w:val="auto"/>
              </w:rPr>
              <w:t>Other accrued liabilities consist of the following:</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87"/>
        </w:trPr>
        <w:tc>
          <w:tcPr>
            <w:tcW w:w="7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20" w:type="dxa"/>
            <w:vAlign w:val="bottom"/>
            <w:tcBorders>
              <w:bottom w:val="single" w:sz="8" w:color="auto"/>
            </w:tcBorders>
            <w:gridSpan w:val="6"/>
          </w:tcPr>
          <w:p>
            <w:pPr>
              <w:jc w:val="right"/>
              <w:ind w:right="47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174"/>
        </w:trPr>
        <w:tc>
          <w:tcPr>
            <w:tcW w:w="712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ind w:right="183"/>
              <w:spacing w:after="0" w:line="175" w:lineRule="exact"/>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gridSpan w:val="2"/>
          </w:tcPr>
          <w:p>
            <w:pPr>
              <w:spacing w:after="0"/>
              <w:rPr>
                <w:sz w:val="15"/>
                <w:szCs w:val="15"/>
                <w:color w:val="auto"/>
              </w:rPr>
            </w:pPr>
          </w:p>
        </w:tc>
        <w:tc>
          <w:tcPr>
            <w:tcW w:w="900" w:type="dxa"/>
            <w:vAlign w:val="bottom"/>
            <w:tcBorders>
              <w:bottom w:val="single" w:sz="8" w:color="auto"/>
            </w:tcBorders>
          </w:tcPr>
          <w:p>
            <w:pPr>
              <w:jc w:val="right"/>
              <w:ind w:right="190"/>
              <w:spacing w:after="0" w:line="175" w:lineRule="exact"/>
              <w:rPr>
                <w:sz w:val="20"/>
                <w:szCs w:val="20"/>
                <w:color w:val="auto"/>
              </w:rPr>
            </w:pPr>
            <w:r>
              <w:rPr>
                <w:rFonts w:ascii="Times New Roman" w:cs="Times New Roman" w:eastAsia="Times New Roman" w:hAnsi="Times New Roman"/>
                <w:sz w:val="16"/>
                <w:szCs w:val="16"/>
                <w:b w:val="1"/>
                <w:bCs w:val="1"/>
                <w:color w:val="auto"/>
              </w:rPr>
              <w:t>2024</w:t>
            </w:r>
          </w:p>
        </w:tc>
      </w:tr>
      <w:tr>
        <w:trPr>
          <w:trHeight w:val="220"/>
        </w:trPr>
        <w:tc>
          <w:tcPr>
            <w:tcW w:w="7120" w:type="dxa"/>
            <w:vAlign w:val="bottom"/>
            <w:shd w:val="clear" w:color="auto" w:fill="CCEEFF"/>
          </w:tcPr>
          <w:p>
            <w:pPr>
              <w:spacing w:after="0" w:line="220" w:lineRule="exact"/>
              <w:rPr>
                <w:sz w:val="20"/>
                <w:szCs w:val="20"/>
                <w:color w:val="auto"/>
              </w:rPr>
            </w:pPr>
            <w:r>
              <w:rPr>
                <w:rFonts w:ascii="Times New Roman" w:cs="Times New Roman" w:eastAsia="Times New Roman" w:hAnsi="Times New Roman"/>
                <w:sz w:val="20"/>
                <w:szCs w:val="20"/>
                <w:color w:val="auto"/>
              </w:rPr>
              <w:t>Retirement indemnities</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2,388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2,413</w:t>
            </w:r>
          </w:p>
        </w:tc>
      </w:tr>
      <w:tr>
        <w:trPr>
          <w:trHeight w:val="233"/>
        </w:trPr>
        <w:tc>
          <w:tcPr>
            <w:tcW w:w="73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Provision for warranty costs</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198</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131</w:t>
            </w:r>
          </w:p>
        </w:tc>
      </w:tr>
      <w:tr>
        <w:trPr>
          <w:trHeight w:val="230"/>
        </w:trPr>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Accruals for payroll and associated taxes</w:t>
            </w: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3,449</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3,442</w:t>
            </w:r>
          </w:p>
        </w:tc>
      </w:tr>
      <w:tr>
        <w:trPr>
          <w:trHeight w:val="230"/>
        </w:trPr>
        <w:tc>
          <w:tcPr>
            <w:tcW w:w="73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Conditional government advances</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453</w:t>
            </w:r>
          </w:p>
        </w:tc>
      </w:tr>
      <w:tr>
        <w:trPr>
          <w:trHeight w:val="230"/>
        </w:trPr>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Value added tax payable</w:t>
            </w: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844</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950</w:t>
            </w:r>
          </w:p>
        </w:tc>
      </w:tr>
      <w:tr>
        <w:trPr>
          <w:trHeight w:val="233"/>
        </w:trPr>
        <w:tc>
          <w:tcPr>
            <w:tcW w:w="73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Advances received from customers</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249</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496</w:t>
            </w:r>
          </w:p>
        </w:tc>
      </w:tr>
      <w:tr>
        <w:trPr>
          <w:trHeight w:val="230"/>
        </w:trPr>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Provision for Asset Retirement Obligation (Japan)</w:t>
            </w: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166</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207</w:t>
            </w:r>
          </w:p>
        </w:tc>
      </w:tr>
      <w:tr>
        <w:trPr>
          <w:trHeight w:val="230"/>
        </w:trPr>
        <w:tc>
          <w:tcPr>
            <w:tcW w:w="73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Provision for employee termination indemnities (Korea)</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215</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175</w:t>
            </w:r>
          </w:p>
        </w:tc>
      </w:tr>
      <w:tr>
        <w:trPr>
          <w:trHeight w:val="250"/>
        </w:trPr>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Others</w:t>
            </w:r>
          </w:p>
        </w:tc>
        <w:tc>
          <w:tcPr>
            <w:tcW w:w="2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514</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479</w:t>
            </w:r>
          </w:p>
        </w:tc>
      </w:tr>
      <w:tr>
        <w:trPr>
          <w:trHeight w:val="202"/>
        </w:trPr>
        <w:tc>
          <w:tcPr>
            <w:tcW w:w="7360" w:type="dxa"/>
            <w:vAlign w:val="bottom"/>
            <w:tcBorders>
              <w:top w:val="single" w:sz="8" w:color="CCEEFF"/>
              <w:bottom w:val="single" w:sz="8" w:color="CCEEFF"/>
            </w:tcBorders>
            <w:gridSpan w:val="3"/>
          </w:tcPr>
          <w:p>
            <w:pPr>
              <w:spacing w:after="0" w:line="203" w:lineRule="exact"/>
              <w:rPr>
                <w:sz w:val="20"/>
                <w:szCs w:val="20"/>
                <w:color w:val="auto"/>
              </w:rPr>
            </w:pPr>
            <w:r>
              <w:rPr>
                <w:rFonts w:ascii="Times New Roman" w:cs="Times New Roman" w:eastAsia="Times New Roman" w:hAnsi="Times New Roman"/>
                <w:sz w:val="20"/>
                <w:szCs w:val="20"/>
                <w:color w:val="auto"/>
              </w:rPr>
              <w:t>Total</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20"/>
                <w:szCs w:val="20"/>
                <w:color w:val="auto"/>
              </w:rPr>
              <w:t>8,534</w:t>
            </w:r>
          </w:p>
        </w:tc>
        <w:tc>
          <w:tcPr>
            <w:tcW w:w="100" w:type="dxa"/>
            <w:vAlign w:val="bottom"/>
            <w:tcBorders>
              <w:top w:val="single" w:sz="8" w:color="CCEEFF"/>
              <w:bottom w:val="single" w:sz="8" w:color="CCEEFF"/>
            </w:tcBorders>
          </w:tcPr>
          <w:p>
            <w:pPr>
              <w:spacing w:after="0"/>
              <w:rPr>
                <w:sz w:val="17"/>
                <w:szCs w:val="17"/>
                <w:color w:val="auto"/>
              </w:rPr>
            </w:pPr>
          </w:p>
        </w:tc>
        <w:tc>
          <w:tcPr>
            <w:tcW w:w="20" w:type="dxa"/>
            <w:vAlign w:val="bottom"/>
            <w:tcBorders>
              <w:top w:val="single" w:sz="8" w:color="CCEEFF"/>
              <w:bottom w:val="single" w:sz="8" w:color="CCEEFF"/>
            </w:tcBorders>
          </w:tcPr>
          <w:p>
            <w:pPr>
              <w:spacing w:after="0"/>
              <w:rPr>
                <w:sz w:val="17"/>
                <w:szCs w:val="17"/>
                <w:color w:val="auto"/>
              </w:rPr>
            </w:pPr>
          </w:p>
        </w:tc>
        <w:tc>
          <w:tcPr>
            <w:tcW w:w="100" w:type="dxa"/>
            <w:vAlign w:val="bottom"/>
            <w:tcBorders>
              <w:top w:val="single" w:sz="8" w:color="CCEEFF"/>
              <w:bottom w:val="single" w:sz="8" w:color="CCEEFF"/>
            </w:tcBorders>
          </w:tcPr>
          <w:p>
            <w:pPr>
              <w:spacing w:after="0"/>
              <w:rPr>
                <w:sz w:val="17"/>
                <w:szCs w:val="17"/>
                <w:color w:val="auto"/>
              </w:rPr>
            </w:pPr>
          </w:p>
        </w:tc>
        <w:tc>
          <w:tcPr>
            <w:tcW w:w="20" w:type="dxa"/>
            <w:vAlign w:val="bottom"/>
            <w:tcBorders>
              <w:top w:val="single" w:sz="8" w:color="CCEEFF"/>
              <w:bottom w:val="single" w:sz="8" w:color="CCEEFF"/>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20"/>
                <w:szCs w:val="20"/>
                <w:color w:val="auto"/>
              </w:rPr>
              <w:t>8,747</w:t>
            </w:r>
          </w:p>
        </w:tc>
      </w:tr>
      <w:tr>
        <w:trPr>
          <w:trHeight w:val="240"/>
        </w:trPr>
        <w:tc>
          <w:tcPr>
            <w:tcW w:w="7120" w:type="dxa"/>
            <w:vAlign w:val="bottom"/>
            <w:shd w:val="clear" w:color="auto" w:fill="CCEEFF"/>
          </w:tcPr>
          <w:p>
            <w:pPr>
              <w:spacing w:after="0" w:line="220" w:lineRule="exact"/>
              <w:rPr>
                <w:sz w:val="20"/>
                <w:szCs w:val="20"/>
                <w:color w:val="auto"/>
              </w:rPr>
            </w:pPr>
            <w:r>
              <w:rPr>
                <w:rFonts w:ascii="Times New Roman" w:cs="Times New Roman" w:eastAsia="Times New Roman" w:hAnsi="Times New Roman"/>
                <w:sz w:val="20"/>
                <w:szCs w:val="20"/>
                <w:color w:val="auto"/>
              </w:rPr>
              <w:t>Less non-current portion</w:t>
            </w: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(3,145)</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20" w:type="dxa"/>
            <w:vAlign w:val="bottom"/>
            <w:gridSpan w:val="3"/>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(3,010)</w:t>
            </w:r>
          </w:p>
        </w:tc>
      </w:tr>
      <w:tr>
        <w:trPr>
          <w:trHeight w:val="211"/>
        </w:trPr>
        <w:tc>
          <w:tcPr>
            <w:tcW w:w="7340" w:type="dxa"/>
            <w:vAlign w:val="bottom"/>
            <w:tcBorders>
              <w:top w:val="single" w:sz="8" w:color="CCEEFF"/>
            </w:tcBorders>
            <w:gridSpan w:val="2"/>
          </w:tcPr>
          <w:p>
            <w:pPr>
              <w:spacing w:after="0" w:line="203" w:lineRule="exact"/>
              <w:rPr>
                <w:sz w:val="20"/>
                <w:szCs w:val="20"/>
                <w:color w:val="auto"/>
              </w:rPr>
            </w:pPr>
            <w:r>
              <w:rPr>
                <w:rFonts w:ascii="Times New Roman" w:cs="Times New Roman" w:eastAsia="Times New Roman" w:hAnsi="Times New Roman"/>
                <w:sz w:val="20"/>
                <w:szCs w:val="20"/>
                <w:color w:val="auto"/>
              </w:rPr>
              <w:t>Current portion</w:t>
            </w:r>
          </w:p>
        </w:tc>
        <w:tc>
          <w:tcPr>
            <w:tcW w:w="20" w:type="dxa"/>
            <w:vAlign w:val="bottom"/>
            <w:tcBorders>
              <w:top w:val="single" w:sz="8" w:color="CCEEFF"/>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20"/>
                <w:szCs w:val="20"/>
                <w:color w:val="auto"/>
              </w:rPr>
              <w:t>5,389</w:t>
            </w: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20"/>
                <w:szCs w:val="20"/>
                <w:color w:val="auto"/>
              </w:rPr>
              <w:t>5,737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-2637155</wp:posOffset>
            </wp:positionV>
            <wp:extent cx="254635" cy="958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02">
                      <a:extLst>
                        <a:ext uri="{28A0092B-C50C-407E-A947-70E740481C1C}"/>
                      </a:extLst>
                    </a:blip>
                    <a:srcRect/>
                    <a:stretch>
                      <a:fillRect/>
                    </a:stretch>
                  </pic:blipFill>
                  <pic:spPr bwMode="auto">
                    <a:xfrm>
                      <a:off x="0" y="0"/>
                      <a:ext cx="254635" cy="95885"/>
                    </a:xfrm>
                    <a:prstGeom prst="rect">
                      <a:avLst/>
                    </a:prstGeom>
                    <a:noFill/>
                  </pic:spPr>
                </pic:pic>
              </a:graphicData>
            </a:graphic>
          </wp:anchor>
        </w:drawing>
      </w:r>
    </w:p>
    <w:p>
      <w:pPr>
        <w:spacing w:after="0" w:line="191"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Conditional government advances are linked to prospecting sales insurance that is financially sponsored by French government. Maturity of the repayment is conditioned by the sales projections over five years after the end of the prospection period.</w:t>
      </w:r>
    </w:p>
    <w:p>
      <w:pPr>
        <w:sectPr>
          <w:pgSz w:w="11900" w:h="16838" w:orient="portrait"/>
          <w:cols w:equalWidth="0" w:num="1">
            <w:col w:w="9380"/>
          </w:cols>
          <w:pgMar w:left="1260" w:top="838" w:right="1266" w:bottom="72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F-26</w:t>
      </w:r>
    </w:p>
    <w:p>
      <w:pPr>
        <w:sectPr>
          <w:pgSz w:w="11900" w:h="16838" w:orient="portrait"/>
          <w:cols w:equalWidth="0" w:num="1">
            <w:col w:w="9380"/>
          </w:cols>
          <w:pgMar w:left="1260" w:top="838" w:right="1266" w:bottom="723" w:gutter="0" w:footer="0" w:header="0"/>
          <w:type w:val="continuous"/>
        </w:sectPr>
      </w:pPr>
    </w:p>
    <w:bookmarkStart w:id="81" w:name="page82"/>
    <w:bookmarkEnd w:id="81"/>
    <w:tbl>
      <w:tblPr>
        <w:tblLayout w:type="fixed"/>
        <w:tblInd w:w="0" w:type="dxa"/>
        <w:tblCellMar>
          <w:top w:w="0" w:type="dxa"/>
          <w:left w:w="0" w:type="dxa"/>
          <w:bottom w:w="0" w:type="dxa"/>
          <w:right w:w="0" w:type="dxa"/>
        </w:tblCellMar>
      </w:tblPr>
      <w:tr>
        <w:trPr>
          <w:trHeight w:val="230"/>
        </w:trPr>
        <w:tc>
          <w:tcPr>
            <w:tcW w:w="7340" w:type="dxa"/>
            <w:vAlign w:val="bottom"/>
          </w:tcPr>
          <w:p>
            <w:pPr>
              <w:ind w:left="3180"/>
              <w:spacing w:after="0"/>
              <w:rPr>
                <w:sz w:val="20"/>
                <w:szCs w:val="20"/>
                <w:color w:val="auto"/>
              </w:rPr>
            </w:pPr>
            <w:r>
              <w:rPr>
                <w:rFonts w:ascii="Times New Roman" w:cs="Times New Roman" w:eastAsia="Times New Roman" w:hAnsi="Times New Roman"/>
                <w:sz w:val="20"/>
                <w:szCs w:val="20"/>
                <w:b w:val="1"/>
                <w:bCs w:val="1"/>
                <w:color w:val="auto"/>
              </w:rPr>
              <w:t>EDAP TMS S.A. AND SUBSIDIARIES</w:t>
            </w: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30"/>
        </w:trPr>
        <w:tc>
          <w:tcPr>
            <w:tcW w:w="7340" w:type="dxa"/>
            <w:vAlign w:val="bottom"/>
          </w:tcPr>
          <w:p>
            <w:pPr>
              <w:ind w:left="2760"/>
              <w:spacing w:after="0"/>
              <w:rPr>
                <w:sz w:val="20"/>
                <w:szCs w:val="20"/>
                <w:color w:val="auto"/>
              </w:rPr>
            </w:pPr>
            <w:r>
              <w:rPr>
                <w:rFonts w:ascii="Times New Roman" w:cs="Times New Roman" w:eastAsia="Times New Roman" w:hAnsi="Times New Roman"/>
                <w:sz w:val="20"/>
                <w:szCs w:val="20"/>
                <w:b w:val="1"/>
                <w:bCs w:val="1"/>
                <w:color w:val="auto"/>
              </w:rPr>
              <w:t>CONSOLIDATED FINANCIAL STATEMENTS</w:t>
            </w: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4"/>
        </w:trPr>
        <w:tc>
          <w:tcPr>
            <w:tcW w:w="8360" w:type="dxa"/>
            <w:vAlign w:val="bottom"/>
            <w:gridSpan w:val="5"/>
          </w:tcPr>
          <w:p>
            <w:pPr>
              <w:ind w:left="1500"/>
              <w:spacing w:after="0"/>
              <w:rPr>
                <w:sz w:val="20"/>
                <w:szCs w:val="20"/>
                <w:color w:val="auto"/>
              </w:rPr>
            </w:pPr>
            <w:r>
              <w:rPr>
                <w:rFonts w:ascii="Times New Roman" w:cs="Times New Roman" w:eastAsia="Times New Roman" w:hAnsi="Times New Roman"/>
                <w:sz w:val="20"/>
                <w:szCs w:val="20"/>
                <w:b w:val="1"/>
                <w:bCs w:val="1"/>
                <w:color w:val="auto"/>
              </w:rPr>
              <w:t>(In thousands of U.S. dollars unless otherwise noted, except per share data)</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824"/>
        </w:trPr>
        <w:tc>
          <w:tcPr>
            <w:tcW w:w="734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Conditional advances as of December 31, 2025, mature as follows:</w:t>
            </w: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35"/>
        </w:trPr>
        <w:tc>
          <w:tcPr>
            <w:tcW w:w="7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30"/>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2026</w:t>
            </w:r>
          </w:p>
        </w:tc>
        <w:tc>
          <w:tcPr>
            <w:tcW w:w="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66</w:t>
            </w:r>
          </w:p>
        </w:tc>
      </w:tr>
      <w:tr>
        <w:trPr>
          <w:trHeight w:val="230"/>
        </w:trPr>
        <w:tc>
          <w:tcPr>
            <w:tcW w:w="7340" w:type="dxa"/>
            <w:vAlign w:val="bottom"/>
          </w:tcPr>
          <w:p>
            <w:pPr>
              <w:spacing w:after="0"/>
              <w:rPr>
                <w:sz w:val="20"/>
                <w:szCs w:val="20"/>
                <w:color w:val="auto"/>
              </w:rPr>
            </w:pPr>
            <w:r>
              <w:rPr>
                <w:rFonts w:ascii="Times New Roman" w:cs="Times New Roman" w:eastAsia="Times New Roman" w:hAnsi="Times New Roman"/>
                <w:sz w:val="20"/>
                <w:szCs w:val="20"/>
                <w:color w:val="auto"/>
              </w:rPr>
              <w:t>2027</w:t>
            </w: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30"/>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2028</w:t>
            </w:r>
          </w:p>
        </w:tc>
        <w:tc>
          <w:tcPr>
            <w:tcW w:w="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33"/>
        </w:trPr>
        <w:tc>
          <w:tcPr>
            <w:tcW w:w="7340" w:type="dxa"/>
            <w:vAlign w:val="bottom"/>
          </w:tcPr>
          <w:p>
            <w:pPr>
              <w:spacing w:after="0"/>
              <w:rPr>
                <w:sz w:val="20"/>
                <w:szCs w:val="20"/>
                <w:color w:val="auto"/>
              </w:rPr>
            </w:pPr>
            <w:r>
              <w:rPr>
                <w:rFonts w:ascii="Times New Roman" w:cs="Times New Roman" w:eastAsia="Times New Roman" w:hAnsi="Times New Roman"/>
                <w:sz w:val="20"/>
                <w:szCs w:val="20"/>
                <w:color w:val="auto"/>
              </w:rPr>
              <w:t>2029</w:t>
            </w: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30"/>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2030</w:t>
            </w:r>
          </w:p>
        </w:tc>
        <w:tc>
          <w:tcPr>
            <w:tcW w:w="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446</w:t>
            </w:r>
          </w:p>
        </w:tc>
      </w:tr>
      <w:tr>
        <w:trPr>
          <w:trHeight w:val="230"/>
        </w:trPr>
        <w:tc>
          <w:tcPr>
            <w:tcW w:w="7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20"/>
                <w:szCs w:val="20"/>
                <w:color w:val="auto"/>
              </w:rPr>
              <w:t>2031 and thereafter</w:t>
            </w:r>
          </w:p>
        </w:tc>
        <w:tc>
          <w:tcPr>
            <w:tcW w:w="20" w:type="dxa"/>
            <w:vAlign w:val="bottom"/>
            <w:tcBorders>
              <w:bottom w:val="single" w:sz="8" w:color="CCEEFF"/>
            </w:tcBorders>
          </w:tcPr>
          <w:p>
            <w:pPr>
              <w:spacing w:after="0"/>
              <w:rPr>
                <w:sz w:val="20"/>
                <w:szCs w:val="20"/>
                <w:color w:val="auto"/>
              </w:rPr>
            </w:pPr>
          </w:p>
        </w:tc>
        <w:tc>
          <w:tcPr>
            <w:tcW w:w="8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31"/>
        </w:trPr>
        <w:tc>
          <w:tcPr>
            <w:tcW w:w="7340" w:type="dxa"/>
            <w:vAlign w:val="bottom"/>
            <w:shd w:val="clear" w:color="auto" w:fill="CCEEFF"/>
          </w:tcPr>
          <w:p>
            <w:pPr>
              <w:spacing w:after="0" w:line="220" w:lineRule="exact"/>
              <w:rPr>
                <w:sz w:val="20"/>
                <w:szCs w:val="20"/>
                <w:color w:val="auto"/>
              </w:rPr>
            </w:pPr>
            <w:r>
              <w:rPr>
                <w:rFonts w:ascii="Times New Roman" w:cs="Times New Roman" w:eastAsia="Times New Roman" w:hAnsi="Times New Roman"/>
                <w:sz w:val="20"/>
                <w:szCs w:val="20"/>
                <w:color w:val="auto"/>
              </w:rPr>
              <w:t>Total</w:t>
            </w:r>
          </w:p>
        </w:tc>
        <w:tc>
          <w:tcPr>
            <w:tcW w:w="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gridSpan w:val="3"/>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512</w:t>
            </w:r>
          </w:p>
        </w:tc>
      </w:tr>
      <w:tr>
        <w:trPr>
          <w:trHeight w:val="478"/>
        </w:trPr>
        <w:tc>
          <w:tcPr>
            <w:tcW w:w="734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Changes in the provision for warranty costs are as follows:</w:t>
            </w: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18"/>
        </w:trPr>
        <w:tc>
          <w:tcPr>
            <w:tcW w:w="73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80" w:type="dxa"/>
            <w:vAlign w:val="bottom"/>
            <w:tcBorders>
              <w:bottom w:val="single" w:sz="8" w:color="auto"/>
            </w:tcBorders>
          </w:tcPr>
          <w:p>
            <w:pPr>
              <w:jc w:val="right"/>
              <w:ind w:right="187"/>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gridSpan w:val="2"/>
          </w:tcPr>
          <w:p>
            <w:pPr>
              <w:spacing w:after="0"/>
              <w:rPr>
                <w:sz w:val="24"/>
                <w:szCs w:val="24"/>
                <w:color w:val="auto"/>
              </w:rPr>
            </w:pPr>
          </w:p>
        </w:tc>
        <w:tc>
          <w:tcPr>
            <w:tcW w:w="90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0"/>
        </w:trPr>
        <w:tc>
          <w:tcPr>
            <w:tcW w:w="7340" w:type="dxa"/>
            <w:vAlign w:val="bottom"/>
            <w:shd w:val="clear" w:color="auto" w:fill="CCEEFF"/>
          </w:tcPr>
          <w:p>
            <w:pPr>
              <w:spacing w:after="0" w:line="220" w:lineRule="exact"/>
              <w:rPr>
                <w:sz w:val="20"/>
                <w:szCs w:val="20"/>
                <w:color w:val="auto"/>
              </w:rPr>
            </w:pPr>
            <w:r>
              <w:rPr>
                <w:rFonts w:ascii="Times New Roman" w:cs="Times New Roman" w:eastAsia="Times New Roman" w:hAnsi="Times New Roman"/>
                <w:sz w:val="20"/>
                <w:szCs w:val="20"/>
                <w:color w:val="auto"/>
              </w:rPr>
              <w:t>Beginning of year</w:t>
            </w:r>
          </w:p>
        </w:tc>
        <w:tc>
          <w:tcPr>
            <w:tcW w:w="900" w:type="dxa"/>
            <w:vAlign w:val="bottom"/>
            <w:gridSpan w:val="2"/>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131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190</w:t>
            </w:r>
          </w:p>
        </w:tc>
      </w:tr>
      <w:tr>
        <w:trPr>
          <w:trHeight w:val="233"/>
        </w:trPr>
        <w:tc>
          <w:tcPr>
            <w:tcW w:w="7340" w:type="dxa"/>
            <w:vAlign w:val="bottom"/>
          </w:tcPr>
          <w:p>
            <w:pPr>
              <w:spacing w:after="0"/>
              <w:rPr>
                <w:sz w:val="20"/>
                <w:szCs w:val="20"/>
                <w:color w:val="auto"/>
              </w:rPr>
            </w:pPr>
            <w:r>
              <w:rPr>
                <w:rFonts w:ascii="Times New Roman" w:cs="Times New Roman" w:eastAsia="Times New Roman" w:hAnsi="Times New Roman"/>
                <w:sz w:val="20"/>
                <w:szCs w:val="20"/>
                <w:color w:val="auto"/>
              </w:rPr>
              <w:t>Amount used during the year</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(115)</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(116)</w:t>
            </w:r>
          </w:p>
        </w:tc>
      </w:tr>
      <w:tr>
        <w:trPr>
          <w:trHeight w:val="230"/>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New warranty expenses</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182</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56</w:t>
            </w:r>
          </w:p>
        </w:tc>
      </w:tr>
      <w:tr>
        <w:trPr>
          <w:trHeight w:val="220"/>
        </w:trPr>
        <w:tc>
          <w:tcPr>
            <w:tcW w:w="7340" w:type="dxa"/>
            <w:vAlign w:val="bottom"/>
            <w:tcBorders>
              <w:bottom w:val="single" w:sz="8" w:color="CCEEFF"/>
            </w:tcBorders>
          </w:tcPr>
          <w:p>
            <w:pPr>
              <w:spacing w:after="0" w:line="220" w:lineRule="exact"/>
              <w:rPr>
                <w:sz w:val="20"/>
                <w:szCs w:val="20"/>
                <w:color w:val="auto"/>
              </w:rPr>
            </w:pPr>
            <w:r>
              <w:rPr>
                <w:rFonts w:ascii="Times New Roman" w:cs="Times New Roman" w:eastAsia="Times New Roman" w:hAnsi="Times New Roman"/>
                <w:sz w:val="20"/>
                <w:szCs w:val="20"/>
                <w:color w:val="auto"/>
              </w:rPr>
              <w:t>End of year</w:t>
            </w:r>
          </w:p>
        </w:tc>
        <w:tc>
          <w:tcPr>
            <w:tcW w:w="20" w:type="dxa"/>
            <w:vAlign w:val="bottom"/>
            <w:tcBorders>
              <w:bottom w:val="single" w:sz="8" w:color="CCEEFF"/>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198</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131</w:t>
            </w:r>
          </w:p>
        </w:tc>
      </w:tr>
      <w:tr>
        <w:trPr>
          <w:trHeight w:val="222"/>
        </w:trPr>
        <w:tc>
          <w:tcPr>
            <w:tcW w:w="7340" w:type="dxa"/>
            <w:vAlign w:val="bottom"/>
            <w:shd w:val="clear" w:color="auto" w:fill="CCEEFF"/>
          </w:tcPr>
          <w:p>
            <w:pPr>
              <w:spacing w:after="0" w:line="223" w:lineRule="exact"/>
              <w:rPr>
                <w:sz w:val="20"/>
                <w:szCs w:val="20"/>
                <w:color w:val="auto"/>
              </w:rPr>
            </w:pPr>
            <w:r>
              <w:rPr>
                <w:rFonts w:ascii="Times New Roman" w:cs="Times New Roman" w:eastAsia="Times New Roman" w:hAnsi="Times New Roman"/>
                <w:sz w:val="20"/>
                <w:szCs w:val="20"/>
                <w:color w:val="auto"/>
              </w:rPr>
              <w:t>Less current portion</w:t>
            </w:r>
          </w:p>
        </w:tc>
        <w:tc>
          <w:tcPr>
            <w:tcW w:w="900" w:type="dxa"/>
            <w:vAlign w:val="bottom"/>
            <w:gridSpan w:val="2"/>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(62)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(112)</w:t>
            </w:r>
          </w:p>
        </w:tc>
      </w:tr>
      <w:tr>
        <w:trPr>
          <w:trHeight w:val="229"/>
        </w:trPr>
        <w:tc>
          <w:tcPr>
            <w:tcW w:w="734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Long term portion</w:t>
            </w:r>
          </w:p>
        </w:tc>
        <w:tc>
          <w:tcPr>
            <w:tcW w:w="20" w:type="dxa"/>
            <w:vAlign w:val="bottom"/>
            <w:tcBorders>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136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19</w:t>
            </w:r>
          </w:p>
        </w:tc>
      </w:tr>
    </w:tbl>
    <w:p>
      <w:pPr>
        <w:spacing w:after="0" w:line="23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795655</wp:posOffset>
            </wp:positionH>
            <wp:positionV relativeFrom="page">
              <wp:posOffset>292735</wp:posOffset>
            </wp:positionV>
            <wp:extent cx="929005" cy="1149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03">
                      <a:extLst>
                        <a:ext uri="{28A0092B-C50C-407E-A947-70E740481C1C}"/>
                      </a:extLst>
                    </a:blip>
                    <a:srcRect/>
                    <a:stretch>
                      <a:fillRect/>
                    </a:stretch>
                  </pic:blipFill>
                  <pic:spPr bwMode="auto">
                    <a:xfrm>
                      <a:off x="0" y="0"/>
                      <a:ext cx="929005" cy="114935"/>
                    </a:xfrm>
                    <a:prstGeom prst="rect">
                      <a:avLst/>
                    </a:prstGeom>
                    <a:noFill/>
                  </pic:spPr>
                </pic:pic>
              </a:graphicData>
            </a:graphic>
          </wp:anchor>
        </w:drawing>
      </w:r>
    </w:p>
    <w:p>
      <w:pPr>
        <w:ind w:left="20"/>
        <w:spacing w:after="0"/>
        <w:rPr>
          <w:sz w:val="20"/>
          <w:szCs w:val="20"/>
          <w:color w:val="auto"/>
        </w:rPr>
      </w:pPr>
      <w:r>
        <w:rPr>
          <w:sz w:val="1"/>
          <w:szCs w:val="1"/>
          <w:color w:val="auto"/>
        </w:rPr>
        <w:drawing>
          <wp:inline distT="0" distB="0" distL="0" distR="0">
            <wp:extent cx="254635" cy="92710"/>
            <wp:effectExtent l="0" t="0" r="0" b="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04">
                      <a:extLst>
                        <a:ext uri="{28A0092B-C50C-407E-A947-70E740481C1C}"/>
                      </a:extLst>
                    </a:blip>
                    <a:srcRect/>
                    <a:stretch>
                      <a:fillRect/>
                    </a:stretch>
                  </pic:blipFill>
                  <pic:spPr bwMode="auto">
                    <a:xfrm>
                      <a:off x="0" y="0"/>
                      <a:ext cx="254635" cy="92710"/>
                    </a:xfrm>
                    <a:prstGeom prst="rect">
                      <a:avLst/>
                    </a:prstGeom>
                    <a:noFill/>
                    <a:ln>
                      <a:noFill/>
                    </a:ln>
                  </pic:spPr>
                </pic:pic>
              </a:graphicData>
            </a:graphic>
          </wp:inline>
        </w:drawing>
      </w:r>
      <w:r>
        <w:rPr>
          <w:rFonts w:ascii="Times New Roman" w:cs="Times New Roman" w:eastAsia="Times New Roman" w:hAnsi="Times New Roman"/>
          <w:sz w:val="20"/>
          <w:szCs w:val="20"/>
          <w:b w:val="1"/>
          <w:bCs w:val="1"/>
          <w:color w:val="auto"/>
        </w:rPr>
        <w:t xml:space="preserve"> LEASE OBLIGATIONS</w:t>
      </w:r>
    </w:p>
    <w:p>
      <w:pPr>
        <w:spacing w:after="0" w:line="204" w:lineRule="exact"/>
        <w:rPr>
          <w:sz w:val="20"/>
          <w:szCs w:val="20"/>
          <w:color w:val="auto"/>
        </w:rPr>
      </w:pPr>
    </w:p>
    <w:p>
      <w:pPr>
        <w:ind w:left="360"/>
        <w:spacing w:after="0"/>
        <w:tabs>
          <w:tab w:leader="none" w:pos="960" w:val="left"/>
        </w:tabs>
        <w:rPr>
          <w:sz w:val="20"/>
          <w:szCs w:val="20"/>
          <w:color w:val="auto"/>
        </w:rPr>
      </w:pPr>
      <w:r>
        <w:rPr>
          <w:rFonts w:ascii="Times New Roman" w:cs="Times New Roman" w:eastAsia="Times New Roman" w:hAnsi="Times New Roman"/>
          <w:sz w:val="20"/>
          <w:szCs w:val="20"/>
          <w:b w:val="1"/>
          <w:bCs w:val="1"/>
          <w:i w:val="1"/>
          <w:iCs w:val="1"/>
          <w:color w:val="auto"/>
        </w:rPr>
        <w:t>14-1</w:t>
      </w:r>
      <w:r>
        <w:rPr>
          <w:sz w:val="20"/>
          <w:szCs w:val="20"/>
          <w:color w:val="auto"/>
        </w:rPr>
        <w:tab/>
      </w:r>
      <w:r>
        <w:rPr>
          <w:rFonts w:ascii="Times New Roman" w:cs="Times New Roman" w:eastAsia="Times New Roman" w:hAnsi="Times New Roman"/>
          <w:sz w:val="19"/>
          <w:szCs w:val="19"/>
          <w:b w:val="1"/>
          <w:bCs w:val="1"/>
          <w:i w:val="1"/>
          <w:iCs w:val="1"/>
          <w:color w:val="auto"/>
        </w:rPr>
        <w:t>Financing leases</w:t>
      </w:r>
    </w:p>
    <w:p>
      <w:pPr>
        <w:spacing w:after="0" w:line="198" w:lineRule="exact"/>
        <w:rPr>
          <w:sz w:val="20"/>
          <w:szCs w:val="20"/>
          <w:color w:val="auto"/>
        </w:rPr>
      </w:pPr>
    </w:p>
    <w:p>
      <w:pPr>
        <w:ind w:firstLine="720"/>
        <w:spacing w:after="0" w:line="306" w:lineRule="auto"/>
        <w:rPr>
          <w:sz w:val="20"/>
          <w:szCs w:val="20"/>
          <w:color w:val="auto"/>
        </w:rPr>
      </w:pPr>
      <w:r>
        <w:rPr>
          <w:rFonts w:ascii="Times New Roman" w:cs="Times New Roman" w:eastAsia="Times New Roman" w:hAnsi="Times New Roman"/>
          <w:sz w:val="19"/>
          <w:szCs w:val="19"/>
          <w:color w:val="auto"/>
        </w:rPr>
        <w:t>The Company leases certain of its equipment under finance leases. At December 31, 2025, the corresponding liability associated with this lease equipment amounts to $536 thousand for vehicles and other IT equipment.</w:t>
      </w:r>
    </w:p>
    <w:p>
      <w:pPr>
        <w:spacing w:after="0" w:line="10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Maturities of finance leases liabilities for the years ended December 31, 2025 and 2024 are as follows:</w:t>
      </w:r>
    </w:p>
    <w:p>
      <w:pPr>
        <w:sectPr>
          <w:pgSz w:w="11900" w:h="16838" w:orient="portrait"/>
          <w:cols w:equalWidth="0" w:num="1">
            <w:col w:w="9380"/>
          </w:cols>
          <w:pgMar w:left="1260" w:top="838" w:right="1266" w:bottom="72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2026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-133985</wp:posOffset>
                </wp:positionV>
                <wp:extent cx="5301615" cy="145415"/>
                <wp:wrapNone/>
                <wp:docPr id="109" name="Shape 1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01615" cy="145415"/>
                        </a:xfrm>
                        <a:prstGeom prst="rect">
                          <a:avLst/>
                        </a:prstGeom>
                        <a:solidFill>
                          <a:srgbClr val="CCEEFF"/>
                        </a:solidFill>
                      </wps:spPr>
                      <wps:bodyPr/>
                    </wps:wsp>
                  </a:graphicData>
                </a:graphic>
              </wp:anchor>
            </w:drawing>
          </mc:Choice>
          <mc:Fallback>
            <w:pict>
              <v:rect id="Shape 109" o:spid="_x0000_s1134" style="position:absolute;margin-left:0.35pt;margin-top:-10.5499pt;width:417.45pt;height:11.4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CEEFF" stroked="f"/>
            </w:pict>
          </mc:Fallback>
        </mc:AlternateContent>
        <mc:AlternateContent>
          <mc:Choice Requires="wps">
            <w:drawing>
              <wp:anchor simplePos="0" relativeHeight="251657728" behindDoc="1" locked="0" layoutInCell="0" allowOverlap="1">
                <wp:simplePos x="0" y="0"/>
                <wp:positionH relativeFrom="column">
                  <wp:posOffset>4445</wp:posOffset>
                </wp:positionH>
                <wp:positionV relativeFrom="paragraph">
                  <wp:posOffset>-137160</wp:posOffset>
                </wp:positionV>
                <wp:extent cx="5301615" cy="0"/>
                <wp:wrapNone/>
                <wp:docPr id="110" name="Shape 1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01615" cy="4763"/>
                        </a:xfrm>
                        <a:prstGeom prst="line">
                          <a:avLst/>
                        </a:prstGeom>
                        <a:solidFill>
                          <a:srgbClr val="FFFFFF"/>
                        </a:solidFill>
                        <a:ln w="6096">
                          <a:solidFill>
                            <a:srgbClr val="CCEEFF"/>
                          </a:solidFill>
                          <a:miter lim="800000"/>
                          <a:headEnd/>
                          <a:tailEnd/>
                        </a:ln>
                      </wps:spPr>
                      <wps:bodyPr/>
                    </wps:wsp>
                  </a:graphicData>
                </a:graphic>
              </wp:anchor>
            </w:drawing>
          </mc:Choice>
          <mc:Fallback>
            <w:pict>
              <v:line id="Shape 110" o:spid="_x0000_s11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10.7999pt" to="417.8pt,-10.7999pt" o:allowincell="f" strokecolor="#CCEEFF" strokeweight="0.48pt"/>
            </w:pict>
          </mc:Fallback>
        </mc:AlternateContent>
      </w:r>
    </w:p>
    <w:p>
      <w:pPr>
        <w:spacing w:after="0"/>
        <w:rPr>
          <w:sz w:val="20"/>
          <w:szCs w:val="20"/>
          <w:color w:val="auto"/>
        </w:rPr>
      </w:pPr>
      <w:r>
        <w:rPr>
          <w:rFonts w:ascii="Times New Roman" w:cs="Times New Roman" w:eastAsia="Times New Roman" w:hAnsi="Times New Roman"/>
          <w:sz w:val="20"/>
          <w:szCs w:val="20"/>
          <w:color w:val="auto"/>
        </w:rPr>
        <w:t>2027</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0</wp:posOffset>
                </wp:positionV>
                <wp:extent cx="5301615" cy="147955"/>
                <wp:wrapNone/>
                <wp:docPr id="111" name="Shape 1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01615" cy="147955"/>
                        </a:xfrm>
                        <a:prstGeom prst="rect">
                          <a:avLst/>
                        </a:prstGeom>
                        <a:solidFill>
                          <a:srgbClr val="CCEEFF"/>
                        </a:solidFill>
                      </wps:spPr>
                      <wps:bodyPr/>
                    </wps:wsp>
                  </a:graphicData>
                </a:graphic>
              </wp:anchor>
            </w:drawing>
          </mc:Choice>
          <mc:Fallback>
            <w:pict>
              <v:rect id="Shape 111" o:spid="_x0000_s1136" style="position:absolute;margin-left:0.35pt;margin-top:0pt;width:417.45pt;height:11.6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CEEFF" stroked="f"/>
            </w:pict>
          </mc:Fallback>
        </mc:AlternateContent>
      </w:r>
    </w:p>
    <w:p>
      <w:pPr>
        <w:spacing w:after="0"/>
        <w:rPr>
          <w:sz w:val="20"/>
          <w:szCs w:val="20"/>
          <w:color w:val="auto"/>
        </w:rPr>
      </w:pPr>
      <w:r>
        <w:rPr>
          <w:rFonts w:ascii="Times New Roman" w:cs="Times New Roman" w:eastAsia="Times New Roman" w:hAnsi="Times New Roman"/>
          <w:sz w:val="20"/>
          <w:szCs w:val="20"/>
          <w:color w:val="auto"/>
        </w:rPr>
        <w:t>2028</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2029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0</wp:posOffset>
                </wp:positionV>
                <wp:extent cx="5301615" cy="146050"/>
                <wp:wrapNone/>
                <wp:docPr id="112" name="Shape 1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01615" cy="146050"/>
                        </a:xfrm>
                        <a:prstGeom prst="rect">
                          <a:avLst/>
                        </a:prstGeom>
                        <a:solidFill>
                          <a:srgbClr val="CCEEFF"/>
                        </a:solidFill>
                      </wps:spPr>
                      <wps:bodyPr/>
                    </wps:wsp>
                  </a:graphicData>
                </a:graphic>
              </wp:anchor>
            </w:drawing>
          </mc:Choice>
          <mc:Fallback>
            <w:pict>
              <v:rect id="Shape 112" o:spid="_x0000_s1137" style="position:absolute;margin-left:0.35pt;margin-top:0pt;width:417.45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CEEFF" stroked="f"/>
            </w:pict>
          </mc:Fallback>
        </mc:AlternateContent>
      </w:r>
    </w:p>
    <w:p>
      <w:pPr>
        <w:spacing w:after="0"/>
        <w:rPr>
          <w:sz w:val="20"/>
          <w:szCs w:val="20"/>
          <w:color w:val="auto"/>
        </w:rPr>
      </w:pPr>
      <w:r>
        <w:rPr>
          <w:rFonts w:ascii="Times New Roman" w:cs="Times New Roman" w:eastAsia="Times New Roman" w:hAnsi="Times New Roman"/>
          <w:sz w:val="20"/>
          <w:szCs w:val="20"/>
          <w:color w:val="auto"/>
        </w:rPr>
        <w:t>2030</w:t>
      </w:r>
    </w:p>
    <w:p>
      <w:pPr>
        <w:spacing w:after="0"/>
        <w:rPr>
          <w:sz w:val="20"/>
          <w:szCs w:val="20"/>
          <w:color w:val="auto"/>
        </w:rPr>
      </w:pPr>
      <w:r>
        <w:rPr>
          <w:rFonts w:ascii="Times New Roman" w:cs="Times New Roman" w:eastAsia="Times New Roman" w:hAnsi="Times New Roman"/>
          <w:sz w:val="20"/>
          <w:szCs w:val="20"/>
          <w:color w:val="auto"/>
        </w:rPr>
        <w:t>2031 and thereafter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7620</wp:posOffset>
                </wp:positionV>
                <wp:extent cx="5301615" cy="146050"/>
                <wp:wrapNone/>
                <wp:docPr id="113" name="Shape 1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01615" cy="146050"/>
                        </a:xfrm>
                        <a:prstGeom prst="rect">
                          <a:avLst/>
                        </a:prstGeom>
                        <a:solidFill>
                          <a:srgbClr val="CCEEFF"/>
                        </a:solidFill>
                      </wps:spPr>
                      <wps:bodyPr/>
                    </wps:wsp>
                  </a:graphicData>
                </a:graphic>
              </wp:anchor>
            </w:drawing>
          </mc:Choice>
          <mc:Fallback>
            <w:pict>
              <v:rect id="Shape 113" o:spid="_x0000_s1138" style="position:absolute;margin-left:0.35pt;margin-top:0.6pt;width:417.45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CEEFF" stroked="f"/>
            </w:pict>
          </mc:Fallback>
        </mc:AlternateContent>
        <mc:AlternateContent>
          <mc:Choice Requires="wps">
            <w:drawing>
              <wp:anchor simplePos="0" relativeHeight="251657728" behindDoc="1" locked="0" layoutInCell="0" allowOverlap="1">
                <wp:simplePos x="0" y="0"/>
                <wp:positionH relativeFrom="column">
                  <wp:posOffset>4445</wp:posOffset>
                </wp:positionH>
                <wp:positionV relativeFrom="paragraph">
                  <wp:posOffset>3175</wp:posOffset>
                </wp:positionV>
                <wp:extent cx="5301615" cy="0"/>
                <wp:wrapNone/>
                <wp:docPr id="114" name="Shape 1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01615" cy="4763"/>
                        </a:xfrm>
                        <a:prstGeom prst="line">
                          <a:avLst/>
                        </a:prstGeom>
                        <a:solidFill>
                          <a:srgbClr val="FFFFFF"/>
                        </a:solidFill>
                        <a:ln w="6108">
                          <a:solidFill>
                            <a:srgbClr val="CCEEFF"/>
                          </a:solidFill>
                          <a:miter lim="800000"/>
                          <a:headEnd/>
                          <a:tailEnd/>
                        </a:ln>
                      </wps:spPr>
                      <wps:bodyPr/>
                    </wps:wsp>
                  </a:graphicData>
                </a:graphic>
              </wp:anchor>
            </w:drawing>
          </mc:Choice>
          <mc:Fallback>
            <w:pict>
              <v:line id="Shape 114" o:spid="_x0000_s11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0.25pt" to="417.8pt,0.25pt" o:allowincell="f" strokecolor="#CCEEFF" strokeweight="0.4809pt"/>
            </w:pict>
          </mc:Fallback>
        </mc:AlternateContent>
      </w:r>
    </w:p>
    <w:p>
      <w:pPr>
        <w:spacing w:after="0"/>
        <w:rPr>
          <w:sz w:val="20"/>
          <w:szCs w:val="20"/>
          <w:color w:val="auto"/>
        </w:rPr>
      </w:pPr>
      <w:r>
        <w:rPr>
          <w:rFonts w:ascii="Times New Roman" w:cs="Times New Roman" w:eastAsia="Times New Roman" w:hAnsi="Times New Roman"/>
          <w:sz w:val="20"/>
          <w:szCs w:val="20"/>
          <w:color w:val="auto"/>
        </w:rPr>
        <w:t>Total undiscounted minimum lease payments</w:t>
      </w:r>
    </w:p>
    <w:p>
      <w:pPr>
        <w:spacing w:after="0"/>
        <w:rPr>
          <w:sz w:val="20"/>
          <w:szCs w:val="20"/>
          <w:color w:val="auto"/>
        </w:rPr>
      </w:pPr>
      <w:r>
        <w:rPr>
          <w:rFonts w:ascii="Times New Roman" w:cs="Times New Roman" w:eastAsia="Times New Roman" w:hAnsi="Times New Roman"/>
          <w:sz w:val="20"/>
          <w:szCs w:val="20"/>
          <w:color w:val="auto"/>
        </w:rPr>
        <w:t>Less: amount representing interest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6350</wp:posOffset>
                </wp:positionV>
                <wp:extent cx="5131435" cy="147320"/>
                <wp:wrapNone/>
                <wp:docPr id="115" name="Shape 1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131435" cy="147320"/>
                        </a:xfrm>
                        <a:prstGeom prst="rect">
                          <a:avLst/>
                        </a:prstGeom>
                        <a:solidFill>
                          <a:srgbClr val="CCEEFF"/>
                        </a:solidFill>
                      </wps:spPr>
                      <wps:bodyPr/>
                    </wps:wsp>
                  </a:graphicData>
                </a:graphic>
              </wp:anchor>
            </w:drawing>
          </mc:Choice>
          <mc:Fallback>
            <w:pict>
              <v:rect id="Shape 115" o:spid="_x0000_s1140" style="position:absolute;margin-left:0.35pt;margin-top:0.5pt;width:404.05pt;height:11.6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CEEFF" stroked="f"/>
            </w:pict>
          </mc:Fallback>
        </mc:AlternateContent>
        <mc:AlternateContent>
          <mc:Choice Requires="wps">
            <w:drawing>
              <wp:anchor simplePos="0" relativeHeight="251657728" behindDoc="1" locked="0" layoutInCell="0" allowOverlap="1">
                <wp:simplePos x="0" y="0"/>
                <wp:positionH relativeFrom="column">
                  <wp:posOffset>5135880</wp:posOffset>
                </wp:positionH>
                <wp:positionV relativeFrom="paragraph">
                  <wp:posOffset>6350</wp:posOffset>
                </wp:positionV>
                <wp:extent cx="170180" cy="147320"/>
                <wp:wrapNone/>
                <wp:docPr id="116" name="Shape 1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0180" cy="147320"/>
                        </a:xfrm>
                        <a:prstGeom prst="rect">
                          <a:avLst/>
                        </a:prstGeom>
                        <a:solidFill>
                          <a:srgbClr val="CCEEFF"/>
                        </a:solidFill>
                      </wps:spPr>
                      <wps:bodyPr/>
                    </wps:wsp>
                  </a:graphicData>
                </a:graphic>
              </wp:anchor>
            </w:drawing>
          </mc:Choice>
          <mc:Fallback>
            <w:pict>
              <v:rect id="Shape 116" o:spid="_x0000_s1141" style="position:absolute;margin-left:404.4pt;margin-top:0.5pt;width:13.4pt;height:11.6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CEEFF" stroked="f"/>
            </w:pict>
          </mc:Fallback>
        </mc:AlternateContent>
        <mc:AlternateContent>
          <mc:Choice Requires="wps">
            <w:drawing>
              <wp:anchor simplePos="0" relativeHeight="251657728" behindDoc="1" locked="0" layoutInCell="0" allowOverlap="1">
                <wp:simplePos x="0" y="0"/>
                <wp:positionH relativeFrom="column">
                  <wp:posOffset>5135880</wp:posOffset>
                </wp:positionH>
                <wp:positionV relativeFrom="paragraph">
                  <wp:posOffset>6350</wp:posOffset>
                </wp:positionV>
                <wp:extent cx="170180" cy="147320"/>
                <wp:wrapNone/>
                <wp:docPr id="117" name="Shape 1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0180" cy="147320"/>
                        </a:xfrm>
                        <a:prstGeom prst="rect">
                          <a:avLst/>
                        </a:prstGeom>
                        <a:solidFill>
                          <a:srgbClr val="CCEEFF"/>
                        </a:solidFill>
                      </wps:spPr>
                      <wps:bodyPr/>
                    </wps:wsp>
                  </a:graphicData>
                </a:graphic>
              </wp:anchor>
            </w:drawing>
          </mc:Choice>
          <mc:Fallback>
            <w:pict>
              <v:rect id="Shape 117" o:spid="_x0000_s1142" style="position:absolute;margin-left:404.4pt;margin-top:0.5pt;width:13.4pt;height:11.6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CEEFF" stroked="f"/>
            </w:pict>
          </mc:Fallback>
        </mc:AlternateContent>
        <mc:AlternateContent>
          <mc:Choice Requires="wps">
            <w:drawing>
              <wp:anchor simplePos="0" relativeHeight="251657728" behindDoc="1" locked="0" layoutInCell="0" allowOverlap="1">
                <wp:simplePos x="0" y="0"/>
                <wp:positionH relativeFrom="column">
                  <wp:posOffset>5306060</wp:posOffset>
                </wp:positionH>
                <wp:positionV relativeFrom="paragraph">
                  <wp:posOffset>6350</wp:posOffset>
                </wp:positionV>
                <wp:extent cx="649605" cy="147320"/>
                <wp:wrapNone/>
                <wp:docPr id="118" name="Shape 1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9605" cy="147320"/>
                        </a:xfrm>
                        <a:prstGeom prst="rect">
                          <a:avLst/>
                        </a:prstGeom>
                        <a:solidFill>
                          <a:srgbClr val="CCEEFF"/>
                        </a:solidFill>
                      </wps:spPr>
                      <wps:bodyPr/>
                    </wps:wsp>
                  </a:graphicData>
                </a:graphic>
              </wp:anchor>
            </w:drawing>
          </mc:Choice>
          <mc:Fallback>
            <w:pict>
              <v:rect id="Shape 118" o:spid="_x0000_s1143" style="position:absolute;margin-left:417.8pt;margin-top:0.5pt;width:51.15pt;height:11.6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CEEFF" stroked="f"/>
            </w:pict>
          </mc:Fallback>
        </mc:AlternateContent>
        <mc:AlternateContent>
          <mc:Choice Requires="wps">
            <w:drawing>
              <wp:anchor simplePos="0" relativeHeight="251657728" behindDoc="1" locked="0" layoutInCell="0" allowOverlap="1">
                <wp:simplePos x="0" y="0"/>
                <wp:positionH relativeFrom="column">
                  <wp:posOffset>4445</wp:posOffset>
                </wp:positionH>
                <wp:positionV relativeFrom="paragraph">
                  <wp:posOffset>3175</wp:posOffset>
                </wp:positionV>
                <wp:extent cx="5301615" cy="0"/>
                <wp:wrapNone/>
                <wp:docPr id="119" name="Shape 1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01615" cy="4763"/>
                        </a:xfrm>
                        <a:prstGeom prst="line">
                          <a:avLst/>
                        </a:prstGeom>
                        <a:solidFill>
                          <a:srgbClr val="FFFFFF"/>
                        </a:solidFill>
                        <a:ln w="6096">
                          <a:solidFill>
                            <a:srgbClr val="CCEEFF"/>
                          </a:solidFill>
                          <a:miter lim="800000"/>
                          <a:headEnd/>
                          <a:tailEnd/>
                        </a:ln>
                      </wps:spPr>
                      <wps:bodyPr/>
                    </wps:wsp>
                  </a:graphicData>
                </a:graphic>
              </wp:anchor>
            </w:drawing>
          </mc:Choice>
          <mc:Fallback>
            <w:pict>
              <v:line id="Shape 119" o:spid="_x0000_s11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0.25pt" to="417.8pt,0.25pt" o:allowincell="f" strokecolor="#CCEEFF" strokeweight="0.48pt"/>
            </w:pict>
          </mc:Fallback>
        </mc:AlternateContent>
        <mc:AlternateContent>
          <mc:Choice Requires="wps">
            <w:drawing>
              <wp:anchor simplePos="0" relativeHeight="251657728" behindDoc="1" locked="0" layoutInCell="0" allowOverlap="1">
                <wp:simplePos x="0" y="0"/>
                <wp:positionH relativeFrom="column">
                  <wp:posOffset>5306060</wp:posOffset>
                </wp:positionH>
                <wp:positionV relativeFrom="paragraph">
                  <wp:posOffset>3175</wp:posOffset>
                </wp:positionV>
                <wp:extent cx="649605" cy="0"/>
                <wp:wrapNone/>
                <wp:docPr id="120" name="Shape 1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9605"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20" o:spid="_x0000_s11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7.8pt,0.25pt" to="468.95pt,0.25pt" o:allowincell="f" strokecolor="#000000" strokeweight="0.48pt"/>
            </w:pict>
          </mc:Fallback>
        </mc:AlternateContent>
      </w:r>
    </w:p>
    <w:p>
      <w:pPr>
        <w:spacing w:after="0"/>
        <w:rPr>
          <w:sz w:val="20"/>
          <w:szCs w:val="20"/>
          <w:color w:val="auto"/>
        </w:rPr>
      </w:pPr>
      <w:r>
        <w:rPr>
          <w:rFonts w:ascii="Times New Roman" w:cs="Times New Roman" w:eastAsia="Times New Roman" w:hAnsi="Times New Roman"/>
          <w:sz w:val="20"/>
          <w:szCs w:val="20"/>
          <w:color w:val="auto"/>
        </w:rPr>
        <w:t>Present value of minimum lease payments</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Less: current portion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6350</wp:posOffset>
                </wp:positionV>
                <wp:extent cx="5301615" cy="146050"/>
                <wp:wrapNone/>
                <wp:docPr id="121" name="Shape 1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01615" cy="146050"/>
                        </a:xfrm>
                        <a:prstGeom prst="rect">
                          <a:avLst/>
                        </a:prstGeom>
                        <a:solidFill>
                          <a:srgbClr val="CCEEFF"/>
                        </a:solidFill>
                      </wps:spPr>
                      <wps:bodyPr/>
                    </wps:wsp>
                  </a:graphicData>
                </a:graphic>
              </wp:anchor>
            </w:drawing>
          </mc:Choice>
          <mc:Fallback>
            <w:pict>
              <v:rect id="Shape 121" o:spid="_x0000_s1146" style="position:absolute;margin-left:0.35pt;margin-top:0.5pt;width:417.45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CEEFF" stroked="f"/>
            </w:pict>
          </mc:Fallback>
        </mc:AlternateContent>
        <mc:AlternateContent>
          <mc:Choice Requires="wps">
            <w:drawing>
              <wp:anchor simplePos="0" relativeHeight="251657728" behindDoc="1" locked="0" layoutInCell="0" allowOverlap="1">
                <wp:simplePos x="0" y="0"/>
                <wp:positionH relativeFrom="column">
                  <wp:posOffset>4445</wp:posOffset>
                </wp:positionH>
                <wp:positionV relativeFrom="paragraph">
                  <wp:posOffset>3175</wp:posOffset>
                </wp:positionV>
                <wp:extent cx="5301615" cy="0"/>
                <wp:wrapNone/>
                <wp:docPr id="122" name="Shape 1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01615" cy="4763"/>
                        </a:xfrm>
                        <a:prstGeom prst="line">
                          <a:avLst/>
                        </a:prstGeom>
                        <a:solidFill>
                          <a:srgbClr val="FFFFFF"/>
                        </a:solidFill>
                        <a:ln w="6095">
                          <a:solidFill>
                            <a:srgbClr val="CCEEFF"/>
                          </a:solidFill>
                          <a:miter lim="800000"/>
                          <a:headEnd/>
                          <a:tailEnd/>
                        </a:ln>
                      </wps:spPr>
                      <wps:bodyPr/>
                    </wps:wsp>
                  </a:graphicData>
                </a:graphic>
              </wp:anchor>
            </w:drawing>
          </mc:Choice>
          <mc:Fallback>
            <w:pict>
              <v:line id="Shape 122" o:spid="_x0000_s11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0.25pt" to="417.8pt,0.25pt" o:allowincell="f" strokecolor="#CCEEFF" strokeweight="0.4799pt"/>
            </w:pict>
          </mc:Fallback>
        </mc:AlternateContent>
      </w:r>
    </w:p>
    <w:p>
      <w:pPr>
        <w:spacing w:after="0"/>
        <w:rPr>
          <w:sz w:val="20"/>
          <w:szCs w:val="20"/>
          <w:color w:val="auto"/>
        </w:rPr>
      </w:pPr>
      <w:r>
        <w:rPr>
          <w:rFonts w:ascii="Times New Roman" w:cs="Times New Roman" w:eastAsia="Times New Roman" w:hAnsi="Times New Roman"/>
          <w:sz w:val="20"/>
          <w:szCs w:val="20"/>
          <w:color w:val="auto"/>
        </w:rPr>
        <w:t>Long-term portion</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color w:val="auto"/>
        </w:rPr>
        <w:t>2025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-14605</wp:posOffset>
                </wp:positionH>
                <wp:positionV relativeFrom="paragraph">
                  <wp:posOffset>6350</wp:posOffset>
                </wp:positionV>
                <wp:extent cx="648970" cy="146050"/>
                <wp:wrapNone/>
                <wp:docPr id="123" name="Shape 1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8970" cy="146050"/>
                        </a:xfrm>
                        <a:prstGeom prst="rect">
                          <a:avLst/>
                        </a:prstGeom>
                        <a:solidFill>
                          <a:srgbClr val="CCEEFF"/>
                        </a:solidFill>
                      </wps:spPr>
                      <wps:bodyPr/>
                    </wps:wsp>
                  </a:graphicData>
                </a:graphic>
              </wp:anchor>
            </w:drawing>
          </mc:Choice>
          <mc:Fallback>
            <w:pict>
              <v:rect id="Shape 123" o:spid="_x0000_s1148" style="position:absolute;margin-left:-1.1499pt;margin-top:0.5pt;width:51.1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CEEFF" stroked="f"/>
            </w:pict>
          </mc:Fallback>
        </mc:AlternateContent>
        <mc:AlternateContent>
          <mc:Choice Requires="wps">
            <w:drawing>
              <wp:anchor simplePos="0" relativeHeight="251657728" behindDoc="1" locked="0" layoutInCell="0" allowOverlap="1">
                <wp:simplePos x="0" y="0"/>
                <wp:positionH relativeFrom="column">
                  <wp:posOffset>-14605</wp:posOffset>
                </wp:positionH>
                <wp:positionV relativeFrom="paragraph">
                  <wp:posOffset>3175</wp:posOffset>
                </wp:positionV>
                <wp:extent cx="648970" cy="0"/>
                <wp:wrapNone/>
                <wp:docPr id="124" name="Shape 1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897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24" o:spid="_x0000_s11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499pt,0.25pt" to="49.95pt,0.25pt" o:allowincell="f" strokecolor="#000000" strokeweight="0.48pt"/>
            </w:pict>
          </mc:Fallback>
        </mc:AlternateContent>
      </w:r>
    </w:p>
    <w:p>
      <w:pPr>
        <w:jc w:val="right"/>
        <w:ind w:right="60"/>
        <w:spacing w:after="0"/>
        <w:rPr>
          <w:sz w:val="20"/>
          <w:szCs w:val="20"/>
          <w:color w:val="auto"/>
        </w:rPr>
      </w:pPr>
      <w:r>
        <w:rPr>
          <w:rFonts w:ascii="Times New Roman" w:cs="Times New Roman" w:eastAsia="Times New Roman" w:hAnsi="Times New Roman"/>
          <w:sz w:val="20"/>
          <w:szCs w:val="20"/>
          <w:color w:val="auto"/>
        </w:rPr>
        <w:t>201</w:t>
      </w:r>
    </w:p>
    <w:p>
      <w:pPr>
        <w:jc w:val="right"/>
        <w:ind w:right="60"/>
        <w:spacing w:after="0"/>
        <w:rPr>
          <w:sz w:val="20"/>
          <w:szCs w:val="20"/>
          <w:color w:val="auto"/>
        </w:rPr>
      </w:pPr>
      <w:r>
        <w:rPr>
          <w:rFonts w:ascii="Times New Roman" w:cs="Times New Roman" w:eastAsia="Times New Roman" w:hAnsi="Times New Roman"/>
          <w:sz w:val="20"/>
          <w:szCs w:val="20"/>
          <w:color w:val="auto"/>
        </w:rPr>
        <w:t>158</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-14605</wp:posOffset>
                </wp:positionH>
                <wp:positionV relativeFrom="paragraph">
                  <wp:posOffset>0</wp:posOffset>
                </wp:positionV>
                <wp:extent cx="648970" cy="147955"/>
                <wp:wrapNone/>
                <wp:docPr id="125" name="Shape 1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8970" cy="147955"/>
                        </a:xfrm>
                        <a:prstGeom prst="rect">
                          <a:avLst/>
                        </a:prstGeom>
                        <a:solidFill>
                          <a:srgbClr val="CCEEFF"/>
                        </a:solidFill>
                      </wps:spPr>
                      <wps:bodyPr/>
                    </wps:wsp>
                  </a:graphicData>
                </a:graphic>
              </wp:anchor>
            </w:drawing>
          </mc:Choice>
          <mc:Fallback>
            <w:pict>
              <v:rect id="Shape 125" o:spid="_x0000_s1150" style="position:absolute;margin-left:-1.1499pt;margin-top:0pt;width:51.1pt;height:11.6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CEEFF" stroked="f"/>
            </w:pict>
          </mc:Fallback>
        </mc:AlternateContent>
      </w:r>
    </w:p>
    <w:p>
      <w:pPr>
        <w:jc w:val="right"/>
        <w:ind w:right="60"/>
        <w:spacing w:after="0"/>
        <w:rPr>
          <w:sz w:val="20"/>
          <w:szCs w:val="20"/>
          <w:color w:val="auto"/>
        </w:rPr>
      </w:pPr>
      <w:r>
        <w:rPr>
          <w:rFonts w:ascii="Times New Roman" w:cs="Times New Roman" w:eastAsia="Times New Roman" w:hAnsi="Times New Roman"/>
          <w:sz w:val="20"/>
          <w:szCs w:val="20"/>
          <w:color w:val="auto"/>
        </w:rPr>
        <w:t>122</w:t>
      </w:r>
    </w:p>
    <w:p>
      <w:pPr>
        <w:spacing w:after="0" w:line="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20"/>
          <w:szCs w:val="20"/>
          <w:color w:val="auto"/>
        </w:rPr>
        <w:t>50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-14605</wp:posOffset>
                </wp:positionH>
                <wp:positionV relativeFrom="paragraph">
                  <wp:posOffset>0</wp:posOffset>
                </wp:positionV>
                <wp:extent cx="648970" cy="146050"/>
                <wp:wrapNone/>
                <wp:docPr id="126" name="Shape 1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8970" cy="146050"/>
                        </a:xfrm>
                        <a:prstGeom prst="rect">
                          <a:avLst/>
                        </a:prstGeom>
                        <a:solidFill>
                          <a:srgbClr val="CCEEFF"/>
                        </a:solidFill>
                      </wps:spPr>
                      <wps:bodyPr/>
                    </wps:wsp>
                  </a:graphicData>
                </a:graphic>
              </wp:anchor>
            </w:drawing>
          </mc:Choice>
          <mc:Fallback>
            <w:pict>
              <v:rect id="Shape 126" o:spid="_x0000_s1151" style="position:absolute;margin-left:-1.1499pt;margin-top:0pt;width:51.1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CEEFF" stroked="f"/>
            </w:pict>
          </mc:Fallback>
        </mc:AlternateContent>
      </w:r>
    </w:p>
    <w:p>
      <w:pPr>
        <w:jc w:val="right"/>
        <w:ind w:right="60"/>
        <w:spacing w:after="0"/>
        <w:rPr>
          <w:sz w:val="20"/>
          <w:szCs w:val="20"/>
          <w:color w:val="auto"/>
        </w:rPr>
      </w:pPr>
      <w:r>
        <w:rPr>
          <w:rFonts w:ascii="Times New Roman" w:cs="Times New Roman" w:eastAsia="Times New Roman" w:hAnsi="Times New Roman"/>
          <w:sz w:val="20"/>
          <w:szCs w:val="20"/>
          <w:color w:val="auto"/>
        </w:rPr>
        <w:t>23</w:t>
      </w:r>
    </w:p>
    <w:p>
      <w:pPr>
        <w:jc w:val="right"/>
        <w:ind w:right="60"/>
        <w:spacing w:after="0"/>
        <w:rPr>
          <w:sz w:val="20"/>
          <w:szCs w:val="20"/>
          <w:color w:val="auto"/>
        </w:rPr>
      </w:pPr>
      <w:r>
        <w:rPr>
          <w:rFonts w:ascii="Times New Roman" w:cs="Times New Roman" w:eastAsia="Times New Roman" w:hAnsi="Times New Roman"/>
          <w:sz w:val="20"/>
          <w:szCs w:val="20"/>
          <w:color w:val="auto"/>
        </w:rPr>
        <w:t>11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-14605</wp:posOffset>
                </wp:positionH>
                <wp:positionV relativeFrom="paragraph">
                  <wp:posOffset>7620</wp:posOffset>
                </wp:positionV>
                <wp:extent cx="648970" cy="146050"/>
                <wp:wrapNone/>
                <wp:docPr id="127" name="Shape 1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8970" cy="146050"/>
                        </a:xfrm>
                        <a:prstGeom prst="rect">
                          <a:avLst/>
                        </a:prstGeom>
                        <a:solidFill>
                          <a:srgbClr val="CCEEFF"/>
                        </a:solidFill>
                      </wps:spPr>
                      <wps:bodyPr/>
                    </wps:wsp>
                  </a:graphicData>
                </a:graphic>
              </wp:anchor>
            </w:drawing>
          </mc:Choice>
          <mc:Fallback>
            <w:pict>
              <v:rect id="Shape 127" o:spid="_x0000_s1152" style="position:absolute;margin-left:-1.1499pt;margin-top:0.6pt;width:51.1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CEEFF" stroked="f"/>
            </w:pict>
          </mc:Fallback>
        </mc:AlternateContent>
        <mc:AlternateContent>
          <mc:Choice Requires="wps">
            <w:drawing>
              <wp:anchor simplePos="0" relativeHeight="251657728" behindDoc="1" locked="0" layoutInCell="0" allowOverlap="1">
                <wp:simplePos x="0" y="0"/>
                <wp:positionH relativeFrom="column">
                  <wp:posOffset>-14605</wp:posOffset>
                </wp:positionH>
                <wp:positionV relativeFrom="paragraph">
                  <wp:posOffset>3175</wp:posOffset>
                </wp:positionV>
                <wp:extent cx="648970" cy="0"/>
                <wp:wrapNone/>
                <wp:docPr id="128" name="Shape 1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8970" cy="4763"/>
                        </a:xfrm>
                        <a:prstGeom prst="line">
                          <a:avLst/>
                        </a:prstGeom>
                        <a:solidFill>
                          <a:srgbClr val="FFFFFF"/>
                        </a:solidFill>
                        <a:ln w="6108">
                          <a:solidFill>
                            <a:srgbClr val="000000"/>
                          </a:solidFill>
                          <a:miter lim="800000"/>
                          <a:headEnd/>
                          <a:tailEnd/>
                        </a:ln>
                      </wps:spPr>
                      <wps:bodyPr/>
                    </wps:wsp>
                  </a:graphicData>
                </a:graphic>
              </wp:anchor>
            </w:drawing>
          </mc:Choice>
          <mc:Fallback>
            <w:pict>
              <v:line id="Shape 128" o:spid="_x0000_s11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499pt,0.25pt" to="49.95pt,0.25pt" o:allowincell="f" strokecolor="#000000" strokeweight="0.4809pt"/>
            </w:pict>
          </mc:Fallback>
        </mc:AlternateContent>
      </w:r>
    </w:p>
    <w:p>
      <w:pPr>
        <w:jc w:val="right"/>
        <w:ind w:right="60"/>
        <w:spacing w:after="0"/>
        <w:rPr>
          <w:sz w:val="20"/>
          <w:szCs w:val="20"/>
          <w:color w:val="auto"/>
        </w:rPr>
      </w:pPr>
      <w:r>
        <w:rPr>
          <w:rFonts w:ascii="Times New Roman" w:cs="Times New Roman" w:eastAsia="Times New Roman" w:hAnsi="Times New Roman"/>
          <w:sz w:val="20"/>
          <w:szCs w:val="20"/>
          <w:color w:val="auto"/>
        </w:rPr>
        <w:t>564</w:t>
      </w:r>
    </w:p>
    <w:p>
      <w:pPr>
        <w:jc w:val="right"/>
        <w:spacing w:after="0"/>
        <w:rPr>
          <w:sz w:val="20"/>
          <w:szCs w:val="20"/>
          <w:color w:val="auto"/>
        </w:rPr>
      </w:pPr>
      <w:r>
        <w:rPr>
          <w:rFonts w:ascii="Times New Roman" w:cs="Times New Roman" w:eastAsia="Times New Roman" w:hAnsi="Times New Roman"/>
          <w:sz w:val="20"/>
          <w:szCs w:val="20"/>
          <w:color w:val="auto"/>
        </w:rPr>
        <w:t>(28)</w:t>
      </w:r>
    </w:p>
    <w:p>
      <w:pPr>
        <w:spacing w:after="0" w:line="10"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20"/>
          <w:szCs w:val="20"/>
          <w:color w:val="auto"/>
        </w:rPr>
        <w:t>536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-14605</wp:posOffset>
                </wp:positionH>
                <wp:positionV relativeFrom="paragraph">
                  <wp:posOffset>4445</wp:posOffset>
                </wp:positionV>
                <wp:extent cx="648970" cy="0"/>
                <wp:wrapNone/>
                <wp:docPr id="129" name="Shape 1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897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29" o:spid="_x0000_s11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499pt,0.35pt" to="49.95pt,0.35pt" o:allowincell="f" strokecolor="#000000" strokeweight="0.4799pt"/>
            </w:pict>
          </mc:Fallback>
        </mc:AlternateContent>
      </w:r>
    </w:p>
    <w:p>
      <w:pPr>
        <w:jc w:val="right"/>
        <w:spacing w:after="0"/>
        <w:rPr>
          <w:sz w:val="20"/>
          <w:szCs w:val="20"/>
          <w:color w:val="auto"/>
        </w:rPr>
      </w:pPr>
      <w:r>
        <w:rPr>
          <w:rFonts w:ascii="Times New Roman" w:cs="Times New Roman" w:eastAsia="Times New Roman" w:hAnsi="Times New Roman"/>
          <w:sz w:val="20"/>
          <w:szCs w:val="20"/>
          <w:color w:val="auto"/>
        </w:rPr>
        <w:t>(182)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-14605</wp:posOffset>
                </wp:positionH>
                <wp:positionV relativeFrom="paragraph">
                  <wp:posOffset>6350</wp:posOffset>
                </wp:positionV>
                <wp:extent cx="648970" cy="146050"/>
                <wp:wrapNone/>
                <wp:docPr id="130" name="Shape 1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8970" cy="146050"/>
                        </a:xfrm>
                        <a:prstGeom prst="rect">
                          <a:avLst/>
                        </a:prstGeom>
                        <a:solidFill>
                          <a:srgbClr val="CCEEFF"/>
                        </a:solidFill>
                      </wps:spPr>
                      <wps:bodyPr/>
                    </wps:wsp>
                  </a:graphicData>
                </a:graphic>
              </wp:anchor>
            </w:drawing>
          </mc:Choice>
          <mc:Fallback>
            <w:pict>
              <v:rect id="Shape 130" o:spid="_x0000_s1155" style="position:absolute;margin-left:-1.1499pt;margin-top:0.5pt;width:51.1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CEEFF" stroked="f"/>
            </w:pict>
          </mc:Fallback>
        </mc:AlternateContent>
        <mc:AlternateContent>
          <mc:Choice Requires="wps">
            <w:drawing>
              <wp:anchor simplePos="0" relativeHeight="251657728" behindDoc="1" locked="0" layoutInCell="0" allowOverlap="1">
                <wp:simplePos x="0" y="0"/>
                <wp:positionH relativeFrom="column">
                  <wp:posOffset>-14605</wp:posOffset>
                </wp:positionH>
                <wp:positionV relativeFrom="paragraph">
                  <wp:posOffset>3175</wp:posOffset>
                </wp:positionV>
                <wp:extent cx="648970" cy="0"/>
                <wp:wrapNone/>
                <wp:docPr id="131" name="Shape 1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897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31" o:spid="_x0000_s11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499pt,0.25pt" to="49.95pt,0.25pt" o:allowincell="f" strokecolor="#000000" strokeweight="0.4799pt"/>
            </w:pict>
          </mc:Fallback>
        </mc:AlternateContent>
      </w:r>
    </w:p>
    <w:p>
      <w:pPr>
        <w:jc w:val="right"/>
        <w:ind w:right="60"/>
        <w:spacing w:after="0"/>
        <w:rPr>
          <w:sz w:val="20"/>
          <w:szCs w:val="20"/>
          <w:color w:val="auto"/>
        </w:rPr>
      </w:pPr>
      <w:r>
        <w:rPr>
          <w:rFonts w:ascii="Times New Roman" w:cs="Times New Roman" w:eastAsia="Times New Roman" w:hAnsi="Times New Roman"/>
          <w:sz w:val="20"/>
          <w:szCs w:val="20"/>
          <w:color w:val="auto"/>
        </w:rPr>
        <w:t>355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-23495</wp:posOffset>
                </wp:positionH>
                <wp:positionV relativeFrom="paragraph">
                  <wp:posOffset>16510</wp:posOffset>
                </wp:positionV>
                <wp:extent cx="657860" cy="0"/>
                <wp:wrapNone/>
                <wp:docPr id="132" name="Shape 1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7860" cy="4763"/>
                        </a:xfrm>
                        <a:prstGeom prst="line">
                          <a:avLst/>
                        </a:prstGeom>
                        <a:solidFill>
                          <a:srgbClr val="FFFFFF"/>
                        </a:solidFill>
                        <a:ln w="6108">
                          <a:solidFill>
                            <a:srgbClr val="000000"/>
                          </a:solidFill>
                          <a:miter lim="800000"/>
                          <a:headEnd/>
                          <a:tailEnd/>
                        </a:ln>
                      </wps:spPr>
                      <wps:bodyPr/>
                    </wps:wsp>
                  </a:graphicData>
                </a:graphic>
              </wp:anchor>
            </w:drawing>
          </mc:Choice>
          <mc:Fallback>
            <w:pict>
              <v:line id="Shape 132" o:spid="_x0000_s11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499pt,1.3pt" to="49.95pt,1.3pt" o:allowincell="f" strokecolor="#000000" strokeweight="0.4809pt"/>
            </w:pict>
          </mc:Fallback>
        </mc:AlternateContent>
        <mc:AlternateContent>
          <mc:Choice Requires="wps">
            <w:drawing>
              <wp:anchor simplePos="0" relativeHeight="251657728" behindDoc="1" locked="0" layoutInCell="0" allowOverlap="1">
                <wp:simplePos x="0" y="0"/>
                <wp:positionH relativeFrom="column">
                  <wp:posOffset>-23495</wp:posOffset>
                </wp:positionH>
                <wp:positionV relativeFrom="paragraph">
                  <wp:posOffset>4445</wp:posOffset>
                </wp:positionV>
                <wp:extent cx="657860" cy="0"/>
                <wp:wrapNone/>
                <wp:docPr id="133" name="Shape 1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786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33" o:spid="_x0000_s11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499pt,0.35pt" to="49.95pt,0.35pt" o:allowincell="f" strokecolor="#000000" strokeweight="0.4799pt"/>
            </w:pict>
          </mc:Fallback>
        </mc:AlternateContent>
      </w:r>
    </w:p>
    <w:p>
      <w:pPr>
        <w:spacing w:after="0" w:line="200" w:lineRule="exact"/>
        <w:rPr>
          <w:sz w:val="20"/>
          <w:szCs w:val="20"/>
          <w:color w:val="auto"/>
        </w:rPr>
      </w:pPr>
    </w:p>
    <w:p>
      <w:pPr>
        <w:sectPr>
          <w:pgSz w:w="11900" w:h="16838" w:orient="portrait"/>
          <w:cols w:equalWidth="0" w:num="2">
            <w:col w:w="7660" w:space="720"/>
            <w:col w:w="1000"/>
          </w:cols>
          <w:pgMar w:left="1260" w:top="838" w:right="1266" w:bottom="723"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F-27</w:t>
      </w:r>
    </w:p>
    <w:p>
      <w:pPr>
        <w:sectPr>
          <w:pgSz w:w="11900" w:h="16838" w:orient="portrait"/>
          <w:cols w:equalWidth="0" w:num="1">
            <w:col w:w="9380"/>
          </w:cols>
          <w:pgMar w:left="1260" w:top="838" w:right="1266" w:bottom="723" w:gutter="0" w:footer="0" w:header="0"/>
          <w:type w:val="continuous"/>
        </w:sectPr>
      </w:pPr>
    </w:p>
    <w:bookmarkStart w:id="82" w:name="page83"/>
    <w:bookmarkEnd w:id="82"/>
    <w:p>
      <w:pPr>
        <w:ind w:left="3180"/>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795655</wp:posOffset>
            </wp:positionH>
            <wp:positionV relativeFrom="page">
              <wp:posOffset>292735</wp:posOffset>
            </wp:positionV>
            <wp:extent cx="929005" cy="1149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05">
                      <a:extLst>
                        <a:ext uri="{28A0092B-C50C-407E-A947-70E740481C1C}"/>
                      </a:extLst>
                    </a:blip>
                    <a:srcRect/>
                    <a:stretch>
                      <a:fillRect/>
                    </a:stretch>
                  </pic:blipFill>
                  <pic:spPr bwMode="auto">
                    <a:xfrm>
                      <a:off x="0" y="0"/>
                      <a:ext cx="929005" cy="114935"/>
                    </a:xfrm>
                    <a:prstGeom prst="rect">
                      <a:avLst/>
                    </a:prstGeom>
                    <a:noFill/>
                  </pic:spPr>
                </pic:pic>
              </a:graphicData>
            </a:graphic>
          </wp:anchor>
        </w:drawing>
        <w:t>EDAP TMS S.A. AND SUBSIDIARIES</w:t>
      </w:r>
    </w:p>
    <w:p>
      <w:pPr>
        <w:ind w:left="2760"/>
        <w:spacing w:after="0"/>
        <w:rPr>
          <w:sz w:val="20"/>
          <w:szCs w:val="20"/>
          <w:color w:val="auto"/>
        </w:rPr>
      </w:pPr>
      <w:r>
        <w:rPr>
          <w:rFonts w:ascii="Times New Roman" w:cs="Times New Roman" w:eastAsia="Times New Roman" w:hAnsi="Times New Roman"/>
          <w:sz w:val="20"/>
          <w:szCs w:val="20"/>
          <w:b w:val="1"/>
          <w:bCs w:val="1"/>
          <w:color w:val="auto"/>
        </w:rPr>
        <w:t>CONSOLIDATED FINANCIAL STATEMENTS</w:t>
      </w:r>
    </w:p>
    <w:p>
      <w:pPr>
        <w:ind w:left="1500"/>
        <w:spacing w:after="0"/>
        <w:rPr>
          <w:sz w:val="20"/>
          <w:szCs w:val="20"/>
          <w:color w:val="auto"/>
        </w:rPr>
      </w:pPr>
      <w:r>
        <w:rPr>
          <w:rFonts w:ascii="Times New Roman" w:cs="Times New Roman" w:eastAsia="Times New Roman" w:hAnsi="Times New Roman"/>
          <w:sz w:val="19"/>
          <w:szCs w:val="19"/>
          <w:b w:val="1"/>
          <w:bCs w:val="1"/>
          <w:color w:val="auto"/>
        </w:rPr>
        <w:t>(In thousands of U.S. dollars unless otherwise noted, except per share data)</w:t>
      </w:r>
    </w:p>
    <w:p>
      <w:pPr>
        <w:sectPr>
          <w:pgSz w:w="11900" w:h="16838" w:orient="portrait"/>
          <w:cols w:equalWidth="0" w:num="1">
            <w:col w:w="9380"/>
          </w:cols>
          <w:pgMar w:left="1260" w:top="838" w:right="1266" w:bottom="72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2025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-133985</wp:posOffset>
                </wp:positionV>
                <wp:extent cx="5301615" cy="146685"/>
                <wp:wrapNone/>
                <wp:docPr id="135" name="Shape 1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01615" cy="146685"/>
                        </a:xfrm>
                        <a:prstGeom prst="rect">
                          <a:avLst/>
                        </a:prstGeom>
                        <a:solidFill>
                          <a:srgbClr val="CCEEFF"/>
                        </a:solidFill>
                      </wps:spPr>
                      <wps:bodyPr/>
                    </wps:wsp>
                  </a:graphicData>
                </a:graphic>
              </wp:anchor>
            </w:drawing>
          </mc:Choice>
          <mc:Fallback>
            <w:pict>
              <v:rect id="Shape 135" o:spid="_x0000_s1160" style="position:absolute;margin-left:0.35pt;margin-top:-10.5499pt;width:417.45pt;height:11.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CEEFF" stroked="f"/>
            </w:pict>
          </mc:Fallback>
        </mc:AlternateContent>
        <mc:AlternateContent>
          <mc:Choice Requires="wps">
            <w:drawing>
              <wp:anchor simplePos="0" relativeHeight="251657728" behindDoc="1" locked="0" layoutInCell="0" allowOverlap="1">
                <wp:simplePos x="0" y="0"/>
                <wp:positionH relativeFrom="column">
                  <wp:posOffset>4445</wp:posOffset>
                </wp:positionH>
                <wp:positionV relativeFrom="paragraph">
                  <wp:posOffset>-137160</wp:posOffset>
                </wp:positionV>
                <wp:extent cx="5301615" cy="0"/>
                <wp:wrapNone/>
                <wp:docPr id="136" name="Shape 1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01615" cy="4763"/>
                        </a:xfrm>
                        <a:prstGeom prst="line">
                          <a:avLst/>
                        </a:prstGeom>
                        <a:solidFill>
                          <a:srgbClr val="FFFFFF"/>
                        </a:solidFill>
                        <a:ln w="6108">
                          <a:solidFill>
                            <a:srgbClr val="CCEEFF"/>
                          </a:solidFill>
                          <a:miter lim="800000"/>
                          <a:headEnd/>
                          <a:tailEnd/>
                        </a:ln>
                      </wps:spPr>
                      <wps:bodyPr/>
                    </wps:wsp>
                  </a:graphicData>
                </a:graphic>
              </wp:anchor>
            </w:drawing>
          </mc:Choice>
          <mc:Fallback>
            <w:pict>
              <v:line id="Shape 136" o:spid="_x0000_s11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10.7999pt" to="417.8pt,-10.7999pt" o:allowincell="f" strokecolor="#CCEEFF" strokeweight="0.4809pt"/>
            </w:pict>
          </mc:Fallback>
        </mc:AlternateConten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2026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0</wp:posOffset>
                </wp:positionV>
                <wp:extent cx="5301615" cy="146050"/>
                <wp:wrapNone/>
                <wp:docPr id="137" name="Shape 1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01615" cy="146050"/>
                        </a:xfrm>
                        <a:prstGeom prst="rect">
                          <a:avLst/>
                        </a:prstGeom>
                        <a:solidFill>
                          <a:srgbClr val="CCEEFF"/>
                        </a:solidFill>
                      </wps:spPr>
                      <wps:bodyPr/>
                    </wps:wsp>
                  </a:graphicData>
                </a:graphic>
              </wp:anchor>
            </w:drawing>
          </mc:Choice>
          <mc:Fallback>
            <w:pict>
              <v:rect id="Shape 137" o:spid="_x0000_s1162" style="position:absolute;margin-left:0.35pt;margin-top:0pt;width:417.45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CEEFF" stroked="f"/>
            </w:pict>
          </mc:Fallback>
        </mc:AlternateContent>
      </w:r>
    </w:p>
    <w:p>
      <w:pPr>
        <w:spacing w:after="0"/>
        <w:rPr>
          <w:sz w:val="20"/>
          <w:szCs w:val="20"/>
          <w:color w:val="auto"/>
        </w:rPr>
      </w:pPr>
      <w:r>
        <w:rPr>
          <w:rFonts w:ascii="Times New Roman" w:cs="Times New Roman" w:eastAsia="Times New Roman" w:hAnsi="Times New Roman"/>
          <w:sz w:val="20"/>
          <w:szCs w:val="20"/>
          <w:color w:val="auto"/>
        </w:rPr>
        <w:t>2027</w:t>
      </w:r>
    </w:p>
    <w:p>
      <w:pPr>
        <w:spacing w:after="0"/>
        <w:rPr>
          <w:sz w:val="20"/>
          <w:szCs w:val="20"/>
          <w:color w:val="auto"/>
        </w:rPr>
      </w:pPr>
      <w:r>
        <w:rPr>
          <w:rFonts w:ascii="Times New Roman" w:cs="Times New Roman" w:eastAsia="Times New Roman" w:hAnsi="Times New Roman"/>
          <w:sz w:val="20"/>
          <w:szCs w:val="20"/>
          <w:color w:val="auto"/>
        </w:rPr>
        <w:t>2028</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0</wp:posOffset>
                </wp:positionV>
                <wp:extent cx="5301615" cy="147955"/>
                <wp:wrapNone/>
                <wp:docPr id="138" name="Shape 1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01615" cy="147955"/>
                        </a:xfrm>
                        <a:prstGeom prst="rect">
                          <a:avLst/>
                        </a:prstGeom>
                        <a:solidFill>
                          <a:srgbClr val="CCEEFF"/>
                        </a:solidFill>
                      </wps:spPr>
                      <wps:bodyPr/>
                    </wps:wsp>
                  </a:graphicData>
                </a:graphic>
              </wp:anchor>
            </w:drawing>
          </mc:Choice>
          <mc:Fallback>
            <w:pict>
              <v:rect id="Shape 138" o:spid="_x0000_s1163" style="position:absolute;margin-left:0.35pt;margin-top:0pt;width:417.45pt;height:11.6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CEEFF" stroked="f"/>
            </w:pict>
          </mc:Fallback>
        </mc:AlternateContent>
      </w:r>
    </w:p>
    <w:p>
      <w:pPr>
        <w:spacing w:after="0"/>
        <w:rPr>
          <w:sz w:val="20"/>
          <w:szCs w:val="20"/>
          <w:color w:val="auto"/>
        </w:rPr>
      </w:pPr>
      <w:r>
        <w:rPr>
          <w:rFonts w:ascii="Times New Roman" w:cs="Times New Roman" w:eastAsia="Times New Roman" w:hAnsi="Times New Roman"/>
          <w:sz w:val="20"/>
          <w:szCs w:val="20"/>
          <w:color w:val="auto"/>
        </w:rPr>
        <w:t>2029</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2030 and thereafter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6350</wp:posOffset>
                </wp:positionV>
                <wp:extent cx="5301615" cy="146050"/>
                <wp:wrapNone/>
                <wp:docPr id="139" name="Shape 1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01615" cy="146050"/>
                        </a:xfrm>
                        <a:prstGeom prst="rect">
                          <a:avLst/>
                        </a:prstGeom>
                        <a:solidFill>
                          <a:srgbClr val="CCEEFF"/>
                        </a:solidFill>
                      </wps:spPr>
                      <wps:bodyPr/>
                    </wps:wsp>
                  </a:graphicData>
                </a:graphic>
              </wp:anchor>
            </w:drawing>
          </mc:Choice>
          <mc:Fallback>
            <w:pict>
              <v:rect id="Shape 139" o:spid="_x0000_s1164" style="position:absolute;margin-left:0.35pt;margin-top:0.5pt;width:417.45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CEEFF" stroked="f"/>
            </w:pict>
          </mc:Fallback>
        </mc:AlternateContent>
        <mc:AlternateContent>
          <mc:Choice Requires="wps">
            <w:drawing>
              <wp:anchor simplePos="0" relativeHeight="251657728" behindDoc="1" locked="0" layoutInCell="0" allowOverlap="1">
                <wp:simplePos x="0" y="0"/>
                <wp:positionH relativeFrom="column">
                  <wp:posOffset>4445</wp:posOffset>
                </wp:positionH>
                <wp:positionV relativeFrom="paragraph">
                  <wp:posOffset>3175</wp:posOffset>
                </wp:positionV>
                <wp:extent cx="5301615" cy="0"/>
                <wp:wrapNone/>
                <wp:docPr id="140" name="Shape 1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01615" cy="4763"/>
                        </a:xfrm>
                        <a:prstGeom prst="line">
                          <a:avLst/>
                        </a:prstGeom>
                        <a:solidFill>
                          <a:srgbClr val="FFFFFF"/>
                        </a:solidFill>
                        <a:ln w="6108">
                          <a:solidFill>
                            <a:srgbClr val="CCEEFF"/>
                          </a:solidFill>
                          <a:miter lim="800000"/>
                          <a:headEnd/>
                          <a:tailEnd/>
                        </a:ln>
                      </wps:spPr>
                      <wps:bodyPr/>
                    </wps:wsp>
                  </a:graphicData>
                </a:graphic>
              </wp:anchor>
            </w:drawing>
          </mc:Choice>
          <mc:Fallback>
            <w:pict>
              <v:line id="Shape 140" o:spid="_x0000_s11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0.25pt" to="417.8pt,0.25pt" o:allowincell="f" strokecolor="#CCEEFF" strokeweight="0.4809pt"/>
            </w:pict>
          </mc:Fallback>
        </mc:AlternateContent>
      </w:r>
    </w:p>
    <w:p>
      <w:pPr>
        <w:spacing w:after="0"/>
        <w:rPr>
          <w:sz w:val="20"/>
          <w:szCs w:val="20"/>
          <w:color w:val="auto"/>
        </w:rPr>
      </w:pPr>
      <w:r>
        <w:rPr>
          <w:rFonts w:ascii="Times New Roman" w:cs="Times New Roman" w:eastAsia="Times New Roman" w:hAnsi="Times New Roman"/>
          <w:sz w:val="20"/>
          <w:szCs w:val="20"/>
          <w:color w:val="auto"/>
        </w:rPr>
        <w:t>Total undiscounted minimum lease payments</w:t>
      </w:r>
    </w:p>
    <w:p>
      <w:pPr>
        <w:spacing w:after="0"/>
        <w:rPr>
          <w:sz w:val="20"/>
          <w:szCs w:val="20"/>
          <w:color w:val="auto"/>
        </w:rPr>
      </w:pPr>
      <w:r>
        <w:rPr>
          <w:rFonts w:ascii="Times New Roman" w:cs="Times New Roman" w:eastAsia="Times New Roman" w:hAnsi="Times New Roman"/>
          <w:sz w:val="20"/>
          <w:szCs w:val="20"/>
          <w:color w:val="auto"/>
        </w:rPr>
        <w:t>Less: amount representing interest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7620</wp:posOffset>
                </wp:positionV>
                <wp:extent cx="5301615" cy="146050"/>
                <wp:wrapNone/>
                <wp:docPr id="141" name="Shape 1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01615" cy="146050"/>
                        </a:xfrm>
                        <a:prstGeom prst="rect">
                          <a:avLst/>
                        </a:prstGeom>
                        <a:solidFill>
                          <a:srgbClr val="CCEEFF"/>
                        </a:solidFill>
                      </wps:spPr>
                      <wps:bodyPr/>
                    </wps:wsp>
                  </a:graphicData>
                </a:graphic>
              </wp:anchor>
            </w:drawing>
          </mc:Choice>
          <mc:Fallback>
            <w:pict>
              <v:rect id="Shape 141" o:spid="_x0000_s1166" style="position:absolute;margin-left:0.35pt;margin-top:0.6pt;width:417.45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CEEFF" stroked="f"/>
            </w:pict>
          </mc:Fallback>
        </mc:AlternateContent>
        <mc:AlternateContent>
          <mc:Choice Requires="wps">
            <w:drawing>
              <wp:anchor simplePos="0" relativeHeight="251657728" behindDoc="1" locked="0" layoutInCell="0" allowOverlap="1">
                <wp:simplePos x="0" y="0"/>
                <wp:positionH relativeFrom="column">
                  <wp:posOffset>4445</wp:posOffset>
                </wp:positionH>
                <wp:positionV relativeFrom="paragraph">
                  <wp:posOffset>3175</wp:posOffset>
                </wp:positionV>
                <wp:extent cx="5301615" cy="0"/>
                <wp:wrapNone/>
                <wp:docPr id="142" name="Shape 1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01615" cy="4763"/>
                        </a:xfrm>
                        <a:prstGeom prst="line">
                          <a:avLst/>
                        </a:prstGeom>
                        <a:solidFill>
                          <a:srgbClr val="FFFFFF"/>
                        </a:solidFill>
                        <a:ln w="6095">
                          <a:solidFill>
                            <a:srgbClr val="CCEEFF"/>
                          </a:solidFill>
                          <a:miter lim="800000"/>
                          <a:headEnd/>
                          <a:tailEnd/>
                        </a:ln>
                      </wps:spPr>
                      <wps:bodyPr/>
                    </wps:wsp>
                  </a:graphicData>
                </a:graphic>
              </wp:anchor>
            </w:drawing>
          </mc:Choice>
          <mc:Fallback>
            <w:pict>
              <v:line id="Shape 142" o:spid="_x0000_s11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0.25pt" to="417.8pt,0.25pt" o:allowincell="f" strokecolor="#CCEEFF" strokeweight="0.4799pt"/>
            </w:pict>
          </mc:Fallback>
        </mc:AlternateContent>
      </w:r>
    </w:p>
    <w:p>
      <w:pPr>
        <w:spacing w:after="0"/>
        <w:rPr>
          <w:sz w:val="20"/>
          <w:szCs w:val="20"/>
          <w:color w:val="auto"/>
        </w:rPr>
      </w:pPr>
      <w:r>
        <w:rPr>
          <w:rFonts w:ascii="Times New Roman" w:cs="Times New Roman" w:eastAsia="Times New Roman" w:hAnsi="Times New Roman"/>
          <w:sz w:val="20"/>
          <w:szCs w:val="20"/>
          <w:color w:val="auto"/>
        </w:rPr>
        <w:t>Present value of minimum lease payments</w:t>
      </w:r>
    </w:p>
    <w:p>
      <w:pPr>
        <w:spacing w:after="0"/>
        <w:rPr>
          <w:sz w:val="20"/>
          <w:szCs w:val="20"/>
          <w:color w:val="auto"/>
        </w:rPr>
      </w:pPr>
      <w:r>
        <w:rPr>
          <w:rFonts w:ascii="Times New Roman" w:cs="Times New Roman" w:eastAsia="Times New Roman" w:hAnsi="Times New Roman"/>
          <w:sz w:val="20"/>
          <w:szCs w:val="20"/>
          <w:color w:val="auto"/>
        </w:rPr>
        <w:t>Less: current portion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6350</wp:posOffset>
                </wp:positionV>
                <wp:extent cx="5301615" cy="146050"/>
                <wp:wrapNone/>
                <wp:docPr id="143" name="Shape 1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01615" cy="146050"/>
                        </a:xfrm>
                        <a:prstGeom prst="rect">
                          <a:avLst/>
                        </a:prstGeom>
                        <a:solidFill>
                          <a:srgbClr val="CCEEFF"/>
                        </a:solidFill>
                      </wps:spPr>
                      <wps:bodyPr/>
                    </wps:wsp>
                  </a:graphicData>
                </a:graphic>
              </wp:anchor>
            </w:drawing>
          </mc:Choice>
          <mc:Fallback>
            <w:pict>
              <v:rect id="Shape 143" o:spid="_x0000_s1168" style="position:absolute;margin-left:0.35pt;margin-top:0.5pt;width:417.45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CEEFF" stroked="f"/>
            </w:pict>
          </mc:Fallback>
        </mc:AlternateContent>
        <mc:AlternateContent>
          <mc:Choice Requires="wps">
            <w:drawing>
              <wp:anchor simplePos="0" relativeHeight="251657728" behindDoc="1" locked="0" layoutInCell="0" allowOverlap="1">
                <wp:simplePos x="0" y="0"/>
                <wp:positionH relativeFrom="column">
                  <wp:posOffset>4445</wp:posOffset>
                </wp:positionH>
                <wp:positionV relativeFrom="paragraph">
                  <wp:posOffset>3175</wp:posOffset>
                </wp:positionV>
                <wp:extent cx="5301615" cy="0"/>
                <wp:wrapNone/>
                <wp:docPr id="144" name="Shape 1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01615" cy="4763"/>
                        </a:xfrm>
                        <a:prstGeom prst="line">
                          <a:avLst/>
                        </a:prstGeom>
                        <a:solidFill>
                          <a:srgbClr val="FFFFFF"/>
                        </a:solidFill>
                        <a:ln w="6108">
                          <a:solidFill>
                            <a:srgbClr val="CCEEFF"/>
                          </a:solidFill>
                          <a:miter lim="800000"/>
                          <a:headEnd/>
                          <a:tailEnd/>
                        </a:ln>
                      </wps:spPr>
                      <wps:bodyPr/>
                    </wps:wsp>
                  </a:graphicData>
                </a:graphic>
              </wp:anchor>
            </w:drawing>
          </mc:Choice>
          <mc:Fallback>
            <w:pict>
              <v:line id="Shape 144" o:spid="_x0000_s11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0.25pt" to="417.8pt,0.25pt" o:allowincell="f" strokecolor="#CCEEFF" strokeweight="0.4809pt"/>
            </w:pict>
          </mc:Fallback>
        </mc:AlternateContent>
      </w:r>
    </w:p>
    <w:p>
      <w:pPr>
        <w:spacing w:after="0"/>
        <w:rPr>
          <w:sz w:val="20"/>
          <w:szCs w:val="20"/>
          <w:color w:val="auto"/>
        </w:rPr>
      </w:pPr>
      <w:r>
        <w:rPr>
          <w:rFonts w:ascii="Times New Roman" w:cs="Times New Roman" w:eastAsia="Times New Roman" w:hAnsi="Times New Roman"/>
          <w:sz w:val="20"/>
          <w:szCs w:val="20"/>
          <w:color w:val="auto"/>
        </w:rPr>
        <w:t>Long-term portion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color w:val="auto"/>
        </w:rPr>
        <w:t>2024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-14605</wp:posOffset>
                </wp:positionH>
                <wp:positionV relativeFrom="paragraph">
                  <wp:posOffset>6350</wp:posOffset>
                </wp:positionV>
                <wp:extent cx="648970" cy="147955"/>
                <wp:wrapNone/>
                <wp:docPr id="145" name="Shape 1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8970" cy="147955"/>
                        </a:xfrm>
                        <a:prstGeom prst="rect">
                          <a:avLst/>
                        </a:prstGeom>
                        <a:solidFill>
                          <a:srgbClr val="CCEEFF"/>
                        </a:solidFill>
                      </wps:spPr>
                      <wps:bodyPr/>
                    </wps:wsp>
                  </a:graphicData>
                </a:graphic>
              </wp:anchor>
            </w:drawing>
          </mc:Choice>
          <mc:Fallback>
            <w:pict>
              <v:rect id="Shape 145" o:spid="_x0000_s1170" style="position:absolute;margin-left:-1.1499pt;margin-top:0.5pt;width:51.1pt;height:11.6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CEEFF" stroked="f"/>
            </w:pict>
          </mc:Fallback>
        </mc:AlternateContent>
        <mc:AlternateContent>
          <mc:Choice Requires="wps">
            <w:drawing>
              <wp:anchor simplePos="0" relativeHeight="251657728" behindDoc="1" locked="0" layoutInCell="0" allowOverlap="1">
                <wp:simplePos x="0" y="0"/>
                <wp:positionH relativeFrom="column">
                  <wp:posOffset>-14605</wp:posOffset>
                </wp:positionH>
                <wp:positionV relativeFrom="paragraph">
                  <wp:posOffset>3175</wp:posOffset>
                </wp:positionV>
                <wp:extent cx="648970" cy="0"/>
                <wp:wrapNone/>
                <wp:docPr id="146" name="Shape 1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8970" cy="4763"/>
                        </a:xfrm>
                        <a:prstGeom prst="line">
                          <a:avLst/>
                        </a:prstGeom>
                        <a:solidFill>
                          <a:srgbClr val="FFFFFF"/>
                        </a:solidFill>
                        <a:ln w="6108">
                          <a:solidFill>
                            <a:srgbClr val="000000"/>
                          </a:solidFill>
                          <a:miter lim="800000"/>
                          <a:headEnd/>
                          <a:tailEnd/>
                        </a:ln>
                      </wps:spPr>
                      <wps:bodyPr/>
                    </wps:wsp>
                  </a:graphicData>
                </a:graphic>
              </wp:anchor>
            </w:drawing>
          </mc:Choice>
          <mc:Fallback>
            <w:pict>
              <v:line id="Shape 146" o:spid="_x0000_s11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499pt,0.25pt" to="49.95pt,0.25pt" o:allowincell="f" strokecolor="#000000" strokeweight="0.4809pt"/>
            </w:pict>
          </mc:Fallback>
        </mc:AlternateContent>
      </w:r>
    </w:p>
    <w:p>
      <w:pPr>
        <w:jc w:val="right"/>
        <w:ind w:right="60"/>
        <w:spacing w:after="0"/>
        <w:rPr>
          <w:sz w:val="20"/>
          <w:szCs w:val="20"/>
          <w:color w:val="auto"/>
        </w:rPr>
      </w:pPr>
      <w:r>
        <w:rPr>
          <w:rFonts w:ascii="Times New Roman" w:cs="Times New Roman" w:eastAsia="Times New Roman" w:hAnsi="Times New Roman"/>
          <w:sz w:val="20"/>
          <w:szCs w:val="20"/>
          <w:color w:val="auto"/>
        </w:rPr>
        <w:t>194</w:t>
      </w:r>
    </w:p>
    <w:p>
      <w:pPr>
        <w:spacing w:after="0" w:line="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20"/>
          <w:szCs w:val="20"/>
          <w:color w:val="auto"/>
        </w:rPr>
        <w:t>162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-14605</wp:posOffset>
                </wp:positionH>
                <wp:positionV relativeFrom="paragraph">
                  <wp:posOffset>0</wp:posOffset>
                </wp:positionV>
                <wp:extent cx="648970" cy="146050"/>
                <wp:wrapNone/>
                <wp:docPr id="147" name="Shape 1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8970" cy="146050"/>
                        </a:xfrm>
                        <a:prstGeom prst="rect">
                          <a:avLst/>
                        </a:prstGeom>
                        <a:solidFill>
                          <a:srgbClr val="CCEEFF"/>
                        </a:solidFill>
                      </wps:spPr>
                      <wps:bodyPr/>
                    </wps:wsp>
                  </a:graphicData>
                </a:graphic>
              </wp:anchor>
            </w:drawing>
          </mc:Choice>
          <mc:Fallback>
            <w:pict>
              <v:rect id="Shape 147" o:spid="_x0000_s1172" style="position:absolute;margin-left:-1.1499pt;margin-top:0pt;width:51.1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CEEFF" stroked="f"/>
            </w:pict>
          </mc:Fallback>
        </mc:AlternateContent>
      </w:r>
    </w:p>
    <w:p>
      <w:pPr>
        <w:jc w:val="right"/>
        <w:ind w:right="60"/>
        <w:spacing w:after="0"/>
        <w:rPr>
          <w:sz w:val="20"/>
          <w:szCs w:val="20"/>
          <w:color w:val="auto"/>
        </w:rPr>
      </w:pPr>
      <w:r>
        <w:rPr>
          <w:rFonts w:ascii="Times New Roman" w:cs="Times New Roman" w:eastAsia="Times New Roman" w:hAnsi="Times New Roman"/>
          <w:sz w:val="20"/>
          <w:szCs w:val="20"/>
          <w:color w:val="auto"/>
        </w:rPr>
        <w:t>117</w:t>
      </w:r>
    </w:p>
    <w:p>
      <w:pPr>
        <w:jc w:val="right"/>
        <w:ind w:right="60"/>
        <w:spacing w:after="0"/>
        <w:rPr>
          <w:sz w:val="20"/>
          <w:szCs w:val="20"/>
          <w:color w:val="auto"/>
        </w:rPr>
      </w:pPr>
      <w:r>
        <w:rPr>
          <w:rFonts w:ascii="Times New Roman" w:cs="Times New Roman" w:eastAsia="Times New Roman" w:hAnsi="Times New Roman"/>
          <w:sz w:val="20"/>
          <w:szCs w:val="20"/>
          <w:color w:val="auto"/>
        </w:rPr>
        <w:t>83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-14605</wp:posOffset>
                </wp:positionH>
                <wp:positionV relativeFrom="paragraph">
                  <wp:posOffset>0</wp:posOffset>
                </wp:positionV>
                <wp:extent cx="648970" cy="147955"/>
                <wp:wrapNone/>
                <wp:docPr id="148" name="Shape 1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8970" cy="147955"/>
                        </a:xfrm>
                        <a:prstGeom prst="rect">
                          <a:avLst/>
                        </a:prstGeom>
                        <a:solidFill>
                          <a:srgbClr val="CCEEFF"/>
                        </a:solidFill>
                      </wps:spPr>
                      <wps:bodyPr/>
                    </wps:wsp>
                  </a:graphicData>
                </a:graphic>
              </wp:anchor>
            </w:drawing>
          </mc:Choice>
          <mc:Fallback>
            <w:pict>
              <v:rect id="Shape 148" o:spid="_x0000_s1173" style="position:absolute;margin-left:-1.1499pt;margin-top:0pt;width:51.1pt;height:11.6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CEEFF" stroked="f"/>
            </w:pict>
          </mc:Fallback>
        </mc:AlternateContent>
      </w:r>
    </w:p>
    <w:p>
      <w:pPr>
        <w:jc w:val="right"/>
        <w:ind w:right="60"/>
        <w:spacing w:after="0"/>
        <w:rPr>
          <w:sz w:val="20"/>
          <w:szCs w:val="20"/>
          <w:color w:val="auto"/>
        </w:rPr>
      </w:pPr>
      <w:r>
        <w:rPr>
          <w:rFonts w:ascii="Times New Roman" w:cs="Times New Roman" w:eastAsia="Times New Roman" w:hAnsi="Times New Roman"/>
          <w:sz w:val="20"/>
          <w:szCs w:val="20"/>
          <w:color w:val="auto"/>
        </w:rPr>
        <w:t>15</w:t>
      </w:r>
    </w:p>
    <w:p>
      <w:pPr>
        <w:spacing w:after="0" w:line="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20"/>
          <w:szCs w:val="20"/>
          <w:color w:val="auto"/>
        </w:rPr>
        <w:t>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-14605</wp:posOffset>
                </wp:positionH>
                <wp:positionV relativeFrom="paragraph">
                  <wp:posOffset>6350</wp:posOffset>
                </wp:positionV>
                <wp:extent cx="648970" cy="146050"/>
                <wp:wrapNone/>
                <wp:docPr id="149" name="Shape 1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8970" cy="146050"/>
                        </a:xfrm>
                        <a:prstGeom prst="rect">
                          <a:avLst/>
                        </a:prstGeom>
                        <a:solidFill>
                          <a:srgbClr val="CCEEFF"/>
                        </a:solidFill>
                      </wps:spPr>
                      <wps:bodyPr/>
                    </wps:wsp>
                  </a:graphicData>
                </a:graphic>
              </wp:anchor>
            </w:drawing>
          </mc:Choice>
          <mc:Fallback>
            <w:pict>
              <v:rect id="Shape 149" o:spid="_x0000_s1174" style="position:absolute;margin-left:-1.1499pt;margin-top:0.5pt;width:51.1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CEEFF" stroked="f"/>
            </w:pict>
          </mc:Fallback>
        </mc:AlternateContent>
        <mc:AlternateContent>
          <mc:Choice Requires="wps">
            <w:drawing>
              <wp:anchor simplePos="0" relativeHeight="251657728" behindDoc="1" locked="0" layoutInCell="0" allowOverlap="1">
                <wp:simplePos x="0" y="0"/>
                <wp:positionH relativeFrom="column">
                  <wp:posOffset>-14605</wp:posOffset>
                </wp:positionH>
                <wp:positionV relativeFrom="paragraph">
                  <wp:posOffset>3175</wp:posOffset>
                </wp:positionV>
                <wp:extent cx="648970" cy="0"/>
                <wp:wrapNone/>
                <wp:docPr id="150" name="Shape 1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8970" cy="4763"/>
                        </a:xfrm>
                        <a:prstGeom prst="line">
                          <a:avLst/>
                        </a:prstGeom>
                        <a:solidFill>
                          <a:srgbClr val="FFFFFF"/>
                        </a:solidFill>
                        <a:ln w="6108">
                          <a:solidFill>
                            <a:srgbClr val="000000"/>
                          </a:solidFill>
                          <a:miter lim="800000"/>
                          <a:headEnd/>
                          <a:tailEnd/>
                        </a:ln>
                      </wps:spPr>
                      <wps:bodyPr/>
                    </wps:wsp>
                  </a:graphicData>
                </a:graphic>
              </wp:anchor>
            </w:drawing>
          </mc:Choice>
          <mc:Fallback>
            <w:pict>
              <v:line id="Shape 150" o:spid="_x0000_s11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499pt,0.25pt" to="49.95pt,0.25pt" o:allowincell="f" strokecolor="#000000" strokeweight="0.4809pt"/>
            </w:pict>
          </mc:Fallback>
        </mc:AlternateContent>
      </w:r>
    </w:p>
    <w:p>
      <w:pPr>
        <w:jc w:val="right"/>
        <w:ind w:right="60"/>
        <w:spacing w:after="0"/>
        <w:rPr>
          <w:sz w:val="20"/>
          <w:szCs w:val="20"/>
          <w:color w:val="auto"/>
        </w:rPr>
      </w:pPr>
      <w:r>
        <w:rPr>
          <w:rFonts w:ascii="Times New Roman" w:cs="Times New Roman" w:eastAsia="Times New Roman" w:hAnsi="Times New Roman"/>
          <w:sz w:val="20"/>
          <w:szCs w:val="20"/>
          <w:color w:val="auto"/>
        </w:rPr>
        <w:t>572</w:t>
      </w:r>
    </w:p>
    <w:p>
      <w:pPr>
        <w:jc w:val="right"/>
        <w:spacing w:after="0"/>
        <w:rPr>
          <w:sz w:val="20"/>
          <w:szCs w:val="20"/>
          <w:color w:val="auto"/>
        </w:rPr>
      </w:pPr>
      <w:r>
        <w:rPr>
          <w:rFonts w:ascii="Times New Roman" w:cs="Times New Roman" w:eastAsia="Times New Roman" w:hAnsi="Times New Roman"/>
          <w:sz w:val="20"/>
          <w:szCs w:val="20"/>
          <w:color w:val="auto"/>
        </w:rPr>
        <w:t>(33)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-14605</wp:posOffset>
                </wp:positionH>
                <wp:positionV relativeFrom="paragraph">
                  <wp:posOffset>7620</wp:posOffset>
                </wp:positionV>
                <wp:extent cx="648970" cy="146050"/>
                <wp:wrapNone/>
                <wp:docPr id="151" name="Shape 1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8970" cy="146050"/>
                        </a:xfrm>
                        <a:prstGeom prst="rect">
                          <a:avLst/>
                        </a:prstGeom>
                        <a:solidFill>
                          <a:srgbClr val="CCEEFF"/>
                        </a:solidFill>
                      </wps:spPr>
                      <wps:bodyPr/>
                    </wps:wsp>
                  </a:graphicData>
                </a:graphic>
              </wp:anchor>
            </w:drawing>
          </mc:Choice>
          <mc:Fallback>
            <w:pict>
              <v:rect id="Shape 151" o:spid="_x0000_s1176" style="position:absolute;margin-left:-1.1499pt;margin-top:0.6pt;width:51.1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CEEFF" stroked="f"/>
            </w:pict>
          </mc:Fallback>
        </mc:AlternateContent>
        <mc:AlternateContent>
          <mc:Choice Requires="wps">
            <w:drawing>
              <wp:anchor simplePos="0" relativeHeight="251657728" behindDoc="1" locked="0" layoutInCell="0" allowOverlap="1">
                <wp:simplePos x="0" y="0"/>
                <wp:positionH relativeFrom="column">
                  <wp:posOffset>-14605</wp:posOffset>
                </wp:positionH>
                <wp:positionV relativeFrom="paragraph">
                  <wp:posOffset>3175</wp:posOffset>
                </wp:positionV>
                <wp:extent cx="648970" cy="0"/>
                <wp:wrapNone/>
                <wp:docPr id="152" name="Shape 1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897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52" o:spid="_x0000_s11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499pt,0.25pt" to="49.95pt,0.25pt" o:allowincell="f" strokecolor="#000000" strokeweight="0.4799pt"/>
            </w:pict>
          </mc:Fallback>
        </mc:AlternateContent>
      </w:r>
    </w:p>
    <w:p>
      <w:pPr>
        <w:jc w:val="right"/>
        <w:ind w:right="60"/>
        <w:spacing w:after="0"/>
        <w:rPr>
          <w:sz w:val="20"/>
          <w:szCs w:val="20"/>
          <w:color w:val="auto"/>
        </w:rPr>
      </w:pPr>
      <w:r>
        <w:rPr>
          <w:rFonts w:ascii="Times New Roman" w:cs="Times New Roman" w:eastAsia="Times New Roman" w:hAnsi="Times New Roman"/>
          <w:sz w:val="20"/>
          <w:szCs w:val="20"/>
          <w:color w:val="auto"/>
        </w:rPr>
        <w:t>539</w:t>
      </w:r>
    </w:p>
    <w:p>
      <w:pPr>
        <w:jc w:val="right"/>
        <w:spacing w:after="0"/>
        <w:rPr>
          <w:sz w:val="20"/>
          <w:szCs w:val="20"/>
          <w:color w:val="auto"/>
        </w:rPr>
      </w:pPr>
      <w:r>
        <w:rPr>
          <w:rFonts w:ascii="Times New Roman" w:cs="Times New Roman" w:eastAsia="Times New Roman" w:hAnsi="Times New Roman"/>
          <w:sz w:val="20"/>
          <w:szCs w:val="20"/>
          <w:color w:val="auto"/>
        </w:rPr>
        <w:t>(175)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-14605</wp:posOffset>
                </wp:positionH>
                <wp:positionV relativeFrom="paragraph">
                  <wp:posOffset>6350</wp:posOffset>
                </wp:positionV>
                <wp:extent cx="648970" cy="146050"/>
                <wp:wrapNone/>
                <wp:docPr id="153" name="Shape 1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8970" cy="146050"/>
                        </a:xfrm>
                        <a:prstGeom prst="rect">
                          <a:avLst/>
                        </a:prstGeom>
                        <a:solidFill>
                          <a:srgbClr val="CCEEFF"/>
                        </a:solidFill>
                      </wps:spPr>
                      <wps:bodyPr/>
                    </wps:wsp>
                  </a:graphicData>
                </a:graphic>
              </wp:anchor>
            </w:drawing>
          </mc:Choice>
          <mc:Fallback>
            <w:pict>
              <v:rect id="Shape 153" o:spid="_x0000_s1178" style="position:absolute;margin-left:-1.1499pt;margin-top:0.5pt;width:51.1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CEEFF" stroked="f"/>
            </w:pict>
          </mc:Fallback>
        </mc:AlternateContent>
        <mc:AlternateContent>
          <mc:Choice Requires="wps">
            <w:drawing>
              <wp:anchor simplePos="0" relativeHeight="251657728" behindDoc="1" locked="0" layoutInCell="0" allowOverlap="1">
                <wp:simplePos x="0" y="0"/>
                <wp:positionH relativeFrom="column">
                  <wp:posOffset>-14605</wp:posOffset>
                </wp:positionH>
                <wp:positionV relativeFrom="paragraph">
                  <wp:posOffset>3175</wp:posOffset>
                </wp:positionV>
                <wp:extent cx="648970" cy="0"/>
                <wp:wrapNone/>
                <wp:docPr id="154" name="Shape 1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8970" cy="4763"/>
                        </a:xfrm>
                        <a:prstGeom prst="line">
                          <a:avLst/>
                        </a:prstGeom>
                        <a:solidFill>
                          <a:srgbClr val="FFFFFF"/>
                        </a:solidFill>
                        <a:ln w="6108">
                          <a:solidFill>
                            <a:srgbClr val="000000"/>
                          </a:solidFill>
                          <a:miter lim="800000"/>
                          <a:headEnd/>
                          <a:tailEnd/>
                        </a:ln>
                      </wps:spPr>
                      <wps:bodyPr/>
                    </wps:wsp>
                  </a:graphicData>
                </a:graphic>
              </wp:anchor>
            </w:drawing>
          </mc:Choice>
          <mc:Fallback>
            <w:pict>
              <v:line id="Shape 154" o:spid="_x0000_s11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499pt,0.25pt" to="49.95pt,0.25pt" o:allowincell="f" strokecolor="#000000" strokeweight="0.4809pt"/>
            </w:pict>
          </mc:Fallback>
        </mc:AlternateContent>
      </w:r>
    </w:p>
    <w:p>
      <w:pPr>
        <w:jc w:val="right"/>
        <w:ind w:right="60"/>
        <w:spacing w:after="0"/>
        <w:rPr>
          <w:sz w:val="20"/>
          <w:szCs w:val="20"/>
          <w:color w:val="auto"/>
        </w:rPr>
      </w:pPr>
      <w:r>
        <w:rPr>
          <w:rFonts w:ascii="Times New Roman" w:cs="Times New Roman" w:eastAsia="Times New Roman" w:hAnsi="Times New Roman"/>
          <w:sz w:val="20"/>
          <w:szCs w:val="20"/>
          <w:color w:val="auto"/>
        </w:rPr>
        <w:t>364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-23495</wp:posOffset>
                </wp:positionH>
                <wp:positionV relativeFrom="paragraph">
                  <wp:posOffset>16510</wp:posOffset>
                </wp:positionV>
                <wp:extent cx="657860" cy="0"/>
                <wp:wrapNone/>
                <wp:docPr id="155" name="Shape 1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786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55" o:spid="_x0000_s11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499pt,1.3pt" to="49.95pt,1.3pt" o:allowincell="f" strokecolor="#000000" strokeweight="0.4799pt"/>
            </w:pict>
          </mc:Fallback>
        </mc:AlternateContent>
        <mc:AlternateContent>
          <mc:Choice Requires="wps">
            <w:drawing>
              <wp:anchor simplePos="0" relativeHeight="251657728" behindDoc="1" locked="0" layoutInCell="0" allowOverlap="1">
                <wp:simplePos x="0" y="0"/>
                <wp:positionH relativeFrom="column">
                  <wp:posOffset>-23495</wp:posOffset>
                </wp:positionH>
                <wp:positionV relativeFrom="paragraph">
                  <wp:posOffset>4445</wp:posOffset>
                </wp:positionV>
                <wp:extent cx="657860" cy="0"/>
                <wp:wrapNone/>
                <wp:docPr id="156" name="Shape 1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786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56" o:spid="_x0000_s11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499pt,0.35pt" to="49.95pt,0.35pt" o:allowincell="f" strokecolor="#000000" strokeweight="0.4799pt"/>
            </w:pict>
          </mc:Fallback>
        </mc:AlternateContent>
      </w:r>
    </w:p>
    <w:p>
      <w:pPr>
        <w:spacing w:after="0" w:line="200" w:lineRule="exact"/>
        <w:rPr>
          <w:sz w:val="20"/>
          <w:szCs w:val="20"/>
          <w:color w:val="auto"/>
        </w:rPr>
      </w:pPr>
    </w:p>
    <w:p>
      <w:pPr>
        <w:sectPr>
          <w:pgSz w:w="11900" w:h="16838" w:orient="portrait"/>
          <w:cols w:equalWidth="0" w:num="2">
            <w:col w:w="7660" w:space="720"/>
            <w:col w:w="1000"/>
          </w:cols>
          <w:pgMar w:left="1260" w:top="838" w:right="1266" w:bottom="723" w:gutter="0" w:footer="0" w:header="0"/>
          <w:type w:val="continuous"/>
        </w:sectPr>
      </w:pPr>
    </w:p>
    <w:p>
      <w:pPr>
        <w:spacing w:after="0" w:line="42" w:lineRule="exact"/>
        <w:rPr>
          <w:sz w:val="20"/>
          <w:szCs w:val="20"/>
          <w:color w:val="auto"/>
        </w:rPr>
      </w:pPr>
    </w:p>
    <w:p>
      <w:pPr>
        <w:ind w:firstLine="720"/>
        <w:spacing w:after="0" w:line="279" w:lineRule="auto"/>
        <w:rPr>
          <w:sz w:val="20"/>
          <w:szCs w:val="20"/>
          <w:color w:val="auto"/>
        </w:rPr>
      </w:pPr>
      <w:r>
        <w:rPr>
          <w:rFonts w:ascii="Times New Roman" w:cs="Times New Roman" w:eastAsia="Times New Roman" w:hAnsi="Times New Roman"/>
          <w:sz w:val="20"/>
          <w:szCs w:val="20"/>
          <w:color w:val="auto"/>
        </w:rPr>
        <w:t>Interest paid under finance lease obligations was $17 thousand and $18 thousand for the years ended December 31, 2025 and 2024 respectively.</w:t>
      </w:r>
    </w:p>
    <w:p>
      <w:pPr>
        <w:spacing w:after="0" w:line="125" w:lineRule="exact"/>
        <w:rPr>
          <w:sz w:val="20"/>
          <w:szCs w:val="20"/>
          <w:color w:val="auto"/>
        </w:rPr>
      </w:pPr>
    </w:p>
    <w:p>
      <w:pPr>
        <w:ind w:firstLine="720"/>
        <w:spacing w:after="0" w:line="279" w:lineRule="auto"/>
        <w:rPr>
          <w:sz w:val="20"/>
          <w:szCs w:val="20"/>
          <w:color w:val="auto"/>
        </w:rPr>
      </w:pPr>
      <w:r>
        <w:rPr>
          <w:rFonts w:ascii="Times New Roman" w:cs="Times New Roman" w:eastAsia="Times New Roman" w:hAnsi="Times New Roman"/>
          <w:sz w:val="20"/>
          <w:szCs w:val="20"/>
          <w:color w:val="auto"/>
        </w:rPr>
        <w:t>The weighted average remaining lease term and the weighted average discount rate for finance leases were respectively 3.01 years and 3.73% at December 31, 2025 and 3.85 years and 3.37% at December 31, 2024.</w:t>
      </w:r>
    </w:p>
    <w:p>
      <w:pPr>
        <w:spacing w:after="0" w:line="127" w:lineRule="exact"/>
        <w:rPr>
          <w:sz w:val="20"/>
          <w:szCs w:val="20"/>
          <w:color w:val="auto"/>
        </w:rPr>
      </w:pPr>
    </w:p>
    <w:p>
      <w:pPr>
        <w:ind w:left="360"/>
        <w:spacing w:after="0"/>
        <w:tabs>
          <w:tab w:leader="none" w:pos="960" w:val="left"/>
        </w:tabs>
        <w:rPr>
          <w:sz w:val="20"/>
          <w:szCs w:val="20"/>
          <w:color w:val="auto"/>
        </w:rPr>
      </w:pPr>
      <w:r>
        <w:rPr>
          <w:rFonts w:ascii="Times New Roman" w:cs="Times New Roman" w:eastAsia="Times New Roman" w:hAnsi="Times New Roman"/>
          <w:sz w:val="20"/>
          <w:szCs w:val="20"/>
          <w:b w:val="1"/>
          <w:bCs w:val="1"/>
          <w:i w:val="1"/>
          <w:iCs w:val="1"/>
          <w:color w:val="auto"/>
        </w:rPr>
        <w:t>14-2</w:t>
        <w:tab/>
        <w:t>Operating leases</w:t>
      </w:r>
    </w:p>
    <w:p>
      <w:pPr>
        <w:spacing w:after="0" w:line="19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Maturities of operating lease liabilities consist of the following amounts:</w:t>
      </w:r>
    </w:p>
    <w:p>
      <w:pPr>
        <w:spacing w:after="0" w:line="252" w:lineRule="exact"/>
        <w:rPr>
          <w:sz w:val="20"/>
          <w:szCs w:val="20"/>
          <w:color w:val="auto"/>
        </w:rPr>
      </w:pPr>
    </w:p>
    <w:p>
      <w:pPr>
        <w:ind w:left="838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19" w:lineRule="exact"/>
        <w:rPr>
          <w:sz w:val="20"/>
          <w:szCs w:val="20"/>
          <w:color w:val="auto"/>
        </w:rPr>
      </w:pPr>
    </w:p>
    <w:p>
      <w:pPr>
        <w:ind w:left="8700"/>
        <w:spacing w:after="0"/>
        <w:rPr>
          <w:sz w:val="20"/>
          <w:szCs w:val="20"/>
          <w:color w:val="auto"/>
        </w:rPr>
      </w:pPr>
      <w:r>
        <w:rPr>
          <w:rFonts w:ascii="Times New Roman" w:cs="Times New Roman" w:eastAsia="Times New Roman" w:hAnsi="Times New Roman"/>
          <w:sz w:val="16"/>
          <w:szCs w:val="16"/>
          <w:b w:val="1"/>
          <w:bCs w:val="1"/>
          <w:color w:val="auto"/>
        </w:rPr>
        <w:t>2025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6350</wp:posOffset>
                </wp:positionV>
                <wp:extent cx="5301615" cy="146050"/>
                <wp:wrapNone/>
                <wp:docPr id="157" name="Shape 1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01615" cy="146050"/>
                        </a:xfrm>
                        <a:prstGeom prst="rect">
                          <a:avLst/>
                        </a:prstGeom>
                        <a:solidFill>
                          <a:srgbClr val="CCEEFF"/>
                        </a:solidFill>
                      </wps:spPr>
                      <wps:bodyPr/>
                    </wps:wsp>
                  </a:graphicData>
                </a:graphic>
              </wp:anchor>
            </w:drawing>
          </mc:Choice>
          <mc:Fallback>
            <w:pict>
              <v:rect id="Shape 157" o:spid="_x0000_s1182" style="position:absolute;margin-left:0.35pt;margin-top:0.5pt;width:417.45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CEEFF" stroked="f"/>
            </w:pict>
          </mc:Fallback>
        </mc:AlternateContent>
        <mc:AlternateContent>
          <mc:Choice Requires="wps">
            <w:drawing>
              <wp:anchor simplePos="0" relativeHeight="251657728" behindDoc="1" locked="0" layoutInCell="0" allowOverlap="1">
                <wp:simplePos x="0" y="0"/>
                <wp:positionH relativeFrom="column">
                  <wp:posOffset>5306060</wp:posOffset>
                </wp:positionH>
                <wp:positionV relativeFrom="paragraph">
                  <wp:posOffset>6350</wp:posOffset>
                </wp:positionV>
                <wp:extent cx="649605" cy="146050"/>
                <wp:wrapNone/>
                <wp:docPr id="158" name="Shape 1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9605" cy="146050"/>
                        </a:xfrm>
                        <a:prstGeom prst="rect">
                          <a:avLst/>
                        </a:prstGeom>
                        <a:solidFill>
                          <a:srgbClr val="CCEEFF"/>
                        </a:solidFill>
                      </wps:spPr>
                      <wps:bodyPr/>
                    </wps:wsp>
                  </a:graphicData>
                </a:graphic>
              </wp:anchor>
            </w:drawing>
          </mc:Choice>
          <mc:Fallback>
            <w:pict>
              <v:rect id="Shape 158" o:spid="_x0000_s1183" style="position:absolute;margin-left:417.8pt;margin-top:0.5pt;width:51.15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CEEFF" stroked="f"/>
            </w:pict>
          </mc:Fallback>
        </mc:AlternateContent>
        <mc:AlternateContent>
          <mc:Choice Requires="wps">
            <w:drawing>
              <wp:anchor simplePos="0" relativeHeight="251657728" behindDoc="1" locked="0" layoutInCell="0" allowOverlap="1">
                <wp:simplePos x="0" y="0"/>
                <wp:positionH relativeFrom="column">
                  <wp:posOffset>4445</wp:posOffset>
                </wp:positionH>
                <wp:positionV relativeFrom="paragraph">
                  <wp:posOffset>3175</wp:posOffset>
                </wp:positionV>
                <wp:extent cx="5301615" cy="0"/>
                <wp:wrapNone/>
                <wp:docPr id="159" name="Shape 1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01615" cy="4763"/>
                        </a:xfrm>
                        <a:prstGeom prst="line">
                          <a:avLst/>
                        </a:prstGeom>
                        <a:solidFill>
                          <a:srgbClr val="FFFFFF"/>
                        </a:solidFill>
                        <a:ln w="6095">
                          <a:solidFill>
                            <a:srgbClr val="CCEEFF"/>
                          </a:solidFill>
                          <a:miter lim="800000"/>
                          <a:headEnd/>
                          <a:tailEnd/>
                        </a:ln>
                      </wps:spPr>
                      <wps:bodyPr/>
                    </wps:wsp>
                  </a:graphicData>
                </a:graphic>
              </wp:anchor>
            </w:drawing>
          </mc:Choice>
          <mc:Fallback>
            <w:pict>
              <v:line id="Shape 159" o:spid="_x0000_s11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0.25pt" to="417.8pt,0.25pt" o:allowincell="f" strokecolor="#CCEEFF" strokeweight="0.4799pt"/>
            </w:pict>
          </mc:Fallback>
        </mc:AlternateContent>
        <mc:AlternateContent>
          <mc:Choice Requires="wps">
            <w:drawing>
              <wp:anchor simplePos="0" relativeHeight="251657728" behindDoc="1" locked="0" layoutInCell="0" allowOverlap="1">
                <wp:simplePos x="0" y="0"/>
                <wp:positionH relativeFrom="column">
                  <wp:posOffset>5306060</wp:posOffset>
                </wp:positionH>
                <wp:positionV relativeFrom="paragraph">
                  <wp:posOffset>3175</wp:posOffset>
                </wp:positionV>
                <wp:extent cx="649605" cy="0"/>
                <wp:wrapNone/>
                <wp:docPr id="160" name="Shape 1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960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60" o:spid="_x0000_s11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7.8pt,0.25pt" to="468.95pt,0.25pt" o:allowincell="f" strokecolor="#000000" strokeweight="0.4799pt"/>
            </w:pict>
          </mc:Fallback>
        </mc:AlternateContent>
      </w:r>
    </w:p>
    <w:p>
      <w:pPr>
        <w:sectPr>
          <w:pgSz w:w="11900" w:h="16838" w:orient="portrait"/>
          <w:cols w:equalWidth="0" w:num="1">
            <w:col w:w="9380"/>
          </w:cols>
          <w:pgMar w:left="1260" w:top="838" w:right="1266" w:bottom="723" w:gutter="0" w:footer="0" w:header="0"/>
          <w:type w:val="continuous"/>
        </w:sectPr>
      </w:pP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2026</w:t>
      </w:r>
    </w:p>
    <w:p>
      <w:pPr>
        <w:spacing w:after="0"/>
        <w:rPr>
          <w:sz w:val="20"/>
          <w:szCs w:val="20"/>
          <w:color w:val="auto"/>
        </w:rPr>
      </w:pPr>
      <w:r>
        <w:rPr>
          <w:rFonts w:ascii="Times New Roman" w:cs="Times New Roman" w:eastAsia="Times New Roman" w:hAnsi="Times New Roman"/>
          <w:sz w:val="20"/>
          <w:szCs w:val="20"/>
          <w:color w:val="auto"/>
        </w:rPr>
        <w:t>2027</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1270</wp:posOffset>
                </wp:positionV>
                <wp:extent cx="5301615" cy="146685"/>
                <wp:wrapNone/>
                <wp:docPr id="161" name="Shape 1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01615" cy="146685"/>
                        </a:xfrm>
                        <a:prstGeom prst="rect">
                          <a:avLst/>
                        </a:prstGeom>
                        <a:solidFill>
                          <a:srgbClr val="CCEEFF"/>
                        </a:solidFill>
                      </wps:spPr>
                      <wps:bodyPr/>
                    </wps:wsp>
                  </a:graphicData>
                </a:graphic>
              </wp:anchor>
            </w:drawing>
          </mc:Choice>
          <mc:Fallback>
            <w:pict>
              <v:rect id="Shape 161" o:spid="_x0000_s1186" style="position:absolute;margin-left:0.35pt;margin-top:0.1pt;width:417.45pt;height:11.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CEEFF" stroked="f"/>
            </w:pict>
          </mc:Fallback>
        </mc:AlternateContent>
      </w:r>
    </w:p>
    <w:p>
      <w:pPr>
        <w:spacing w:after="0"/>
        <w:rPr>
          <w:sz w:val="20"/>
          <w:szCs w:val="20"/>
          <w:color w:val="auto"/>
        </w:rPr>
      </w:pPr>
      <w:r>
        <w:rPr>
          <w:rFonts w:ascii="Times New Roman" w:cs="Times New Roman" w:eastAsia="Times New Roman" w:hAnsi="Times New Roman"/>
          <w:sz w:val="20"/>
          <w:szCs w:val="20"/>
          <w:color w:val="auto"/>
        </w:rPr>
        <w:t>2028</w:t>
      </w:r>
    </w:p>
    <w:p>
      <w:pPr>
        <w:spacing w:after="0"/>
        <w:rPr>
          <w:sz w:val="20"/>
          <w:szCs w:val="20"/>
          <w:color w:val="auto"/>
        </w:rPr>
      </w:pPr>
      <w:r>
        <w:rPr>
          <w:rFonts w:ascii="Times New Roman" w:cs="Times New Roman" w:eastAsia="Times New Roman" w:hAnsi="Times New Roman"/>
          <w:sz w:val="20"/>
          <w:szCs w:val="20"/>
          <w:color w:val="auto"/>
        </w:rPr>
        <w:t>2029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0</wp:posOffset>
                </wp:positionV>
                <wp:extent cx="5301615" cy="146050"/>
                <wp:wrapNone/>
                <wp:docPr id="162" name="Shape 1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01615" cy="146050"/>
                        </a:xfrm>
                        <a:prstGeom prst="rect">
                          <a:avLst/>
                        </a:prstGeom>
                        <a:solidFill>
                          <a:srgbClr val="CCEEFF"/>
                        </a:solidFill>
                      </wps:spPr>
                      <wps:bodyPr/>
                    </wps:wsp>
                  </a:graphicData>
                </a:graphic>
              </wp:anchor>
            </w:drawing>
          </mc:Choice>
          <mc:Fallback>
            <w:pict>
              <v:rect id="Shape 162" o:spid="_x0000_s1187" style="position:absolute;margin-left:0.35pt;margin-top:0pt;width:417.45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CEEFF" stroked="f"/>
            </w:pict>
          </mc:Fallback>
        </mc:AlternateContent>
      </w:r>
    </w:p>
    <w:p>
      <w:pPr>
        <w:spacing w:after="0"/>
        <w:rPr>
          <w:sz w:val="20"/>
          <w:szCs w:val="20"/>
          <w:color w:val="auto"/>
        </w:rPr>
      </w:pPr>
      <w:r>
        <w:rPr>
          <w:rFonts w:ascii="Times New Roman" w:cs="Times New Roman" w:eastAsia="Times New Roman" w:hAnsi="Times New Roman"/>
          <w:sz w:val="20"/>
          <w:szCs w:val="20"/>
          <w:color w:val="auto"/>
        </w:rPr>
        <w:t>2030</w:t>
      </w:r>
    </w:p>
    <w:p>
      <w:pPr>
        <w:spacing w:after="0"/>
        <w:rPr>
          <w:sz w:val="20"/>
          <w:szCs w:val="20"/>
          <w:color w:val="auto"/>
        </w:rPr>
      </w:pPr>
      <w:r>
        <w:rPr>
          <w:rFonts w:ascii="Times New Roman" w:cs="Times New Roman" w:eastAsia="Times New Roman" w:hAnsi="Times New Roman"/>
          <w:sz w:val="20"/>
          <w:szCs w:val="20"/>
          <w:color w:val="auto"/>
        </w:rPr>
        <w:t>2031 and thereafter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1270</wp:posOffset>
                </wp:positionV>
                <wp:extent cx="5301615" cy="146685"/>
                <wp:wrapNone/>
                <wp:docPr id="163" name="Shape 1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01615" cy="146685"/>
                        </a:xfrm>
                        <a:prstGeom prst="rect">
                          <a:avLst/>
                        </a:prstGeom>
                        <a:solidFill>
                          <a:srgbClr val="CCEEFF"/>
                        </a:solidFill>
                      </wps:spPr>
                      <wps:bodyPr/>
                    </wps:wsp>
                  </a:graphicData>
                </a:graphic>
              </wp:anchor>
            </w:drawing>
          </mc:Choice>
          <mc:Fallback>
            <w:pict>
              <v:rect id="Shape 163" o:spid="_x0000_s1188" style="position:absolute;margin-left:0.35pt;margin-top:0.1pt;width:417.45pt;height:11.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CEEFF" stroked="f"/>
            </w:pict>
          </mc:Fallback>
        </mc:AlternateContent>
      </w:r>
    </w:p>
    <w:p>
      <w:pPr>
        <w:spacing w:after="0"/>
        <w:rPr>
          <w:sz w:val="20"/>
          <w:szCs w:val="20"/>
          <w:color w:val="auto"/>
        </w:rPr>
      </w:pPr>
      <w:r>
        <w:rPr>
          <w:rFonts w:ascii="Times New Roman" w:cs="Times New Roman" w:eastAsia="Times New Roman" w:hAnsi="Times New Roman"/>
          <w:sz w:val="20"/>
          <w:szCs w:val="20"/>
          <w:color w:val="auto"/>
        </w:rPr>
        <w:t>Total undiscounted minimum lease payments</w:t>
      </w:r>
    </w:p>
    <w:p>
      <w:pPr>
        <w:spacing w:after="0"/>
        <w:rPr>
          <w:sz w:val="20"/>
          <w:szCs w:val="20"/>
          <w:color w:val="auto"/>
        </w:rPr>
      </w:pPr>
      <w:r>
        <w:rPr>
          <w:rFonts w:ascii="Times New Roman" w:cs="Times New Roman" w:eastAsia="Times New Roman" w:hAnsi="Times New Roman"/>
          <w:sz w:val="20"/>
          <w:szCs w:val="20"/>
          <w:color w:val="auto"/>
        </w:rPr>
        <w:t>Less: current portion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6350</wp:posOffset>
                </wp:positionV>
                <wp:extent cx="5131435" cy="147320"/>
                <wp:wrapNone/>
                <wp:docPr id="164" name="Shape 1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131435" cy="147320"/>
                        </a:xfrm>
                        <a:prstGeom prst="rect">
                          <a:avLst/>
                        </a:prstGeom>
                        <a:solidFill>
                          <a:srgbClr val="CCEEFF"/>
                        </a:solidFill>
                      </wps:spPr>
                      <wps:bodyPr/>
                    </wps:wsp>
                  </a:graphicData>
                </a:graphic>
              </wp:anchor>
            </w:drawing>
          </mc:Choice>
          <mc:Fallback>
            <w:pict>
              <v:rect id="Shape 164" o:spid="_x0000_s1189" style="position:absolute;margin-left:0.35pt;margin-top:0.5pt;width:404.05pt;height:11.6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CEEFF" stroked="f"/>
            </w:pict>
          </mc:Fallback>
        </mc:AlternateContent>
        <mc:AlternateContent>
          <mc:Choice Requires="wps">
            <w:drawing>
              <wp:anchor simplePos="0" relativeHeight="251657728" behindDoc="1" locked="0" layoutInCell="0" allowOverlap="1">
                <wp:simplePos x="0" y="0"/>
                <wp:positionH relativeFrom="column">
                  <wp:posOffset>5135880</wp:posOffset>
                </wp:positionH>
                <wp:positionV relativeFrom="paragraph">
                  <wp:posOffset>6350</wp:posOffset>
                </wp:positionV>
                <wp:extent cx="170180" cy="147320"/>
                <wp:wrapNone/>
                <wp:docPr id="165" name="Shape 1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0180" cy="147320"/>
                        </a:xfrm>
                        <a:prstGeom prst="rect">
                          <a:avLst/>
                        </a:prstGeom>
                        <a:solidFill>
                          <a:srgbClr val="CCEEFF"/>
                        </a:solidFill>
                      </wps:spPr>
                      <wps:bodyPr/>
                    </wps:wsp>
                  </a:graphicData>
                </a:graphic>
              </wp:anchor>
            </w:drawing>
          </mc:Choice>
          <mc:Fallback>
            <w:pict>
              <v:rect id="Shape 165" o:spid="_x0000_s1190" style="position:absolute;margin-left:404.4pt;margin-top:0.5pt;width:13.4pt;height:11.6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CEEFF" stroked="f"/>
            </w:pict>
          </mc:Fallback>
        </mc:AlternateContent>
        <mc:AlternateContent>
          <mc:Choice Requires="wps">
            <w:drawing>
              <wp:anchor simplePos="0" relativeHeight="251657728" behindDoc="1" locked="0" layoutInCell="0" allowOverlap="1">
                <wp:simplePos x="0" y="0"/>
                <wp:positionH relativeFrom="column">
                  <wp:posOffset>5135880</wp:posOffset>
                </wp:positionH>
                <wp:positionV relativeFrom="paragraph">
                  <wp:posOffset>6350</wp:posOffset>
                </wp:positionV>
                <wp:extent cx="170180" cy="147320"/>
                <wp:wrapNone/>
                <wp:docPr id="166" name="Shape 1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0180" cy="147320"/>
                        </a:xfrm>
                        <a:prstGeom prst="rect">
                          <a:avLst/>
                        </a:prstGeom>
                        <a:solidFill>
                          <a:srgbClr val="CCEEFF"/>
                        </a:solidFill>
                      </wps:spPr>
                      <wps:bodyPr/>
                    </wps:wsp>
                  </a:graphicData>
                </a:graphic>
              </wp:anchor>
            </w:drawing>
          </mc:Choice>
          <mc:Fallback>
            <w:pict>
              <v:rect id="Shape 166" o:spid="_x0000_s1191" style="position:absolute;margin-left:404.4pt;margin-top:0.5pt;width:13.4pt;height:11.6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CEEFF" stroked="f"/>
            </w:pict>
          </mc:Fallback>
        </mc:AlternateContent>
        <mc:AlternateContent>
          <mc:Choice Requires="wps">
            <w:drawing>
              <wp:anchor simplePos="0" relativeHeight="251657728" behindDoc="1" locked="0" layoutInCell="0" allowOverlap="1">
                <wp:simplePos x="0" y="0"/>
                <wp:positionH relativeFrom="column">
                  <wp:posOffset>5306060</wp:posOffset>
                </wp:positionH>
                <wp:positionV relativeFrom="paragraph">
                  <wp:posOffset>6350</wp:posOffset>
                </wp:positionV>
                <wp:extent cx="649605" cy="147320"/>
                <wp:wrapNone/>
                <wp:docPr id="167" name="Shape 1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9605" cy="147320"/>
                        </a:xfrm>
                        <a:prstGeom prst="rect">
                          <a:avLst/>
                        </a:prstGeom>
                        <a:solidFill>
                          <a:srgbClr val="CCEEFF"/>
                        </a:solidFill>
                      </wps:spPr>
                      <wps:bodyPr/>
                    </wps:wsp>
                  </a:graphicData>
                </a:graphic>
              </wp:anchor>
            </w:drawing>
          </mc:Choice>
          <mc:Fallback>
            <w:pict>
              <v:rect id="Shape 167" o:spid="_x0000_s1192" style="position:absolute;margin-left:417.8pt;margin-top:0.5pt;width:51.15pt;height:11.6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CEEFF" stroked="f"/>
            </w:pict>
          </mc:Fallback>
        </mc:AlternateContent>
        <mc:AlternateContent>
          <mc:Choice Requires="wps">
            <w:drawing>
              <wp:anchor simplePos="0" relativeHeight="251657728" behindDoc="1" locked="0" layoutInCell="0" allowOverlap="1">
                <wp:simplePos x="0" y="0"/>
                <wp:positionH relativeFrom="column">
                  <wp:posOffset>4445</wp:posOffset>
                </wp:positionH>
                <wp:positionV relativeFrom="paragraph">
                  <wp:posOffset>3175</wp:posOffset>
                </wp:positionV>
                <wp:extent cx="5301615" cy="0"/>
                <wp:wrapNone/>
                <wp:docPr id="168" name="Shape 1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01615" cy="4763"/>
                        </a:xfrm>
                        <a:prstGeom prst="line">
                          <a:avLst/>
                        </a:prstGeom>
                        <a:solidFill>
                          <a:srgbClr val="FFFFFF"/>
                        </a:solidFill>
                        <a:ln w="6096">
                          <a:solidFill>
                            <a:srgbClr val="CCEEFF"/>
                          </a:solidFill>
                          <a:miter lim="800000"/>
                          <a:headEnd/>
                          <a:tailEnd/>
                        </a:ln>
                      </wps:spPr>
                      <wps:bodyPr/>
                    </wps:wsp>
                  </a:graphicData>
                </a:graphic>
              </wp:anchor>
            </w:drawing>
          </mc:Choice>
          <mc:Fallback>
            <w:pict>
              <v:line id="Shape 168" o:spid="_x0000_s11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0.25pt" to="417.8pt,0.25pt" o:allowincell="f" strokecolor="#CCEEFF" strokeweight="0.48pt"/>
            </w:pict>
          </mc:Fallback>
        </mc:AlternateContent>
        <mc:AlternateContent>
          <mc:Choice Requires="wps">
            <w:drawing>
              <wp:anchor simplePos="0" relativeHeight="251657728" behindDoc="1" locked="0" layoutInCell="0" allowOverlap="1">
                <wp:simplePos x="0" y="0"/>
                <wp:positionH relativeFrom="column">
                  <wp:posOffset>5306060</wp:posOffset>
                </wp:positionH>
                <wp:positionV relativeFrom="paragraph">
                  <wp:posOffset>3175</wp:posOffset>
                </wp:positionV>
                <wp:extent cx="649605" cy="0"/>
                <wp:wrapNone/>
                <wp:docPr id="169" name="Shape 1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9605"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69" o:spid="_x0000_s11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7.8pt,0.25pt" to="468.95pt,0.25pt" o:allowincell="f" strokecolor="#000000" strokeweight="0.48pt"/>
            </w:pict>
          </mc:Fallback>
        </mc:AlternateContent>
      </w:r>
    </w:p>
    <w:p>
      <w:pPr>
        <w:spacing w:after="0"/>
        <w:rPr>
          <w:sz w:val="20"/>
          <w:szCs w:val="20"/>
          <w:color w:val="auto"/>
        </w:rPr>
      </w:pPr>
      <w:r>
        <w:rPr>
          <w:rFonts w:ascii="Times New Roman" w:cs="Times New Roman" w:eastAsia="Times New Roman" w:hAnsi="Times New Roman"/>
          <w:sz w:val="20"/>
          <w:szCs w:val="20"/>
          <w:color w:val="auto"/>
        </w:rPr>
        <w:t>Long-term portion</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2025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-133985</wp:posOffset>
                </wp:positionV>
                <wp:extent cx="5301615" cy="145415"/>
                <wp:wrapNone/>
                <wp:docPr id="170" name="Shape 1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01615" cy="145415"/>
                        </a:xfrm>
                        <a:prstGeom prst="rect">
                          <a:avLst/>
                        </a:prstGeom>
                        <a:solidFill>
                          <a:srgbClr val="CCEEFF"/>
                        </a:solidFill>
                      </wps:spPr>
                      <wps:bodyPr/>
                    </wps:wsp>
                  </a:graphicData>
                </a:graphic>
              </wp:anchor>
            </w:drawing>
          </mc:Choice>
          <mc:Fallback>
            <w:pict>
              <v:rect id="Shape 170" o:spid="_x0000_s1195" style="position:absolute;margin-left:0.35pt;margin-top:-10.5499pt;width:417.45pt;height:11.4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CEEFF" stroked="f"/>
            </w:pict>
          </mc:Fallback>
        </mc:AlternateContent>
        <mc:AlternateContent>
          <mc:Choice Requires="wps">
            <w:drawing>
              <wp:anchor simplePos="0" relativeHeight="251657728" behindDoc="1" locked="0" layoutInCell="0" allowOverlap="1">
                <wp:simplePos x="0" y="0"/>
                <wp:positionH relativeFrom="column">
                  <wp:posOffset>4445</wp:posOffset>
                </wp:positionH>
                <wp:positionV relativeFrom="paragraph">
                  <wp:posOffset>-139065</wp:posOffset>
                </wp:positionV>
                <wp:extent cx="5301615" cy="0"/>
                <wp:wrapNone/>
                <wp:docPr id="171" name="Shape 1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01615" cy="4763"/>
                        </a:xfrm>
                        <a:prstGeom prst="line">
                          <a:avLst/>
                        </a:prstGeom>
                        <a:solidFill>
                          <a:srgbClr val="FFFFFF"/>
                        </a:solidFill>
                        <a:ln w="6095">
                          <a:solidFill>
                            <a:srgbClr val="CCEEFF"/>
                          </a:solidFill>
                          <a:miter lim="800000"/>
                          <a:headEnd/>
                          <a:tailEnd/>
                        </a:ln>
                      </wps:spPr>
                      <wps:bodyPr/>
                    </wps:wsp>
                  </a:graphicData>
                </a:graphic>
              </wp:anchor>
            </w:drawing>
          </mc:Choice>
          <mc:Fallback>
            <w:pict>
              <v:line id="Shape 171" o:spid="_x0000_s11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10.9499pt" to="417.8pt,-10.9499pt" o:allowincell="f" strokecolor="#CCEEFF" strokeweight="0.4799pt"/>
            </w:pict>
          </mc:Fallback>
        </mc:AlternateContent>
      </w:r>
    </w:p>
    <w:p>
      <w:pPr>
        <w:spacing w:after="0"/>
        <w:rPr>
          <w:sz w:val="20"/>
          <w:szCs w:val="20"/>
          <w:color w:val="auto"/>
        </w:rPr>
      </w:pPr>
      <w:r>
        <w:rPr>
          <w:rFonts w:ascii="Times New Roman" w:cs="Times New Roman" w:eastAsia="Times New Roman" w:hAnsi="Times New Roman"/>
          <w:sz w:val="20"/>
          <w:szCs w:val="20"/>
          <w:color w:val="auto"/>
        </w:rPr>
        <w:t>2026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0</wp:posOffset>
                </wp:positionV>
                <wp:extent cx="5301615" cy="146050"/>
                <wp:wrapNone/>
                <wp:docPr id="172" name="Shape 1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01615" cy="146050"/>
                        </a:xfrm>
                        <a:prstGeom prst="rect">
                          <a:avLst/>
                        </a:prstGeom>
                        <a:solidFill>
                          <a:srgbClr val="CCEEFF"/>
                        </a:solidFill>
                      </wps:spPr>
                      <wps:bodyPr/>
                    </wps:wsp>
                  </a:graphicData>
                </a:graphic>
              </wp:anchor>
            </w:drawing>
          </mc:Choice>
          <mc:Fallback>
            <w:pict>
              <v:rect id="Shape 172" o:spid="_x0000_s1197" style="position:absolute;margin-left:0.35pt;margin-top:0pt;width:417.45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CEEFF" stroked="f"/>
            </w:pict>
          </mc:Fallback>
        </mc:AlternateContent>
      </w:r>
    </w:p>
    <w:p>
      <w:pPr>
        <w:spacing w:after="0"/>
        <w:rPr>
          <w:sz w:val="20"/>
          <w:szCs w:val="20"/>
          <w:color w:val="auto"/>
        </w:rPr>
      </w:pPr>
      <w:r>
        <w:rPr>
          <w:rFonts w:ascii="Times New Roman" w:cs="Times New Roman" w:eastAsia="Times New Roman" w:hAnsi="Times New Roman"/>
          <w:sz w:val="20"/>
          <w:szCs w:val="20"/>
          <w:color w:val="auto"/>
        </w:rPr>
        <w:t>2027</w:t>
      </w:r>
    </w:p>
    <w:p>
      <w:pPr>
        <w:spacing w:after="0"/>
        <w:rPr>
          <w:sz w:val="20"/>
          <w:szCs w:val="20"/>
          <w:color w:val="auto"/>
        </w:rPr>
      </w:pPr>
      <w:r>
        <w:rPr>
          <w:rFonts w:ascii="Times New Roman" w:cs="Times New Roman" w:eastAsia="Times New Roman" w:hAnsi="Times New Roman"/>
          <w:sz w:val="20"/>
          <w:szCs w:val="20"/>
          <w:color w:val="auto"/>
        </w:rPr>
        <w:t>2028</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1270</wp:posOffset>
                </wp:positionV>
                <wp:extent cx="5301615" cy="146685"/>
                <wp:wrapNone/>
                <wp:docPr id="173" name="Shape 1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01615" cy="146685"/>
                        </a:xfrm>
                        <a:prstGeom prst="rect">
                          <a:avLst/>
                        </a:prstGeom>
                        <a:solidFill>
                          <a:srgbClr val="CCEEFF"/>
                        </a:solidFill>
                      </wps:spPr>
                      <wps:bodyPr/>
                    </wps:wsp>
                  </a:graphicData>
                </a:graphic>
              </wp:anchor>
            </w:drawing>
          </mc:Choice>
          <mc:Fallback>
            <w:pict>
              <v:rect id="Shape 173" o:spid="_x0000_s1198" style="position:absolute;margin-left:0.35pt;margin-top:0.1pt;width:417.45pt;height:11.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CEEFF" stroked="f"/>
            </w:pict>
          </mc:Fallback>
        </mc:AlternateContent>
      </w:r>
    </w:p>
    <w:p>
      <w:pPr>
        <w:spacing w:after="0"/>
        <w:rPr>
          <w:sz w:val="20"/>
          <w:szCs w:val="20"/>
          <w:color w:val="auto"/>
        </w:rPr>
      </w:pPr>
      <w:r>
        <w:rPr>
          <w:rFonts w:ascii="Times New Roman" w:cs="Times New Roman" w:eastAsia="Times New Roman" w:hAnsi="Times New Roman"/>
          <w:sz w:val="20"/>
          <w:szCs w:val="20"/>
          <w:color w:val="auto"/>
        </w:rPr>
        <w:t>2029</w:t>
      </w:r>
    </w:p>
    <w:p>
      <w:pPr>
        <w:spacing w:after="0"/>
        <w:rPr>
          <w:sz w:val="20"/>
          <w:szCs w:val="20"/>
          <w:color w:val="auto"/>
        </w:rPr>
      </w:pPr>
      <w:r>
        <w:rPr>
          <w:rFonts w:ascii="Times New Roman" w:cs="Times New Roman" w:eastAsia="Times New Roman" w:hAnsi="Times New Roman"/>
          <w:sz w:val="20"/>
          <w:szCs w:val="20"/>
          <w:color w:val="auto"/>
        </w:rPr>
        <w:t>2030 and thereafter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6350</wp:posOffset>
                </wp:positionV>
                <wp:extent cx="5301615" cy="146050"/>
                <wp:wrapNone/>
                <wp:docPr id="174" name="Shape 1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01615" cy="146050"/>
                        </a:xfrm>
                        <a:prstGeom prst="rect">
                          <a:avLst/>
                        </a:prstGeom>
                        <a:solidFill>
                          <a:srgbClr val="CCEEFF"/>
                        </a:solidFill>
                      </wps:spPr>
                      <wps:bodyPr/>
                    </wps:wsp>
                  </a:graphicData>
                </a:graphic>
              </wp:anchor>
            </w:drawing>
          </mc:Choice>
          <mc:Fallback>
            <w:pict>
              <v:rect id="Shape 174" o:spid="_x0000_s1199" style="position:absolute;margin-left:0.35pt;margin-top:0.5pt;width:417.45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CEEFF" stroked="f"/>
            </w:pict>
          </mc:Fallback>
        </mc:AlternateContent>
        <mc:AlternateContent>
          <mc:Choice Requires="wps">
            <w:drawing>
              <wp:anchor simplePos="0" relativeHeight="251657728" behindDoc="1" locked="0" layoutInCell="0" allowOverlap="1">
                <wp:simplePos x="0" y="0"/>
                <wp:positionH relativeFrom="column">
                  <wp:posOffset>4445</wp:posOffset>
                </wp:positionH>
                <wp:positionV relativeFrom="paragraph">
                  <wp:posOffset>3175</wp:posOffset>
                </wp:positionV>
                <wp:extent cx="5301615" cy="0"/>
                <wp:wrapNone/>
                <wp:docPr id="175" name="Shape 1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01615" cy="4763"/>
                        </a:xfrm>
                        <a:prstGeom prst="line">
                          <a:avLst/>
                        </a:prstGeom>
                        <a:solidFill>
                          <a:srgbClr val="FFFFFF"/>
                        </a:solidFill>
                        <a:ln w="6095">
                          <a:solidFill>
                            <a:srgbClr val="CCEEFF"/>
                          </a:solidFill>
                          <a:miter lim="800000"/>
                          <a:headEnd/>
                          <a:tailEnd/>
                        </a:ln>
                      </wps:spPr>
                      <wps:bodyPr/>
                    </wps:wsp>
                  </a:graphicData>
                </a:graphic>
              </wp:anchor>
            </w:drawing>
          </mc:Choice>
          <mc:Fallback>
            <w:pict>
              <v:line id="Shape 175" o:spid="_x0000_s120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0.25pt" to="417.8pt,0.25pt" o:allowincell="f" strokecolor="#CCEEFF" strokeweight="0.4799pt"/>
            </w:pict>
          </mc:Fallback>
        </mc:AlternateContent>
      </w:r>
    </w:p>
    <w:p>
      <w:pPr>
        <w:spacing w:after="0"/>
        <w:rPr>
          <w:sz w:val="20"/>
          <w:szCs w:val="20"/>
          <w:color w:val="auto"/>
        </w:rPr>
      </w:pPr>
      <w:r>
        <w:rPr>
          <w:rFonts w:ascii="Times New Roman" w:cs="Times New Roman" w:eastAsia="Times New Roman" w:hAnsi="Times New Roman"/>
          <w:sz w:val="20"/>
          <w:szCs w:val="20"/>
          <w:color w:val="auto"/>
        </w:rPr>
        <w:t>Total undiscounted minimum lease payments</w:t>
      </w:r>
    </w:p>
    <w:p>
      <w:pPr>
        <w:spacing w:after="0"/>
        <w:rPr>
          <w:sz w:val="20"/>
          <w:szCs w:val="20"/>
          <w:color w:val="auto"/>
        </w:rPr>
      </w:pPr>
      <w:r>
        <w:rPr>
          <w:rFonts w:ascii="Times New Roman" w:cs="Times New Roman" w:eastAsia="Times New Roman" w:hAnsi="Times New Roman"/>
          <w:sz w:val="20"/>
          <w:szCs w:val="20"/>
          <w:color w:val="auto"/>
        </w:rPr>
        <w:t>Less: current portion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7620</wp:posOffset>
                </wp:positionV>
                <wp:extent cx="5301615" cy="146050"/>
                <wp:wrapNone/>
                <wp:docPr id="176" name="Shape 1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01615" cy="146050"/>
                        </a:xfrm>
                        <a:prstGeom prst="rect">
                          <a:avLst/>
                        </a:prstGeom>
                        <a:solidFill>
                          <a:srgbClr val="CCEEFF"/>
                        </a:solidFill>
                      </wps:spPr>
                      <wps:bodyPr/>
                    </wps:wsp>
                  </a:graphicData>
                </a:graphic>
              </wp:anchor>
            </w:drawing>
          </mc:Choice>
          <mc:Fallback>
            <w:pict>
              <v:rect id="Shape 176" o:spid="_x0000_s1201" style="position:absolute;margin-left:0.35pt;margin-top:0.6pt;width:417.45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CEEFF" stroked="f"/>
            </w:pict>
          </mc:Fallback>
        </mc:AlternateContent>
        <mc:AlternateContent>
          <mc:Choice Requires="wps">
            <w:drawing>
              <wp:anchor simplePos="0" relativeHeight="251657728" behindDoc="1" locked="0" layoutInCell="0" allowOverlap="1">
                <wp:simplePos x="0" y="0"/>
                <wp:positionH relativeFrom="column">
                  <wp:posOffset>4445</wp:posOffset>
                </wp:positionH>
                <wp:positionV relativeFrom="paragraph">
                  <wp:posOffset>4445</wp:posOffset>
                </wp:positionV>
                <wp:extent cx="5301615" cy="0"/>
                <wp:wrapNone/>
                <wp:docPr id="177" name="Shape 1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01615" cy="4763"/>
                        </a:xfrm>
                        <a:prstGeom prst="line">
                          <a:avLst/>
                        </a:prstGeom>
                        <a:solidFill>
                          <a:srgbClr val="FFFFFF"/>
                        </a:solidFill>
                        <a:ln w="6108">
                          <a:solidFill>
                            <a:srgbClr val="CCEEFF"/>
                          </a:solidFill>
                          <a:miter lim="800000"/>
                          <a:headEnd/>
                          <a:tailEnd/>
                        </a:ln>
                      </wps:spPr>
                      <wps:bodyPr/>
                    </wps:wsp>
                  </a:graphicData>
                </a:graphic>
              </wp:anchor>
            </w:drawing>
          </mc:Choice>
          <mc:Fallback>
            <w:pict>
              <v:line id="Shape 177" o:spid="_x0000_s12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0.35pt" to="417.8pt,0.35pt" o:allowincell="f" strokecolor="#CCEEFF" strokeweight="0.4809pt"/>
            </w:pict>
          </mc:Fallback>
        </mc:AlternateContent>
      </w:r>
    </w:p>
    <w:p>
      <w:pPr>
        <w:spacing w:after="0"/>
        <w:rPr>
          <w:sz w:val="20"/>
          <w:szCs w:val="20"/>
          <w:color w:val="auto"/>
        </w:rPr>
      </w:pPr>
      <w:r>
        <w:rPr>
          <w:rFonts w:ascii="Times New Roman" w:cs="Times New Roman" w:eastAsia="Times New Roman" w:hAnsi="Times New Roman"/>
          <w:sz w:val="20"/>
          <w:szCs w:val="20"/>
          <w:color w:val="auto"/>
        </w:rPr>
        <w:t>Long-term portion</w:t>
      </w:r>
    </w:p>
    <w:p>
      <w:pPr>
        <w:spacing w:after="0" w:line="20" w:lineRule="exact"/>
        <w:rPr>
          <w:sz w:val="20"/>
          <w:szCs w:val="20"/>
          <w:color w:val="auto"/>
        </w:rPr>
      </w:pPr>
      <w:r>
        <w:rPr>
          <w:sz w:val="20"/>
          <w:szCs w:val="20"/>
          <w:color w:val="auto"/>
        </w:rPr>
        <w:br w:type="column"/>
      </w:r>
    </w:p>
    <w:p>
      <w:pPr>
        <w:jc w:val="right"/>
        <w:ind w:right="60"/>
        <w:spacing w:after="0"/>
        <w:rPr>
          <w:sz w:val="20"/>
          <w:szCs w:val="20"/>
          <w:color w:val="auto"/>
        </w:rPr>
      </w:pPr>
      <w:r>
        <w:rPr>
          <w:rFonts w:ascii="Times New Roman" w:cs="Times New Roman" w:eastAsia="Times New Roman" w:hAnsi="Times New Roman"/>
          <w:sz w:val="20"/>
          <w:szCs w:val="20"/>
          <w:color w:val="auto"/>
        </w:rPr>
        <w:t>1,063</w:t>
      </w:r>
    </w:p>
    <w:p>
      <w:pPr>
        <w:jc w:val="right"/>
        <w:ind w:right="60"/>
        <w:spacing w:after="0"/>
        <w:rPr>
          <w:sz w:val="20"/>
          <w:szCs w:val="20"/>
          <w:color w:val="auto"/>
        </w:rPr>
      </w:pPr>
      <w:r>
        <w:rPr>
          <w:rFonts w:ascii="Times New Roman" w:cs="Times New Roman" w:eastAsia="Times New Roman" w:hAnsi="Times New Roman"/>
          <w:sz w:val="20"/>
          <w:szCs w:val="20"/>
          <w:color w:val="auto"/>
        </w:rPr>
        <w:t>973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-14605</wp:posOffset>
                </wp:positionH>
                <wp:positionV relativeFrom="paragraph">
                  <wp:posOffset>1270</wp:posOffset>
                </wp:positionV>
                <wp:extent cx="648970" cy="146685"/>
                <wp:wrapNone/>
                <wp:docPr id="178" name="Shape 1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8970" cy="146685"/>
                        </a:xfrm>
                        <a:prstGeom prst="rect">
                          <a:avLst/>
                        </a:prstGeom>
                        <a:solidFill>
                          <a:srgbClr val="CCEEFF"/>
                        </a:solidFill>
                      </wps:spPr>
                      <wps:bodyPr/>
                    </wps:wsp>
                  </a:graphicData>
                </a:graphic>
              </wp:anchor>
            </w:drawing>
          </mc:Choice>
          <mc:Fallback>
            <w:pict>
              <v:rect id="Shape 178" o:spid="_x0000_s1203" style="position:absolute;margin-left:-1.1499pt;margin-top:0.1pt;width:51.1pt;height:11.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CEEFF" stroked="f"/>
            </w:pict>
          </mc:Fallback>
        </mc:AlternateContent>
      </w:r>
    </w:p>
    <w:p>
      <w:pPr>
        <w:jc w:val="right"/>
        <w:ind w:right="60"/>
        <w:spacing w:after="0"/>
        <w:rPr>
          <w:sz w:val="20"/>
          <w:szCs w:val="20"/>
          <w:color w:val="auto"/>
        </w:rPr>
      </w:pPr>
      <w:r>
        <w:rPr>
          <w:rFonts w:ascii="Times New Roman" w:cs="Times New Roman" w:eastAsia="Times New Roman" w:hAnsi="Times New Roman"/>
          <w:sz w:val="20"/>
          <w:szCs w:val="20"/>
          <w:color w:val="auto"/>
        </w:rPr>
        <w:t>453</w:t>
      </w:r>
    </w:p>
    <w:p>
      <w:pPr>
        <w:jc w:val="right"/>
        <w:ind w:right="60"/>
        <w:spacing w:after="0"/>
        <w:rPr>
          <w:sz w:val="20"/>
          <w:szCs w:val="20"/>
          <w:color w:val="auto"/>
        </w:rPr>
      </w:pPr>
      <w:r>
        <w:rPr>
          <w:rFonts w:ascii="Times New Roman" w:cs="Times New Roman" w:eastAsia="Times New Roman" w:hAnsi="Times New Roman"/>
          <w:sz w:val="20"/>
          <w:szCs w:val="20"/>
          <w:color w:val="auto"/>
        </w:rPr>
        <w:t>115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-14605</wp:posOffset>
                </wp:positionH>
                <wp:positionV relativeFrom="paragraph">
                  <wp:posOffset>0</wp:posOffset>
                </wp:positionV>
                <wp:extent cx="648970" cy="146050"/>
                <wp:wrapNone/>
                <wp:docPr id="179" name="Shape 1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8970" cy="146050"/>
                        </a:xfrm>
                        <a:prstGeom prst="rect">
                          <a:avLst/>
                        </a:prstGeom>
                        <a:solidFill>
                          <a:srgbClr val="CCEEFF"/>
                        </a:solidFill>
                      </wps:spPr>
                      <wps:bodyPr/>
                    </wps:wsp>
                  </a:graphicData>
                </a:graphic>
              </wp:anchor>
            </w:drawing>
          </mc:Choice>
          <mc:Fallback>
            <w:pict>
              <v:rect id="Shape 179" o:spid="_x0000_s1204" style="position:absolute;margin-left:-1.1499pt;margin-top:0pt;width:51.1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CEEFF" stroked="f"/>
            </w:pict>
          </mc:Fallback>
        </mc:AlternateContent>
      </w:r>
    </w:p>
    <w:p>
      <w:pPr>
        <w:jc w:val="right"/>
        <w:ind w:right="60"/>
        <w:spacing w:after="0"/>
        <w:rPr>
          <w:sz w:val="20"/>
          <w:szCs w:val="20"/>
          <w:color w:val="auto"/>
        </w:rPr>
      </w:pPr>
      <w:r>
        <w:rPr>
          <w:rFonts w:ascii="Times New Roman" w:cs="Times New Roman" w:eastAsia="Times New Roman" w:hAnsi="Times New Roman"/>
          <w:sz w:val="20"/>
          <w:szCs w:val="20"/>
          <w:color w:val="auto"/>
        </w:rPr>
        <w:t>94</w:t>
      </w:r>
    </w:p>
    <w:p>
      <w:pPr>
        <w:jc w:val="right"/>
        <w:ind w:right="60"/>
        <w:spacing w:after="0"/>
        <w:rPr>
          <w:sz w:val="20"/>
          <w:szCs w:val="20"/>
          <w:color w:val="auto"/>
        </w:rPr>
      </w:pPr>
      <w:r>
        <w:rPr>
          <w:rFonts w:ascii="Times New Roman" w:cs="Times New Roman" w:eastAsia="Times New Roman" w:hAnsi="Times New Roman"/>
          <w:sz w:val="20"/>
          <w:szCs w:val="20"/>
          <w:color w:val="auto"/>
        </w:rPr>
        <w:t>439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-14605</wp:posOffset>
                </wp:positionH>
                <wp:positionV relativeFrom="paragraph">
                  <wp:posOffset>1270</wp:posOffset>
                </wp:positionV>
                <wp:extent cx="648970" cy="146685"/>
                <wp:wrapNone/>
                <wp:docPr id="180" name="Shape 1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8970" cy="146685"/>
                        </a:xfrm>
                        <a:prstGeom prst="rect">
                          <a:avLst/>
                        </a:prstGeom>
                        <a:solidFill>
                          <a:srgbClr val="CCEEFF"/>
                        </a:solidFill>
                      </wps:spPr>
                      <wps:bodyPr/>
                    </wps:wsp>
                  </a:graphicData>
                </a:graphic>
              </wp:anchor>
            </w:drawing>
          </mc:Choice>
          <mc:Fallback>
            <w:pict>
              <v:rect id="Shape 180" o:spid="_x0000_s1205" style="position:absolute;margin-left:-1.1499pt;margin-top:0.1pt;width:51.1pt;height:11.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CEEFF" stroked="f"/>
            </w:pict>
          </mc:Fallback>
        </mc:AlternateContent>
      </w:r>
    </w:p>
    <w:p>
      <w:pPr>
        <w:jc w:val="right"/>
        <w:ind w:right="60"/>
        <w:spacing w:after="0"/>
        <w:rPr>
          <w:sz w:val="20"/>
          <w:szCs w:val="20"/>
          <w:color w:val="auto"/>
        </w:rPr>
      </w:pPr>
      <w:r>
        <w:rPr>
          <w:rFonts w:ascii="Times New Roman" w:cs="Times New Roman" w:eastAsia="Times New Roman" w:hAnsi="Times New Roman"/>
          <w:sz w:val="20"/>
          <w:szCs w:val="20"/>
          <w:color w:val="auto"/>
        </w:rPr>
        <w:t>3,138</w:t>
      </w:r>
    </w:p>
    <w:p>
      <w:pPr>
        <w:jc w:val="right"/>
        <w:spacing w:after="0"/>
        <w:rPr>
          <w:sz w:val="20"/>
          <w:szCs w:val="20"/>
          <w:color w:val="auto"/>
        </w:rPr>
      </w:pPr>
      <w:r>
        <w:rPr>
          <w:rFonts w:ascii="Times New Roman" w:cs="Times New Roman" w:eastAsia="Times New Roman" w:hAnsi="Times New Roman"/>
          <w:sz w:val="20"/>
          <w:szCs w:val="20"/>
          <w:color w:val="auto"/>
        </w:rPr>
        <w:t>(1,063)</w:t>
      </w:r>
    </w:p>
    <w:p>
      <w:pPr>
        <w:spacing w:after="0" w:line="10"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20"/>
          <w:szCs w:val="20"/>
          <w:color w:val="auto"/>
        </w:rPr>
        <w:t>2,075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-23495</wp:posOffset>
                </wp:positionH>
                <wp:positionV relativeFrom="paragraph">
                  <wp:posOffset>16510</wp:posOffset>
                </wp:positionV>
                <wp:extent cx="657860" cy="0"/>
                <wp:wrapNone/>
                <wp:docPr id="181" name="Shape 1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7860" cy="4763"/>
                        </a:xfrm>
                        <a:prstGeom prst="line">
                          <a:avLst/>
                        </a:prstGeom>
                        <a:solidFill>
                          <a:srgbClr val="FFFFFF"/>
                        </a:solidFill>
                        <a:ln w="6108">
                          <a:solidFill>
                            <a:srgbClr val="000000"/>
                          </a:solidFill>
                          <a:miter lim="800000"/>
                          <a:headEnd/>
                          <a:tailEnd/>
                        </a:ln>
                      </wps:spPr>
                      <wps:bodyPr/>
                    </wps:wsp>
                  </a:graphicData>
                </a:graphic>
              </wp:anchor>
            </w:drawing>
          </mc:Choice>
          <mc:Fallback>
            <w:pict>
              <v:line id="Shape 181" o:spid="_x0000_s120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499pt,1.3pt" to="49.95pt,1.3pt" o:allowincell="f" strokecolor="#000000" strokeweight="0.4809pt"/>
            </w:pict>
          </mc:Fallback>
        </mc:AlternateContent>
        <mc:AlternateContent>
          <mc:Choice Requires="wps">
            <w:drawing>
              <wp:anchor simplePos="0" relativeHeight="251657728" behindDoc="1" locked="0" layoutInCell="0" allowOverlap="1">
                <wp:simplePos x="0" y="0"/>
                <wp:positionH relativeFrom="column">
                  <wp:posOffset>-23495</wp:posOffset>
                </wp:positionH>
                <wp:positionV relativeFrom="paragraph">
                  <wp:posOffset>4445</wp:posOffset>
                </wp:positionV>
                <wp:extent cx="657860" cy="0"/>
                <wp:wrapNone/>
                <wp:docPr id="182" name="Shape 1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786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82" o:spid="_x0000_s120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499pt,0.35pt" to="49.95pt,0.35pt" o:allowincell="f" strokecolor="#000000" strokeweight="0.4799pt"/>
            </w:pict>
          </mc:Fallback>
        </mc:AlternateConten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color w:val="auto"/>
        </w:rPr>
        <w:t>2024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-14605</wp:posOffset>
                </wp:positionH>
                <wp:positionV relativeFrom="paragraph">
                  <wp:posOffset>7620</wp:posOffset>
                </wp:positionV>
                <wp:extent cx="648970" cy="146685"/>
                <wp:wrapNone/>
                <wp:docPr id="183" name="Shape 1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8970" cy="146685"/>
                        </a:xfrm>
                        <a:prstGeom prst="rect">
                          <a:avLst/>
                        </a:prstGeom>
                        <a:solidFill>
                          <a:srgbClr val="CCEEFF"/>
                        </a:solidFill>
                      </wps:spPr>
                      <wps:bodyPr/>
                    </wps:wsp>
                  </a:graphicData>
                </a:graphic>
              </wp:anchor>
            </w:drawing>
          </mc:Choice>
          <mc:Fallback>
            <w:pict>
              <v:rect id="Shape 183" o:spid="_x0000_s1208" style="position:absolute;margin-left:-1.1499pt;margin-top:0.6pt;width:51.1pt;height:11.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CEEFF" stroked="f"/>
            </w:pict>
          </mc:Fallback>
        </mc:AlternateContent>
        <mc:AlternateContent>
          <mc:Choice Requires="wps">
            <w:drawing>
              <wp:anchor simplePos="0" relativeHeight="251657728" behindDoc="1" locked="0" layoutInCell="0" allowOverlap="1">
                <wp:simplePos x="0" y="0"/>
                <wp:positionH relativeFrom="column">
                  <wp:posOffset>-14605</wp:posOffset>
                </wp:positionH>
                <wp:positionV relativeFrom="paragraph">
                  <wp:posOffset>3175</wp:posOffset>
                </wp:positionV>
                <wp:extent cx="648970" cy="0"/>
                <wp:wrapNone/>
                <wp:docPr id="184" name="Shape 1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897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84" o:spid="_x0000_s120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499pt,0.25pt" to="49.95pt,0.25pt" o:allowincell="f" strokecolor="#000000" strokeweight="0.4799pt"/>
            </w:pict>
          </mc:Fallback>
        </mc:AlternateContent>
      </w:r>
    </w:p>
    <w:p>
      <w:pPr>
        <w:jc w:val="right"/>
        <w:ind w:right="60"/>
        <w:spacing w:after="0"/>
        <w:rPr>
          <w:sz w:val="20"/>
          <w:szCs w:val="20"/>
          <w:color w:val="auto"/>
        </w:rPr>
      </w:pPr>
      <w:r>
        <w:rPr>
          <w:rFonts w:ascii="Times New Roman" w:cs="Times New Roman" w:eastAsia="Times New Roman" w:hAnsi="Times New Roman"/>
          <w:sz w:val="20"/>
          <w:szCs w:val="20"/>
          <w:color w:val="auto"/>
        </w:rPr>
        <w:t>1,038</w:t>
      </w:r>
    </w:p>
    <w:p>
      <w:pPr>
        <w:jc w:val="right"/>
        <w:ind w:right="60"/>
        <w:spacing w:after="0"/>
        <w:rPr>
          <w:sz w:val="20"/>
          <w:szCs w:val="20"/>
          <w:color w:val="auto"/>
        </w:rPr>
      </w:pPr>
      <w:r>
        <w:rPr>
          <w:rFonts w:ascii="Times New Roman" w:cs="Times New Roman" w:eastAsia="Times New Roman" w:hAnsi="Times New Roman"/>
          <w:sz w:val="20"/>
          <w:szCs w:val="20"/>
          <w:color w:val="auto"/>
        </w:rPr>
        <w:t>757</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-14605</wp:posOffset>
                </wp:positionH>
                <wp:positionV relativeFrom="paragraph">
                  <wp:posOffset>0</wp:posOffset>
                </wp:positionV>
                <wp:extent cx="648970" cy="146050"/>
                <wp:wrapNone/>
                <wp:docPr id="185" name="Shape 1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8970" cy="146050"/>
                        </a:xfrm>
                        <a:prstGeom prst="rect">
                          <a:avLst/>
                        </a:prstGeom>
                        <a:solidFill>
                          <a:srgbClr val="CCEEFF"/>
                        </a:solidFill>
                      </wps:spPr>
                      <wps:bodyPr/>
                    </wps:wsp>
                  </a:graphicData>
                </a:graphic>
              </wp:anchor>
            </w:drawing>
          </mc:Choice>
          <mc:Fallback>
            <w:pict>
              <v:rect id="Shape 185" o:spid="_x0000_s1210" style="position:absolute;margin-left:-1.1499pt;margin-top:0pt;width:51.1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CEEFF" stroked="f"/>
            </w:pict>
          </mc:Fallback>
        </mc:AlternateContent>
      </w:r>
    </w:p>
    <w:p>
      <w:pPr>
        <w:jc w:val="right"/>
        <w:ind w:right="60"/>
        <w:spacing w:after="0"/>
        <w:rPr>
          <w:sz w:val="20"/>
          <w:szCs w:val="20"/>
          <w:color w:val="auto"/>
        </w:rPr>
      </w:pPr>
      <w:r>
        <w:rPr>
          <w:rFonts w:ascii="Times New Roman" w:cs="Times New Roman" w:eastAsia="Times New Roman" w:hAnsi="Times New Roman"/>
          <w:sz w:val="20"/>
          <w:szCs w:val="20"/>
          <w:color w:val="auto"/>
        </w:rPr>
        <w:t>670</w:t>
      </w:r>
    </w:p>
    <w:p>
      <w:pPr>
        <w:jc w:val="right"/>
        <w:ind w:right="60"/>
        <w:spacing w:after="0"/>
        <w:rPr>
          <w:sz w:val="20"/>
          <w:szCs w:val="20"/>
          <w:color w:val="auto"/>
        </w:rPr>
      </w:pPr>
      <w:r>
        <w:rPr>
          <w:rFonts w:ascii="Times New Roman" w:cs="Times New Roman" w:eastAsia="Times New Roman" w:hAnsi="Times New Roman"/>
          <w:sz w:val="20"/>
          <w:szCs w:val="20"/>
          <w:color w:val="auto"/>
        </w:rPr>
        <w:t>224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-14605</wp:posOffset>
                </wp:positionH>
                <wp:positionV relativeFrom="paragraph">
                  <wp:posOffset>1270</wp:posOffset>
                </wp:positionV>
                <wp:extent cx="648970" cy="146685"/>
                <wp:wrapNone/>
                <wp:docPr id="186" name="Shape 1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8970" cy="146685"/>
                        </a:xfrm>
                        <a:prstGeom prst="rect">
                          <a:avLst/>
                        </a:prstGeom>
                        <a:solidFill>
                          <a:srgbClr val="CCEEFF"/>
                        </a:solidFill>
                      </wps:spPr>
                      <wps:bodyPr/>
                    </wps:wsp>
                  </a:graphicData>
                </a:graphic>
              </wp:anchor>
            </w:drawing>
          </mc:Choice>
          <mc:Fallback>
            <w:pict>
              <v:rect id="Shape 186" o:spid="_x0000_s1211" style="position:absolute;margin-left:-1.1499pt;margin-top:0.1pt;width:51.1pt;height:11.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CEEFF" stroked="f"/>
            </w:pict>
          </mc:Fallback>
        </mc:AlternateContent>
      </w:r>
    </w:p>
    <w:p>
      <w:pPr>
        <w:jc w:val="right"/>
        <w:ind w:right="60"/>
        <w:spacing w:after="0"/>
        <w:rPr>
          <w:sz w:val="20"/>
          <w:szCs w:val="20"/>
          <w:color w:val="auto"/>
        </w:rPr>
      </w:pPr>
      <w:r>
        <w:rPr>
          <w:rFonts w:ascii="Times New Roman" w:cs="Times New Roman" w:eastAsia="Times New Roman" w:hAnsi="Times New Roman"/>
          <w:sz w:val="20"/>
          <w:szCs w:val="20"/>
          <w:color w:val="auto"/>
        </w:rPr>
        <w:t>—</w:t>
      </w:r>
    </w:p>
    <w:p>
      <w:pPr>
        <w:jc w:val="right"/>
        <w:ind w:right="60"/>
        <w:spacing w:after="0"/>
        <w:rPr>
          <w:sz w:val="20"/>
          <w:szCs w:val="20"/>
          <w:color w:val="auto"/>
        </w:rPr>
      </w:pP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-14605</wp:posOffset>
                </wp:positionH>
                <wp:positionV relativeFrom="paragraph">
                  <wp:posOffset>6350</wp:posOffset>
                </wp:positionV>
                <wp:extent cx="648970" cy="146050"/>
                <wp:wrapNone/>
                <wp:docPr id="187" name="Shape 1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8970" cy="146050"/>
                        </a:xfrm>
                        <a:prstGeom prst="rect">
                          <a:avLst/>
                        </a:prstGeom>
                        <a:solidFill>
                          <a:srgbClr val="CCEEFF"/>
                        </a:solidFill>
                      </wps:spPr>
                      <wps:bodyPr/>
                    </wps:wsp>
                  </a:graphicData>
                </a:graphic>
              </wp:anchor>
            </w:drawing>
          </mc:Choice>
          <mc:Fallback>
            <w:pict>
              <v:rect id="Shape 187" o:spid="_x0000_s1212" style="position:absolute;margin-left:-1.1499pt;margin-top:0.5pt;width:51.1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CEEFF" stroked="f"/>
            </w:pict>
          </mc:Fallback>
        </mc:AlternateContent>
        <mc:AlternateContent>
          <mc:Choice Requires="wps">
            <w:drawing>
              <wp:anchor simplePos="0" relativeHeight="251657728" behindDoc="1" locked="0" layoutInCell="0" allowOverlap="1">
                <wp:simplePos x="0" y="0"/>
                <wp:positionH relativeFrom="column">
                  <wp:posOffset>-14605</wp:posOffset>
                </wp:positionH>
                <wp:positionV relativeFrom="paragraph">
                  <wp:posOffset>3175</wp:posOffset>
                </wp:positionV>
                <wp:extent cx="648970" cy="0"/>
                <wp:wrapNone/>
                <wp:docPr id="188" name="Shape 1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897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88" o:spid="_x0000_s121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499pt,0.25pt" to="49.95pt,0.25pt" o:allowincell="f" strokecolor="#000000" strokeweight="0.4799pt"/>
            </w:pict>
          </mc:Fallback>
        </mc:AlternateContent>
      </w:r>
    </w:p>
    <w:p>
      <w:pPr>
        <w:jc w:val="right"/>
        <w:ind w:right="60"/>
        <w:spacing w:after="0"/>
        <w:rPr>
          <w:sz w:val="20"/>
          <w:szCs w:val="20"/>
          <w:color w:val="auto"/>
        </w:rPr>
      </w:pPr>
      <w:r>
        <w:rPr>
          <w:rFonts w:ascii="Times New Roman" w:cs="Times New Roman" w:eastAsia="Times New Roman" w:hAnsi="Times New Roman"/>
          <w:sz w:val="20"/>
          <w:szCs w:val="20"/>
          <w:color w:val="auto"/>
        </w:rPr>
        <w:t>2,688</w:t>
      </w:r>
    </w:p>
    <w:p>
      <w:pPr>
        <w:jc w:val="right"/>
        <w:spacing w:after="0"/>
        <w:rPr>
          <w:sz w:val="20"/>
          <w:szCs w:val="20"/>
          <w:color w:val="auto"/>
        </w:rPr>
      </w:pPr>
      <w:r>
        <w:rPr>
          <w:rFonts w:ascii="Times New Roman" w:cs="Times New Roman" w:eastAsia="Times New Roman" w:hAnsi="Times New Roman"/>
          <w:sz w:val="20"/>
          <w:szCs w:val="20"/>
          <w:color w:val="auto"/>
        </w:rPr>
        <w:t>(1,038)</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-14605</wp:posOffset>
                </wp:positionH>
                <wp:positionV relativeFrom="paragraph">
                  <wp:posOffset>7620</wp:posOffset>
                </wp:positionV>
                <wp:extent cx="648970" cy="146050"/>
                <wp:wrapNone/>
                <wp:docPr id="189" name="Shape 1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8970" cy="146050"/>
                        </a:xfrm>
                        <a:prstGeom prst="rect">
                          <a:avLst/>
                        </a:prstGeom>
                        <a:solidFill>
                          <a:srgbClr val="CCEEFF"/>
                        </a:solidFill>
                      </wps:spPr>
                      <wps:bodyPr/>
                    </wps:wsp>
                  </a:graphicData>
                </a:graphic>
              </wp:anchor>
            </w:drawing>
          </mc:Choice>
          <mc:Fallback>
            <w:pict>
              <v:rect id="Shape 189" o:spid="_x0000_s1214" style="position:absolute;margin-left:-1.1499pt;margin-top:0.6pt;width:51.1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CEEFF" stroked="f"/>
            </w:pict>
          </mc:Fallback>
        </mc:AlternateContent>
        <mc:AlternateContent>
          <mc:Choice Requires="wps">
            <w:drawing>
              <wp:anchor simplePos="0" relativeHeight="251657728" behindDoc="1" locked="0" layoutInCell="0" allowOverlap="1">
                <wp:simplePos x="0" y="0"/>
                <wp:positionH relativeFrom="column">
                  <wp:posOffset>-14605</wp:posOffset>
                </wp:positionH>
                <wp:positionV relativeFrom="paragraph">
                  <wp:posOffset>4445</wp:posOffset>
                </wp:positionV>
                <wp:extent cx="648970" cy="0"/>
                <wp:wrapNone/>
                <wp:docPr id="190" name="Shape 1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8970" cy="4763"/>
                        </a:xfrm>
                        <a:prstGeom prst="line">
                          <a:avLst/>
                        </a:prstGeom>
                        <a:solidFill>
                          <a:srgbClr val="FFFFFF"/>
                        </a:solidFill>
                        <a:ln w="6108">
                          <a:solidFill>
                            <a:srgbClr val="000000"/>
                          </a:solidFill>
                          <a:miter lim="800000"/>
                          <a:headEnd/>
                          <a:tailEnd/>
                        </a:ln>
                      </wps:spPr>
                      <wps:bodyPr/>
                    </wps:wsp>
                  </a:graphicData>
                </a:graphic>
              </wp:anchor>
            </w:drawing>
          </mc:Choice>
          <mc:Fallback>
            <w:pict>
              <v:line id="Shape 190" o:spid="_x0000_s121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499pt,0.35pt" to="49.95pt,0.35pt" o:allowincell="f" strokecolor="#000000" strokeweight="0.4809pt"/>
            </w:pict>
          </mc:Fallback>
        </mc:AlternateContent>
      </w:r>
    </w:p>
    <w:p>
      <w:pPr>
        <w:jc w:val="right"/>
        <w:ind w:right="60"/>
        <w:spacing w:after="0"/>
        <w:rPr>
          <w:sz w:val="20"/>
          <w:szCs w:val="20"/>
          <w:color w:val="auto"/>
        </w:rPr>
      </w:pPr>
      <w:r>
        <w:rPr>
          <w:rFonts w:ascii="Times New Roman" w:cs="Times New Roman" w:eastAsia="Times New Roman" w:hAnsi="Times New Roman"/>
          <w:sz w:val="20"/>
          <w:szCs w:val="20"/>
          <w:color w:val="auto"/>
        </w:rPr>
        <w:t>1,650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-23495</wp:posOffset>
                </wp:positionH>
                <wp:positionV relativeFrom="paragraph">
                  <wp:posOffset>16510</wp:posOffset>
                </wp:positionV>
                <wp:extent cx="657860" cy="0"/>
                <wp:wrapNone/>
                <wp:docPr id="191" name="Shape 1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786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91" o:spid="_x0000_s121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499pt,1.3pt" to="49.95pt,1.3pt" o:allowincell="f" strokecolor="#000000" strokeweight="0.4799pt"/>
            </w:pict>
          </mc:Fallback>
        </mc:AlternateContent>
        <mc:AlternateContent>
          <mc:Choice Requires="wps">
            <w:drawing>
              <wp:anchor simplePos="0" relativeHeight="251657728" behindDoc="1" locked="0" layoutInCell="0" allowOverlap="1">
                <wp:simplePos x="0" y="0"/>
                <wp:positionH relativeFrom="column">
                  <wp:posOffset>-23495</wp:posOffset>
                </wp:positionH>
                <wp:positionV relativeFrom="paragraph">
                  <wp:posOffset>4445</wp:posOffset>
                </wp:positionV>
                <wp:extent cx="657860" cy="0"/>
                <wp:wrapNone/>
                <wp:docPr id="192" name="Shape 1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786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92" o:spid="_x0000_s121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499pt,0.35pt" to="49.95pt,0.35pt" o:allowincell="f" strokecolor="#000000" strokeweight="0.4799pt"/>
            </w:pict>
          </mc:Fallback>
        </mc:AlternateContent>
      </w:r>
    </w:p>
    <w:p>
      <w:pPr>
        <w:spacing w:after="0" w:line="200" w:lineRule="exact"/>
        <w:rPr>
          <w:sz w:val="20"/>
          <w:szCs w:val="20"/>
          <w:color w:val="auto"/>
        </w:rPr>
      </w:pPr>
    </w:p>
    <w:p>
      <w:pPr>
        <w:sectPr>
          <w:pgSz w:w="11900" w:h="16838" w:orient="portrait"/>
          <w:cols w:equalWidth="0" w:num="2">
            <w:col w:w="7660" w:space="720"/>
            <w:col w:w="1000"/>
          </w:cols>
          <w:pgMar w:left="1260" w:top="838" w:right="1266" w:bottom="723" w:gutter="0" w:footer="0" w:header="0"/>
          <w:type w:val="continuous"/>
        </w:sectPr>
      </w:pPr>
    </w:p>
    <w:p>
      <w:pPr>
        <w:spacing w:after="0" w:line="40" w:lineRule="exact"/>
        <w:rPr>
          <w:sz w:val="20"/>
          <w:szCs w:val="20"/>
          <w:color w:val="auto"/>
        </w:rPr>
      </w:pPr>
    </w:p>
    <w:p>
      <w:pPr>
        <w:jc w:val="both"/>
        <w:ind w:firstLine="720"/>
        <w:spacing w:after="0" w:line="279" w:lineRule="auto"/>
        <w:rPr>
          <w:sz w:val="20"/>
          <w:szCs w:val="20"/>
          <w:color w:val="auto"/>
        </w:rPr>
      </w:pPr>
      <w:r>
        <w:rPr>
          <w:rFonts w:ascii="Times New Roman" w:cs="Times New Roman" w:eastAsia="Times New Roman" w:hAnsi="Times New Roman"/>
          <w:sz w:val="20"/>
          <w:szCs w:val="20"/>
          <w:color w:val="auto"/>
        </w:rPr>
        <w:t>The weighted average remaining lease term and the weighted average discount rate for operating leases 4.46 years and 4.01% at December 31, 2025 and 3.12 years and 5.02% at December 31, 2024.</w:t>
      </w:r>
    </w:p>
    <w:p>
      <w:pPr>
        <w:spacing w:after="0" w:line="125" w:lineRule="exact"/>
        <w:rPr>
          <w:sz w:val="20"/>
          <w:szCs w:val="20"/>
          <w:color w:val="auto"/>
        </w:rPr>
      </w:pPr>
    </w:p>
    <w:p>
      <w:pPr>
        <w:jc w:val="both"/>
        <w:ind w:firstLine="720"/>
        <w:spacing w:after="0" w:line="259" w:lineRule="auto"/>
        <w:rPr>
          <w:sz w:val="20"/>
          <w:szCs w:val="20"/>
          <w:color w:val="auto"/>
        </w:rPr>
      </w:pPr>
      <w:r>
        <w:rPr>
          <w:rFonts w:ascii="Times New Roman" w:cs="Times New Roman" w:eastAsia="Times New Roman" w:hAnsi="Times New Roman"/>
          <w:sz w:val="20"/>
          <w:szCs w:val="20"/>
          <w:color w:val="auto"/>
        </w:rPr>
        <w:t>Total rent expenses under operating leases amounted to $1,242 thousand and $1,372 thousand for the years ended December 31, 2025 and 2024, respectively. These total rent expenses are related to office rentals, office equipment and car rentals.</w:t>
      </w:r>
    </w:p>
    <w:p>
      <w:pPr>
        <w:sectPr>
          <w:pgSz w:w="11900" w:h="16838" w:orient="portrait"/>
          <w:cols w:equalWidth="0" w:num="1">
            <w:col w:w="9380"/>
          </w:cols>
          <w:pgMar w:left="1260" w:top="838" w:right="1266" w:bottom="723"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F-28</w:t>
      </w:r>
    </w:p>
    <w:p>
      <w:pPr>
        <w:sectPr>
          <w:pgSz w:w="11900" w:h="16838" w:orient="portrait"/>
          <w:cols w:equalWidth="0" w:num="1">
            <w:col w:w="9380"/>
          </w:cols>
          <w:pgMar w:left="1260" w:top="838" w:right="1266" w:bottom="723" w:gutter="0" w:footer="0" w:header="0"/>
          <w:type w:val="continuous"/>
        </w:sectPr>
      </w:pPr>
    </w:p>
    <w:bookmarkStart w:id="83" w:name="page84"/>
    <w:bookmarkEnd w:id="83"/>
    <w:p>
      <w:pPr>
        <w:ind w:left="3180"/>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795655</wp:posOffset>
            </wp:positionH>
            <wp:positionV relativeFrom="page">
              <wp:posOffset>292735</wp:posOffset>
            </wp:positionV>
            <wp:extent cx="929005" cy="1149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106">
                      <a:extLst>
                        <a:ext uri="{28A0092B-C50C-407E-A947-70E740481C1C}"/>
                      </a:extLst>
                    </a:blip>
                    <a:srcRect/>
                    <a:stretch>
                      <a:fillRect/>
                    </a:stretch>
                  </pic:blipFill>
                  <pic:spPr bwMode="auto">
                    <a:xfrm>
                      <a:off x="0" y="0"/>
                      <a:ext cx="929005" cy="114935"/>
                    </a:xfrm>
                    <a:prstGeom prst="rect">
                      <a:avLst/>
                    </a:prstGeom>
                    <a:noFill/>
                  </pic:spPr>
                </pic:pic>
              </a:graphicData>
            </a:graphic>
          </wp:anchor>
        </w:drawing>
        <w:t>EDAP TMS S.A. AND SUBSIDIARIES</w:t>
      </w:r>
    </w:p>
    <w:p>
      <w:pPr>
        <w:ind w:left="2760"/>
        <w:spacing w:after="0"/>
        <w:rPr>
          <w:sz w:val="20"/>
          <w:szCs w:val="20"/>
          <w:color w:val="auto"/>
        </w:rPr>
      </w:pPr>
      <w:r>
        <w:rPr>
          <w:rFonts w:ascii="Times New Roman" w:cs="Times New Roman" w:eastAsia="Times New Roman" w:hAnsi="Times New Roman"/>
          <w:sz w:val="20"/>
          <w:szCs w:val="20"/>
          <w:b w:val="1"/>
          <w:bCs w:val="1"/>
          <w:color w:val="auto"/>
        </w:rPr>
        <w:t>CONSOLIDATED FINANCIAL STATEMENTS</w:t>
      </w:r>
    </w:p>
    <w:p>
      <w:pPr>
        <w:ind w:left="1500"/>
        <w:spacing w:after="0"/>
        <w:rPr>
          <w:sz w:val="20"/>
          <w:szCs w:val="20"/>
          <w:color w:val="auto"/>
        </w:rPr>
      </w:pPr>
      <w:r>
        <w:rPr>
          <w:rFonts w:ascii="Times New Roman" w:cs="Times New Roman" w:eastAsia="Times New Roman" w:hAnsi="Times New Roman"/>
          <w:sz w:val="20"/>
          <w:szCs w:val="20"/>
          <w:b w:val="1"/>
          <w:bCs w:val="1"/>
          <w:color w:val="auto"/>
        </w:rPr>
        <w:t>(In thousands of U.S. dollars unless otherwise noted, except per share data)</w:t>
      </w:r>
    </w:p>
    <w:p>
      <w:pPr>
        <w:spacing w:after="0" w:line="200" w:lineRule="exact"/>
        <w:rPr>
          <w:sz w:val="20"/>
          <w:szCs w:val="20"/>
          <w:color w:val="auto"/>
        </w:rPr>
      </w:pPr>
    </w:p>
    <w:p>
      <w:pPr>
        <w:spacing w:after="0" w:line="400" w:lineRule="exact"/>
        <w:rPr>
          <w:sz w:val="20"/>
          <w:szCs w:val="20"/>
          <w:color w:val="auto"/>
        </w:rPr>
      </w:pPr>
    </w:p>
    <w:p>
      <w:pPr>
        <w:ind w:left="20"/>
        <w:spacing w:after="0"/>
        <w:rPr>
          <w:sz w:val="20"/>
          <w:szCs w:val="20"/>
          <w:color w:val="auto"/>
        </w:rPr>
      </w:pPr>
      <w:r>
        <w:rPr>
          <w:sz w:val="1"/>
          <w:szCs w:val="1"/>
          <w:color w:val="auto"/>
        </w:rPr>
        <w:drawing>
          <wp:inline distT="0" distB="0" distL="0" distR="0">
            <wp:extent cx="254635" cy="95885"/>
            <wp:effectExtent l="0" t="0" r="0" b="0"/>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107">
                      <a:extLst>
                        <a:ext uri="{28A0092B-C50C-407E-A947-70E740481C1C}"/>
                      </a:extLst>
                    </a:blip>
                    <a:srcRect/>
                    <a:stretch>
                      <a:fillRect/>
                    </a:stretch>
                  </pic:blipFill>
                  <pic:spPr bwMode="auto">
                    <a:xfrm>
                      <a:off x="0" y="0"/>
                      <a:ext cx="254635" cy="95885"/>
                    </a:xfrm>
                    <a:prstGeom prst="rect">
                      <a:avLst/>
                    </a:prstGeom>
                    <a:noFill/>
                    <a:ln>
                      <a:noFill/>
                    </a:ln>
                  </pic:spPr>
                </pic:pic>
              </a:graphicData>
            </a:graphic>
          </wp:inline>
        </w:drawing>
      </w:r>
      <w:r>
        <w:rPr>
          <w:rFonts w:ascii="Times New Roman" w:cs="Times New Roman" w:eastAsia="Times New Roman" w:hAnsi="Times New Roman"/>
          <w:sz w:val="20"/>
          <w:szCs w:val="20"/>
          <w:b w:val="1"/>
          <w:bCs w:val="1"/>
          <w:color w:val="auto"/>
        </w:rPr>
        <w:t xml:space="preserve"> SHORT-TERM BORROWINGS</w:t>
      </w:r>
    </w:p>
    <w:p>
      <w:pPr>
        <w:spacing w:after="0" w:line="203" w:lineRule="exact"/>
        <w:rPr>
          <w:sz w:val="20"/>
          <w:szCs w:val="20"/>
          <w:color w:val="auto"/>
        </w:rPr>
      </w:pPr>
    </w:p>
    <w:p>
      <w:pPr>
        <w:jc w:val="both"/>
        <w:ind w:firstLine="720"/>
        <w:spacing w:after="0" w:line="279" w:lineRule="auto"/>
        <w:rPr>
          <w:sz w:val="20"/>
          <w:szCs w:val="20"/>
          <w:color w:val="auto"/>
        </w:rPr>
      </w:pPr>
      <w:r>
        <w:rPr>
          <w:rFonts w:ascii="Times New Roman" w:cs="Times New Roman" w:eastAsia="Times New Roman" w:hAnsi="Times New Roman"/>
          <w:sz w:val="20"/>
          <w:szCs w:val="20"/>
          <w:color w:val="auto"/>
        </w:rPr>
        <w:t>As of December 31, 2025 and 2024, short-term borrowings consist mainly of $3,667 thousand and $4,667 thousand of factored account receivables and for which the Company maintains the effective control, respectively.</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2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ind w:right="224"/>
              <w:spacing w:after="0"/>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Borders>
              <w:bottom w:val="single" w:sz="8" w:color="CCEEFF"/>
            </w:tcBorders>
            <w:gridSpan w:val="2"/>
          </w:tcPr>
          <w:p>
            <w:pPr>
              <w:spacing w:after="0"/>
              <w:rPr>
                <w:sz w:val="17"/>
                <w:szCs w:val="17"/>
                <w:color w:val="auto"/>
              </w:rPr>
            </w:pPr>
          </w:p>
        </w:tc>
        <w:tc>
          <w:tcPr>
            <w:tcW w:w="9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61"/>
        </w:trPr>
        <w:tc>
          <w:tcPr>
            <w:tcW w:w="7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Japanese and France Factored account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3,667</w:t>
            </w:r>
          </w:p>
        </w:tc>
        <w:tc>
          <w:tcPr>
            <w:tcW w:w="1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4,667</w:t>
            </w:r>
          </w:p>
        </w:tc>
      </w:tr>
      <w:tr>
        <w:trPr>
          <w:trHeight w:val="230"/>
        </w:trPr>
        <w:tc>
          <w:tcPr>
            <w:tcW w:w="72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USA Credit line</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2,000</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1,500</w:t>
            </w:r>
          </w:p>
        </w:tc>
      </w:tr>
      <w:tr>
        <w:trPr>
          <w:trHeight w:val="230"/>
        </w:trPr>
        <w:tc>
          <w:tcPr>
            <w:tcW w:w="7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Japanese Other Short-term borrowings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319</w:t>
            </w:r>
          </w:p>
        </w:tc>
        <w:tc>
          <w:tcPr>
            <w:tcW w:w="1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319</w:t>
            </w:r>
          </w:p>
        </w:tc>
      </w:tr>
      <w:tr>
        <w:trPr>
          <w:trHeight w:val="231"/>
        </w:trPr>
        <w:tc>
          <w:tcPr>
            <w:tcW w:w="724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Total</w:t>
            </w:r>
          </w:p>
        </w:tc>
        <w:tc>
          <w:tcPr>
            <w:tcW w:w="20" w:type="dxa"/>
            <w:vAlign w:val="bottom"/>
            <w:tcBorders>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5,986</w:t>
            </w:r>
          </w:p>
        </w:tc>
        <w:tc>
          <w:tcPr>
            <w:tcW w:w="2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6,485</w:t>
            </w:r>
          </w:p>
        </w:tc>
      </w:tr>
    </w:tbl>
    <w:p>
      <w:pPr>
        <w:spacing w:after="0" w:line="211" w:lineRule="exact"/>
        <w:rPr>
          <w:sz w:val="20"/>
          <w:szCs w:val="20"/>
          <w:color w:val="auto"/>
        </w:rPr>
      </w:pPr>
    </w:p>
    <w:p>
      <w:pPr>
        <w:jc w:val="both"/>
        <w:ind w:firstLine="720"/>
        <w:spacing w:after="0" w:line="259" w:lineRule="auto"/>
        <w:rPr>
          <w:sz w:val="20"/>
          <w:szCs w:val="20"/>
          <w:color w:val="auto"/>
        </w:rPr>
      </w:pPr>
      <w:r>
        <w:rPr>
          <w:rFonts w:ascii="Times New Roman" w:cs="Times New Roman" w:eastAsia="Times New Roman" w:hAnsi="Times New Roman"/>
          <w:sz w:val="20"/>
          <w:szCs w:val="20"/>
          <w:color w:val="auto"/>
        </w:rPr>
        <w:t>The U.S. credit line is tied to an investment for which the Company has access at all times for an amount equal to $2,400,000. If the investment is not maintained, the principal amount loaned along with interest and all amounts due to the lender for any reason will become immediately due and payable.</w:t>
      </w:r>
    </w:p>
    <w:p>
      <w:pPr>
        <w:spacing w:after="0" w:line="143" w:lineRule="exact"/>
        <w:rPr>
          <w:sz w:val="20"/>
          <w:szCs w:val="20"/>
          <w:color w:val="auto"/>
        </w:rPr>
      </w:pPr>
    </w:p>
    <w:p>
      <w:pPr>
        <w:jc w:val="right"/>
        <w:ind w:right="7080"/>
        <w:spacing w:after="0"/>
        <w:rPr>
          <w:sz w:val="20"/>
          <w:szCs w:val="20"/>
          <w:color w:val="auto"/>
        </w:rPr>
      </w:pPr>
      <w:r>
        <w:rPr>
          <w:sz w:val="1"/>
          <w:szCs w:val="1"/>
          <w:color w:val="auto"/>
        </w:rPr>
        <w:drawing>
          <wp:inline distT="0" distB="0" distL="0" distR="0">
            <wp:extent cx="254635" cy="95885"/>
            <wp:effectExtent l="0" t="0" r="0" b="0"/>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108">
                      <a:extLst>
                        <a:ext uri="{28A0092B-C50C-407E-A947-70E740481C1C}"/>
                      </a:extLst>
                    </a:blip>
                    <a:srcRect/>
                    <a:stretch>
                      <a:fillRect/>
                    </a:stretch>
                  </pic:blipFill>
                  <pic:spPr bwMode="auto">
                    <a:xfrm>
                      <a:off x="0" y="0"/>
                      <a:ext cx="254635" cy="95885"/>
                    </a:xfrm>
                    <a:prstGeom prst="rect">
                      <a:avLst/>
                    </a:prstGeom>
                    <a:noFill/>
                    <a:ln>
                      <a:noFill/>
                    </a:ln>
                  </pic:spPr>
                </pic:pic>
              </a:graphicData>
            </a:graphic>
          </wp:inline>
        </w:drawing>
      </w:r>
      <w:r>
        <w:rPr>
          <w:rFonts w:ascii="Times New Roman" w:cs="Times New Roman" w:eastAsia="Times New Roman" w:hAnsi="Times New Roman"/>
          <w:sz w:val="19"/>
          <w:szCs w:val="19"/>
          <w:b w:val="1"/>
          <w:bCs w:val="1"/>
          <w:color w:val="auto"/>
        </w:rPr>
        <w:t xml:space="preserve"> LONG TERM DEBT</w:t>
      </w:r>
    </w:p>
    <w:p>
      <w:pPr>
        <w:spacing w:after="0" w:line="216" w:lineRule="exact"/>
        <w:rPr>
          <w:sz w:val="20"/>
          <w:szCs w:val="20"/>
          <w:color w:val="auto"/>
        </w:rPr>
      </w:pPr>
    </w:p>
    <w:p>
      <w:pPr>
        <w:jc w:val="right"/>
        <w:ind w:right="7060"/>
        <w:spacing w:after="0"/>
        <w:tabs>
          <w:tab w:leader="none" w:pos="8380" w:val="left"/>
        </w:tabs>
        <w:rPr>
          <w:sz w:val="20"/>
          <w:szCs w:val="20"/>
          <w:color w:val="auto"/>
        </w:rPr>
      </w:pPr>
      <w:r>
        <w:rPr>
          <w:rFonts w:ascii="Times New Roman" w:cs="Times New Roman" w:eastAsia="Times New Roman" w:hAnsi="Times New Roman"/>
          <w:sz w:val="20"/>
          <w:szCs w:val="20"/>
          <w:b w:val="1"/>
          <w:bCs w:val="1"/>
          <w:i w:val="1"/>
          <w:iCs w:val="1"/>
          <w:color w:val="auto"/>
        </w:rPr>
        <w:t>16-1</w:t>
        <w:tab/>
        <w:t>Long-term debt:</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20" w:type="dxa"/>
            <w:vAlign w:val="bottom"/>
            <w:tcBorders>
              <w:bottom w:val="single" w:sz="8" w:color="auto"/>
            </w:tcBorders>
            <w:gridSpan w:val="4"/>
          </w:tcPr>
          <w:p>
            <w:pPr>
              <w:jc w:val="right"/>
              <w:ind w:right="465"/>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174"/>
        </w:trPr>
        <w:tc>
          <w:tcPr>
            <w:tcW w:w="73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ind w:right="184"/>
              <w:spacing w:after="0" w:line="175" w:lineRule="exact"/>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Borders>
              <w:bottom w:val="single" w:sz="8" w:color="CCEEFF"/>
            </w:tcBorders>
            <w:gridSpan w:val="2"/>
          </w:tcPr>
          <w:p>
            <w:pPr>
              <w:spacing w:after="0"/>
              <w:rPr>
                <w:sz w:val="15"/>
                <w:szCs w:val="15"/>
                <w:color w:val="auto"/>
              </w:rPr>
            </w:pPr>
          </w:p>
        </w:tc>
        <w:tc>
          <w:tcPr>
            <w:tcW w:w="900" w:type="dxa"/>
            <w:vAlign w:val="bottom"/>
            <w:tcBorders>
              <w:bottom w:val="single" w:sz="8" w:color="auto"/>
            </w:tcBorders>
          </w:tcPr>
          <w:p>
            <w:pPr>
              <w:jc w:val="right"/>
              <w:ind w:right="185"/>
              <w:spacing w:after="0" w:line="175" w:lineRule="exact"/>
              <w:rPr>
                <w:sz w:val="20"/>
                <w:szCs w:val="20"/>
                <w:color w:val="auto"/>
              </w:rPr>
            </w:pPr>
            <w:r>
              <w:rPr>
                <w:rFonts w:ascii="Times New Roman" w:cs="Times New Roman" w:eastAsia="Times New Roman" w:hAnsi="Times New Roman"/>
                <w:sz w:val="16"/>
                <w:szCs w:val="16"/>
                <w:b w:val="1"/>
                <w:bCs w:val="1"/>
                <w:color w:val="auto"/>
              </w:rPr>
              <w:t>2024</w:t>
            </w:r>
          </w:p>
        </w:tc>
      </w:tr>
      <w:tr>
        <w:trPr>
          <w:trHeight w:val="222"/>
        </w:trPr>
        <w:tc>
          <w:tcPr>
            <w:tcW w:w="7360" w:type="dxa"/>
            <w:vAlign w:val="bottom"/>
            <w:gridSpan w:val="2"/>
            <w:shd w:val="clear" w:color="auto" w:fill="CCEEFF"/>
          </w:tcPr>
          <w:p>
            <w:pPr>
              <w:spacing w:after="0" w:line="223" w:lineRule="exact"/>
              <w:rPr>
                <w:sz w:val="20"/>
                <w:szCs w:val="20"/>
                <w:color w:val="auto"/>
              </w:rPr>
            </w:pPr>
            <w:r>
              <w:rPr>
                <w:rFonts w:ascii="Times New Roman" w:cs="Times New Roman" w:eastAsia="Times New Roman" w:hAnsi="Times New Roman"/>
                <w:sz w:val="20"/>
                <w:szCs w:val="20"/>
                <w:color w:val="auto"/>
              </w:rPr>
              <w:t>France term loan</w:t>
            </w:r>
          </w:p>
        </w:tc>
        <w:tc>
          <w:tcPr>
            <w:tcW w:w="88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17,980</w:t>
            </w:r>
          </w:p>
        </w:tc>
        <w:tc>
          <w:tcPr>
            <w:tcW w:w="1140" w:type="dxa"/>
            <w:vAlign w:val="bottom"/>
            <w:gridSpan w:val="3"/>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4,603</w:t>
            </w:r>
          </w:p>
        </w:tc>
      </w:tr>
      <w:tr>
        <w:trPr>
          <w:trHeight w:val="230"/>
        </w:trPr>
        <w:tc>
          <w:tcPr>
            <w:tcW w:w="7360" w:type="dxa"/>
            <w:vAlign w:val="bottom"/>
            <w:gridSpan w:val="2"/>
          </w:tcPr>
          <w:p>
            <w:pPr>
              <w:ind w:left="60"/>
              <w:spacing w:after="0"/>
              <w:rPr>
                <w:sz w:val="20"/>
                <w:szCs w:val="20"/>
                <w:color w:val="auto"/>
              </w:rPr>
            </w:pPr>
            <w:r>
              <w:rPr>
                <w:rFonts w:ascii="Times New Roman" w:cs="Times New Roman" w:eastAsia="Times New Roman" w:hAnsi="Times New Roman"/>
                <w:sz w:val="20"/>
                <w:szCs w:val="20"/>
                <w:i w:val="1"/>
                <w:iCs w:val="1"/>
                <w:color w:val="auto"/>
              </w:rPr>
              <w:t>Including EIB Loan</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i w:val="1"/>
                <w:iCs w:val="1"/>
                <w:color w:val="auto"/>
              </w:rPr>
              <w:t>6,943</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i w:val="1"/>
                <w:iCs w:val="1"/>
                <w:color w:val="auto"/>
              </w:rPr>
              <w:t>—</w:t>
            </w:r>
          </w:p>
        </w:tc>
      </w:tr>
      <w:tr>
        <w:trPr>
          <w:trHeight w:val="230"/>
        </w:trPr>
        <w:tc>
          <w:tcPr>
            <w:tcW w:w="73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20"/>
                <w:szCs w:val="20"/>
                <w:i w:val="1"/>
                <w:iCs w:val="1"/>
                <w:color w:val="auto"/>
              </w:rPr>
              <w:t>Including EIB warrants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i w:val="1"/>
                <w:iCs w:val="1"/>
                <w:color w:val="auto"/>
              </w:rPr>
              <w:t>8,115</w:t>
            </w: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i w:val="1"/>
                <w:iCs w:val="1"/>
                <w:color w:val="auto"/>
              </w:rPr>
              <w:t>—</w:t>
            </w:r>
          </w:p>
        </w:tc>
      </w:tr>
      <w:tr>
        <w:trPr>
          <w:trHeight w:val="230"/>
        </w:trPr>
        <w:tc>
          <w:tcPr>
            <w:tcW w:w="73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Japanese term loan</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143</w:t>
            </w:r>
          </w:p>
        </w:tc>
      </w:tr>
      <w:tr>
        <w:trPr>
          <w:trHeight w:val="233"/>
        </w:trPr>
        <w:tc>
          <w:tcPr>
            <w:tcW w:w="7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Korea term loan</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w:t>
            </w:r>
          </w:p>
        </w:tc>
      </w:tr>
      <w:tr>
        <w:trPr>
          <w:trHeight w:val="230"/>
        </w:trPr>
        <w:tc>
          <w:tcPr>
            <w:tcW w:w="73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Total long-term debt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18,023</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4,749</w:t>
            </w:r>
          </w:p>
        </w:tc>
      </w:tr>
      <w:tr>
        <w:trPr>
          <w:trHeight w:val="250"/>
        </w:trPr>
        <w:tc>
          <w:tcPr>
            <w:tcW w:w="7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Less current portion</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(2,120)</w:t>
            </w: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(2,503)</w:t>
            </w:r>
          </w:p>
        </w:tc>
      </w:tr>
      <w:tr>
        <w:trPr>
          <w:trHeight w:val="211"/>
        </w:trPr>
        <w:tc>
          <w:tcPr>
            <w:tcW w:w="734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20"/>
                <w:szCs w:val="20"/>
                <w:color w:val="auto"/>
              </w:rPr>
              <w:t>Total long-term portion</w:t>
            </w:r>
          </w:p>
        </w:tc>
        <w:tc>
          <w:tcPr>
            <w:tcW w:w="20" w:type="dxa"/>
            <w:vAlign w:val="bottom"/>
            <w:tcBorders>
              <w:top w:val="single" w:sz="8" w:color="CCEEFF"/>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20"/>
                <w:szCs w:val="20"/>
                <w:color w:val="auto"/>
              </w:rPr>
              <w:t>15,903</w:t>
            </w: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20"/>
                <w:szCs w:val="20"/>
                <w:color w:val="auto"/>
              </w:rPr>
              <w:t>2,246</w:t>
            </w:r>
          </w:p>
        </w:tc>
      </w:tr>
    </w:tbl>
    <w:p>
      <w:pPr>
        <w:spacing w:after="0" w:line="21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u w:val="single" w:color="auto"/>
          <w:color w:val="auto"/>
        </w:rPr>
        <w:t>16-1-1 EIB Credit Facility and Warrants</w:t>
      </w:r>
    </w:p>
    <w:p>
      <w:pPr>
        <w:spacing w:after="0" w:line="200" w:lineRule="exact"/>
        <w:rPr>
          <w:sz w:val="20"/>
          <w:szCs w:val="20"/>
          <w:color w:val="auto"/>
        </w:rPr>
      </w:pPr>
    </w:p>
    <w:p>
      <w:pPr>
        <w:jc w:val="both"/>
        <w:ind w:firstLine="720"/>
        <w:spacing w:after="0" w:line="270" w:lineRule="auto"/>
        <w:rPr>
          <w:sz w:val="20"/>
          <w:szCs w:val="20"/>
          <w:color w:val="auto"/>
        </w:rPr>
      </w:pPr>
      <w:r>
        <w:rPr>
          <w:rFonts w:ascii="Times New Roman" w:cs="Times New Roman" w:eastAsia="Times New Roman" w:hAnsi="Times New Roman"/>
          <w:sz w:val="19"/>
          <w:szCs w:val="19"/>
          <w:color w:val="auto"/>
        </w:rPr>
        <w:t>The Tranche A borrowings and the Tranche A Warrants are each defined as freestanding financial instruments in accordance with ASC 480-10-20. At inception, the proceeds are allocated between i) the Warrants at their initial fair value and ii) a debt component for the residual amount. Subsequently, the Warrants are remeasured at fair value with changes in fair value reflected in earnings and the debt component is accounted for at amortized cost.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EIB – Tranche A Warrants</w:t>
      </w:r>
    </w:p>
    <w:p>
      <w:pPr>
        <w:spacing w:after="0" w:line="228" w:lineRule="exact"/>
        <w:rPr>
          <w:sz w:val="20"/>
          <w:szCs w:val="20"/>
          <w:color w:val="auto"/>
        </w:rPr>
      </w:pPr>
    </w:p>
    <w:p>
      <w:pPr>
        <w:jc w:val="both"/>
        <w:ind w:firstLine="720"/>
        <w:spacing w:after="0" w:line="279" w:lineRule="auto"/>
        <w:rPr>
          <w:sz w:val="20"/>
          <w:szCs w:val="20"/>
          <w:color w:val="auto"/>
        </w:rPr>
      </w:pPr>
      <w:r>
        <w:rPr>
          <w:rFonts w:ascii="Times New Roman" w:cs="Times New Roman" w:eastAsia="Times New Roman" w:hAnsi="Times New Roman"/>
          <w:sz w:val="20"/>
          <w:szCs w:val="20"/>
          <w:color w:val="auto"/>
        </w:rPr>
        <w:t>On October 17, 2025, the Company issued 2,624,421 Warrants to EIB as a condition to the financing of Tranche A.</w:t>
      </w:r>
    </w:p>
    <w:p>
      <w:pPr>
        <w:spacing w:after="0" w:line="154"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The Warrant Agreement includes a put option: EIB may request the Company to buy back the Warrants in cash for their fair market value as determined in accordance with the valuation principles set out in the Warrant Agreement.. The amount is capped at $23.5 million, and EIB may exercise the Warrants for which they did not exercise the put option.</w:t>
      </w:r>
    </w:p>
    <w:p>
      <w:pPr>
        <w:spacing w:after="0" w:line="180" w:lineRule="exact"/>
        <w:rPr>
          <w:sz w:val="20"/>
          <w:szCs w:val="20"/>
          <w:color w:val="auto"/>
        </w:rPr>
      </w:pPr>
    </w:p>
    <w:p>
      <w:pPr>
        <w:jc w:val="both"/>
        <w:ind w:firstLine="720"/>
        <w:spacing w:after="0" w:line="259" w:lineRule="auto"/>
        <w:rPr>
          <w:sz w:val="20"/>
          <w:szCs w:val="20"/>
          <w:color w:val="auto"/>
        </w:rPr>
      </w:pPr>
      <w:r>
        <w:rPr>
          <w:rFonts w:ascii="Times New Roman" w:cs="Times New Roman" w:eastAsia="Times New Roman" w:hAnsi="Times New Roman"/>
          <w:sz w:val="20"/>
          <w:szCs w:val="20"/>
          <w:color w:val="auto"/>
        </w:rPr>
        <w:t>Puttable warrants that permit the counterparty to require the issuer to pay cash to settle the warrant or to purchase the shares obtained upon exercise of the warrants, freestanding warrants and other similar instruments on shares that are redeemable require liability classification under ASC 480.</w:t>
      </w:r>
    </w:p>
    <w:p>
      <w:pPr>
        <w:spacing w:after="0" w:line="177"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Thus, Tranche A Warrants have been classified as a liability at inception (on October 17, 2025) and then changes in fair value are recognized in earnings in subsequent periods. The fair value of the Tranche A Warrants amounted to $5.4 million on their issuance date and then the closing value at December 31, 2025 amounted to $8.1 million, resulting in $2.7 million of financial expense.</w:t>
      </w:r>
    </w:p>
    <w:p>
      <w:pPr>
        <w:sectPr>
          <w:pgSz w:w="11900" w:h="16838" w:orient="portrait"/>
          <w:cols w:equalWidth="0" w:num="1">
            <w:col w:w="9380"/>
          </w:cols>
          <w:pgMar w:left="1260" w:top="838" w:right="1266" w:bottom="72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F-29</w:t>
      </w:r>
    </w:p>
    <w:p>
      <w:pPr>
        <w:sectPr>
          <w:pgSz w:w="11900" w:h="16838" w:orient="portrait"/>
          <w:cols w:equalWidth="0" w:num="1">
            <w:col w:w="9380"/>
          </w:cols>
          <w:pgMar w:left="1260" w:top="838" w:right="1266" w:bottom="723" w:gutter="0" w:footer="0" w:header="0"/>
          <w:type w:val="continuous"/>
        </w:sectPr>
      </w:pPr>
    </w:p>
    <w:bookmarkStart w:id="84" w:name="page85"/>
    <w:bookmarkEnd w:id="84"/>
    <w:p>
      <w:pPr>
        <w:ind w:left="3180"/>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795655</wp:posOffset>
            </wp:positionH>
            <wp:positionV relativeFrom="page">
              <wp:posOffset>292735</wp:posOffset>
            </wp:positionV>
            <wp:extent cx="929005" cy="1149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109">
                      <a:extLst>
                        <a:ext uri="{28A0092B-C50C-407E-A947-70E740481C1C}"/>
                      </a:extLst>
                    </a:blip>
                    <a:srcRect/>
                    <a:stretch>
                      <a:fillRect/>
                    </a:stretch>
                  </pic:blipFill>
                  <pic:spPr bwMode="auto">
                    <a:xfrm>
                      <a:off x="0" y="0"/>
                      <a:ext cx="929005" cy="114935"/>
                    </a:xfrm>
                    <a:prstGeom prst="rect">
                      <a:avLst/>
                    </a:prstGeom>
                    <a:noFill/>
                  </pic:spPr>
                </pic:pic>
              </a:graphicData>
            </a:graphic>
          </wp:anchor>
        </w:drawing>
        <w:t>EDAP TMS S.A. AND SUBSIDIARIES</w:t>
      </w:r>
    </w:p>
    <w:p>
      <w:pPr>
        <w:ind w:left="2760"/>
        <w:spacing w:after="0"/>
        <w:rPr>
          <w:sz w:val="20"/>
          <w:szCs w:val="20"/>
          <w:color w:val="auto"/>
        </w:rPr>
      </w:pPr>
      <w:r>
        <w:rPr>
          <w:rFonts w:ascii="Times New Roman" w:cs="Times New Roman" w:eastAsia="Times New Roman" w:hAnsi="Times New Roman"/>
          <w:sz w:val="20"/>
          <w:szCs w:val="20"/>
          <w:b w:val="1"/>
          <w:bCs w:val="1"/>
          <w:color w:val="auto"/>
        </w:rPr>
        <w:t>CONSOLIDATED FINANCIAL STATEMENTS</w:t>
      </w:r>
    </w:p>
    <w:p>
      <w:pPr>
        <w:ind w:left="1500"/>
        <w:spacing w:after="0"/>
        <w:rPr>
          <w:sz w:val="20"/>
          <w:szCs w:val="20"/>
          <w:color w:val="auto"/>
        </w:rPr>
      </w:pPr>
      <w:r>
        <w:rPr>
          <w:rFonts w:ascii="Times New Roman" w:cs="Times New Roman" w:eastAsia="Times New Roman" w:hAnsi="Times New Roman"/>
          <w:sz w:val="20"/>
          <w:szCs w:val="20"/>
          <w:b w:val="1"/>
          <w:bCs w:val="1"/>
          <w:color w:val="auto"/>
        </w:rPr>
        <w:t>(In thousands of U.S. dollars unless otherwise noted,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840" w:type="dxa"/>
            <w:vAlign w:val="bottom"/>
            <w:tcBorders>
              <w:bottom w:val="single" w:sz="8" w:color="CCEEFF"/>
            </w:tcBorders>
            <w:gridSpan w:val="2"/>
          </w:tcPr>
          <w:p>
            <w:pPr>
              <w:ind w:left="1520"/>
              <w:spacing w:after="0"/>
              <w:rPr>
                <w:sz w:val="20"/>
                <w:szCs w:val="20"/>
                <w:color w:val="auto"/>
              </w:rPr>
            </w:pPr>
            <w:r>
              <w:rPr>
                <w:rFonts w:ascii="Times New Roman" w:cs="Times New Roman" w:eastAsia="Times New Roman" w:hAnsi="Times New Roman"/>
                <w:sz w:val="16"/>
                <w:szCs w:val="16"/>
                <w:b w:val="1"/>
                <w:bCs w:val="1"/>
                <w:color w:val="auto"/>
              </w:rPr>
              <w:t>EIB Credit Facility Tranche A Warrants</w:t>
            </w:r>
          </w:p>
        </w:tc>
        <w:tc>
          <w:tcPr>
            <w:tcW w:w="1580" w:type="dxa"/>
            <w:vAlign w:val="bottom"/>
            <w:tcBorders>
              <w:bottom w:val="single" w:sz="8" w:color="auto"/>
            </w:tcBorders>
          </w:tcPr>
          <w:p>
            <w:pPr>
              <w:jc w:val="right"/>
              <w:ind w:right="283"/>
              <w:spacing w:after="0"/>
              <w:rPr>
                <w:sz w:val="20"/>
                <w:szCs w:val="20"/>
                <w:color w:val="auto"/>
              </w:rPr>
            </w:pPr>
            <w:r>
              <w:rPr>
                <w:rFonts w:ascii="Times New Roman" w:cs="Times New Roman" w:eastAsia="Times New Roman" w:hAnsi="Times New Roman"/>
                <w:sz w:val="16"/>
                <w:szCs w:val="16"/>
                <w:b w:val="1"/>
                <w:bCs w:val="1"/>
                <w:color w:val="auto"/>
              </w:rPr>
              <w:t>At inception</w:t>
            </w:r>
          </w:p>
        </w:tc>
        <w:tc>
          <w:tcPr>
            <w:tcW w:w="3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560" w:type="dxa"/>
            <w:vAlign w:val="bottom"/>
            <w:tcBorders>
              <w:bottom w:val="single" w:sz="8" w:color="auto"/>
            </w:tcBorders>
          </w:tcPr>
          <w:p>
            <w:pPr>
              <w:jc w:val="right"/>
              <w:ind w:right="265"/>
              <w:spacing w:after="0"/>
              <w:rPr>
                <w:sz w:val="20"/>
                <w:szCs w:val="20"/>
                <w:color w:val="auto"/>
              </w:rPr>
            </w:pPr>
            <w:r>
              <w:rPr>
                <w:rFonts w:ascii="Times New Roman" w:cs="Times New Roman" w:eastAsia="Times New Roman" w:hAnsi="Times New Roman"/>
                <w:sz w:val="16"/>
                <w:szCs w:val="16"/>
                <w:b w:val="1"/>
                <w:bCs w:val="1"/>
                <w:color w:val="auto"/>
              </w:rPr>
              <w:t>Dec 31, 2025</w:t>
            </w:r>
          </w:p>
        </w:tc>
      </w:tr>
      <w:tr>
        <w:trPr>
          <w:trHeight w:val="222"/>
        </w:trPr>
        <w:tc>
          <w:tcPr>
            <w:tcW w:w="5840" w:type="dxa"/>
            <w:vAlign w:val="bottom"/>
            <w:gridSpan w:val="2"/>
            <w:shd w:val="clear" w:color="auto" w:fill="CCEEFF"/>
          </w:tcPr>
          <w:p>
            <w:pPr>
              <w:spacing w:after="0" w:line="223" w:lineRule="exact"/>
              <w:rPr>
                <w:sz w:val="20"/>
                <w:szCs w:val="20"/>
                <w:color w:val="auto"/>
              </w:rPr>
            </w:pPr>
            <w:r>
              <w:rPr>
                <w:rFonts w:ascii="Times New Roman" w:cs="Times New Roman" w:eastAsia="Times New Roman" w:hAnsi="Times New Roman"/>
                <w:sz w:val="20"/>
                <w:szCs w:val="20"/>
                <w:color w:val="auto"/>
              </w:rPr>
              <w:t>Number of Warrants outstanding</w:t>
            </w:r>
          </w:p>
        </w:tc>
        <w:tc>
          <w:tcPr>
            <w:tcW w:w="158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2,624,421</w:t>
            </w:r>
          </w:p>
        </w:tc>
        <w:tc>
          <w:tcPr>
            <w:tcW w:w="1960" w:type="dxa"/>
            <w:vAlign w:val="bottom"/>
            <w:gridSpan w:val="3"/>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2,624,421</w:t>
            </w:r>
          </w:p>
        </w:tc>
      </w:tr>
      <w:tr>
        <w:trPr>
          <w:trHeight w:val="230"/>
        </w:trPr>
        <w:tc>
          <w:tcPr>
            <w:tcW w:w="58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20"/>
                <w:szCs w:val="20"/>
                <w:color w:val="auto"/>
              </w:rPr>
              <w:t>Number of shares per Warrant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1,610,074</w:t>
            </w:r>
          </w:p>
        </w:tc>
        <w:tc>
          <w:tcPr>
            <w:tcW w:w="400" w:type="dxa"/>
            <w:vAlign w:val="bottom"/>
            <w:tcBorders>
              <w:bottom w:val="single" w:sz="8" w:color="CCEEFF"/>
            </w:tcBorders>
            <w:gridSpan w:val="2"/>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797,696</w:t>
            </w:r>
          </w:p>
        </w:tc>
      </w:tr>
      <w:tr>
        <w:trPr>
          <w:trHeight w:val="240"/>
        </w:trPr>
        <w:tc>
          <w:tcPr>
            <w:tcW w:w="5840" w:type="dxa"/>
            <w:vAlign w:val="bottom"/>
            <w:gridSpan w:val="2"/>
            <w:shd w:val="clear" w:color="auto" w:fill="CCEEFF"/>
          </w:tcPr>
          <w:p>
            <w:pPr>
              <w:spacing w:after="0" w:line="220" w:lineRule="exact"/>
              <w:rPr>
                <w:sz w:val="20"/>
                <w:szCs w:val="20"/>
                <w:color w:val="auto"/>
              </w:rPr>
            </w:pPr>
            <w:r>
              <w:rPr>
                <w:rFonts w:ascii="Times New Roman" w:cs="Times New Roman" w:eastAsia="Times New Roman" w:hAnsi="Times New Roman"/>
                <w:sz w:val="20"/>
                <w:szCs w:val="20"/>
                <w:color w:val="auto"/>
              </w:rPr>
              <w:t>Share price</w:t>
            </w:r>
          </w:p>
        </w:tc>
        <w:tc>
          <w:tcPr>
            <w:tcW w:w="1580" w:type="dxa"/>
            <w:vAlign w:val="bottom"/>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1.63</w:t>
            </w:r>
          </w:p>
        </w:tc>
        <w:tc>
          <w:tcPr>
            <w:tcW w:w="1960" w:type="dxa"/>
            <w:vAlign w:val="bottom"/>
            <w:gridSpan w:val="3"/>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3.29</w:t>
            </w:r>
          </w:p>
        </w:tc>
      </w:tr>
      <w:tr>
        <w:trPr>
          <w:trHeight w:val="202"/>
        </w:trPr>
        <w:tc>
          <w:tcPr>
            <w:tcW w:w="5840" w:type="dxa"/>
            <w:vAlign w:val="bottom"/>
            <w:tcBorders>
              <w:top w:val="single" w:sz="8" w:color="CCEEFF"/>
              <w:bottom w:val="single" w:sz="8" w:color="CCEEFF"/>
            </w:tcBorders>
            <w:gridSpan w:val="2"/>
          </w:tcPr>
          <w:p>
            <w:pPr>
              <w:spacing w:after="0" w:line="203" w:lineRule="exact"/>
              <w:rPr>
                <w:sz w:val="20"/>
                <w:szCs w:val="20"/>
                <w:color w:val="auto"/>
              </w:rPr>
            </w:pPr>
            <w:r>
              <w:rPr>
                <w:rFonts w:ascii="Times New Roman" w:cs="Times New Roman" w:eastAsia="Times New Roman" w:hAnsi="Times New Roman"/>
                <w:sz w:val="20"/>
                <w:szCs w:val="20"/>
                <w:color w:val="auto"/>
              </w:rPr>
              <w:t>Volatility</w:t>
            </w:r>
          </w:p>
        </w:tc>
        <w:tc>
          <w:tcPr>
            <w:tcW w:w="15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20"/>
                <w:szCs w:val="20"/>
                <w:color w:val="auto"/>
              </w:rPr>
              <w:t>66%</w:t>
            </w:r>
          </w:p>
        </w:tc>
        <w:tc>
          <w:tcPr>
            <w:tcW w:w="380" w:type="dxa"/>
            <w:vAlign w:val="bottom"/>
            <w:tcBorders>
              <w:top w:val="single" w:sz="8" w:color="CCEEFF"/>
              <w:bottom w:val="single" w:sz="8" w:color="CCEEFF"/>
            </w:tcBorders>
          </w:tcPr>
          <w:p>
            <w:pPr>
              <w:spacing w:after="0"/>
              <w:rPr>
                <w:sz w:val="17"/>
                <w:szCs w:val="17"/>
                <w:color w:val="auto"/>
              </w:rPr>
            </w:pPr>
          </w:p>
        </w:tc>
        <w:tc>
          <w:tcPr>
            <w:tcW w:w="20" w:type="dxa"/>
            <w:vAlign w:val="bottom"/>
            <w:tcBorders>
              <w:top w:val="single" w:sz="8" w:color="CCEEFF"/>
              <w:bottom w:val="single" w:sz="8" w:color="CCEEFF"/>
            </w:tcBorders>
          </w:tcPr>
          <w:p>
            <w:pPr>
              <w:spacing w:after="0"/>
              <w:rPr>
                <w:sz w:val="17"/>
                <w:szCs w:val="17"/>
                <w:color w:val="auto"/>
              </w:rPr>
            </w:pPr>
          </w:p>
        </w:tc>
        <w:tc>
          <w:tcPr>
            <w:tcW w:w="15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20"/>
                <w:szCs w:val="20"/>
                <w:color w:val="auto"/>
              </w:rPr>
              <w:t>68%</w:t>
            </w:r>
          </w:p>
        </w:tc>
      </w:tr>
      <w:tr>
        <w:trPr>
          <w:trHeight w:val="240"/>
        </w:trPr>
        <w:tc>
          <w:tcPr>
            <w:tcW w:w="5840" w:type="dxa"/>
            <w:vAlign w:val="bottom"/>
            <w:gridSpan w:val="2"/>
            <w:shd w:val="clear" w:color="auto" w:fill="CCEEFF"/>
          </w:tcPr>
          <w:p>
            <w:pPr>
              <w:spacing w:after="0" w:line="220" w:lineRule="exact"/>
              <w:rPr>
                <w:sz w:val="20"/>
                <w:szCs w:val="20"/>
                <w:color w:val="auto"/>
              </w:rPr>
            </w:pPr>
            <w:r>
              <w:rPr>
                <w:rFonts w:ascii="Times New Roman" w:cs="Times New Roman" w:eastAsia="Times New Roman" w:hAnsi="Times New Roman"/>
                <w:sz w:val="20"/>
                <w:szCs w:val="20"/>
                <w:color w:val="auto"/>
              </w:rPr>
              <w:t>Maturity (years)</w:t>
            </w:r>
          </w:p>
        </w:tc>
        <w:tc>
          <w:tcPr>
            <w:tcW w:w="1580" w:type="dxa"/>
            <w:vAlign w:val="bottom"/>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20</w:t>
            </w:r>
          </w:p>
        </w:tc>
        <w:tc>
          <w:tcPr>
            <w:tcW w:w="1960" w:type="dxa"/>
            <w:vAlign w:val="bottom"/>
            <w:gridSpan w:val="3"/>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20</w:t>
            </w:r>
          </w:p>
        </w:tc>
      </w:tr>
      <w:tr>
        <w:trPr>
          <w:trHeight w:val="211"/>
        </w:trPr>
        <w:tc>
          <w:tcPr>
            <w:tcW w:w="582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20"/>
                <w:szCs w:val="20"/>
                <w:color w:val="auto"/>
              </w:rPr>
              <w:t>Faire value</w:t>
            </w:r>
          </w:p>
        </w:tc>
        <w:tc>
          <w:tcPr>
            <w:tcW w:w="20" w:type="dxa"/>
            <w:vAlign w:val="bottom"/>
            <w:tcBorders>
              <w:top w:val="single" w:sz="8" w:color="CCEEFF"/>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20"/>
                <w:szCs w:val="20"/>
                <w:color w:val="auto"/>
              </w:rPr>
              <w:t>5,438,290</w:t>
            </w:r>
          </w:p>
        </w:tc>
        <w:tc>
          <w:tcPr>
            <w:tcW w:w="38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15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20"/>
                <w:szCs w:val="20"/>
                <w:color w:val="auto"/>
              </w:rPr>
              <w:t>8,114,572</w:t>
            </w:r>
          </w:p>
        </w:tc>
      </w:tr>
    </w:tbl>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EIB Credit Facility – Tranche A – Financial debt at amortized cost</w:t>
      </w:r>
    </w:p>
    <w:p>
      <w:pPr>
        <w:spacing w:after="0" w:line="225"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Tranche A borrowings of $12.4 million were recognized as financial debt for the residual amount of $6.6 million at the issuance date, which takes into account the fair value of the derivative instrument (warrants) at inception and the borrowing costs of $0.8 million. The amortized cost of the loan amounts to $6.9 million at December 31, 2025, with an effective interest rate of 21.63%.</w:t>
      </w:r>
    </w:p>
    <w:p>
      <w:pPr>
        <w:spacing w:after="0" w:line="18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9"/>
          <w:szCs w:val="19"/>
          <w:color w:val="auto"/>
        </w:rPr>
        <w:t>The carrying value of the EIB borrowings and Warrants is as follows at inception and on December 31, 2025:</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840" w:type="dxa"/>
            <w:vAlign w:val="bottom"/>
            <w:tcBorders>
              <w:bottom w:val="single" w:sz="8" w:color="CCEEFF"/>
            </w:tcBorders>
            <w:gridSpan w:val="2"/>
          </w:tcPr>
          <w:p>
            <w:pPr>
              <w:ind w:left="2400"/>
              <w:spacing w:after="0"/>
              <w:rPr>
                <w:sz w:val="20"/>
                <w:szCs w:val="20"/>
                <w:color w:val="auto"/>
              </w:rPr>
            </w:pPr>
            <w:r>
              <w:rPr>
                <w:rFonts w:ascii="Times New Roman" w:cs="Times New Roman" w:eastAsia="Times New Roman" w:hAnsi="Times New Roman"/>
                <w:sz w:val="16"/>
                <w:szCs w:val="16"/>
                <w:b w:val="1"/>
                <w:bCs w:val="1"/>
                <w:color w:val="auto"/>
              </w:rPr>
              <w:t>EIB Tranche A</w:t>
            </w:r>
          </w:p>
        </w:tc>
        <w:tc>
          <w:tcPr>
            <w:tcW w:w="1580" w:type="dxa"/>
            <w:vAlign w:val="bottom"/>
            <w:tcBorders>
              <w:bottom w:val="single" w:sz="8" w:color="auto"/>
            </w:tcBorders>
          </w:tcPr>
          <w:p>
            <w:pPr>
              <w:jc w:val="right"/>
              <w:ind w:right="284"/>
              <w:spacing w:after="0"/>
              <w:rPr>
                <w:sz w:val="20"/>
                <w:szCs w:val="20"/>
                <w:color w:val="auto"/>
              </w:rPr>
            </w:pPr>
            <w:r>
              <w:rPr>
                <w:rFonts w:ascii="Times New Roman" w:cs="Times New Roman" w:eastAsia="Times New Roman" w:hAnsi="Times New Roman"/>
                <w:sz w:val="16"/>
                <w:szCs w:val="16"/>
                <w:b w:val="1"/>
                <w:bCs w:val="1"/>
                <w:color w:val="auto"/>
              </w:rPr>
              <w:t>At inception</w:t>
            </w:r>
          </w:p>
        </w:tc>
        <w:tc>
          <w:tcPr>
            <w:tcW w:w="3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5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6"/>
                <w:szCs w:val="16"/>
                <w:b w:val="1"/>
                <w:bCs w:val="1"/>
                <w:color w:val="auto"/>
              </w:rPr>
              <w:t>Dec 31, 2025</w:t>
            </w:r>
          </w:p>
        </w:tc>
      </w:tr>
      <w:tr>
        <w:trPr>
          <w:trHeight w:val="220"/>
        </w:trPr>
        <w:tc>
          <w:tcPr>
            <w:tcW w:w="5840" w:type="dxa"/>
            <w:vAlign w:val="bottom"/>
            <w:gridSpan w:val="2"/>
            <w:shd w:val="clear" w:color="auto" w:fill="CCEEFF"/>
          </w:tcPr>
          <w:p>
            <w:pPr>
              <w:spacing w:after="0" w:line="220" w:lineRule="exact"/>
              <w:rPr>
                <w:sz w:val="20"/>
                <w:szCs w:val="20"/>
                <w:color w:val="auto"/>
              </w:rPr>
            </w:pPr>
            <w:r>
              <w:rPr>
                <w:rFonts w:ascii="Times New Roman" w:cs="Times New Roman" w:eastAsia="Times New Roman" w:hAnsi="Times New Roman"/>
                <w:sz w:val="20"/>
                <w:szCs w:val="20"/>
                <w:color w:val="auto"/>
              </w:rPr>
              <w:t>Gross Debt component</w:t>
            </w:r>
          </w:p>
        </w:tc>
        <w:tc>
          <w:tcPr>
            <w:tcW w:w="1580" w:type="dxa"/>
            <w:vAlign w:val="bottom"/>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7,486,710</w:t>
            </w:r>
          </w:p>
        </w:tc>
        <w:tc>
          <w:tcPr>
            <w:tcW w:w="3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30"/>
        </w:trPr>
        <w:tc>
          <w:tcPr>
            <w:tcW w:w="58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20"/>
                <w:szCs w:val="20"/>
                <w:color w:val="auto"/>
              </w:rPr>
              <w:t>Expenses</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846,448</w:t>
            </w:r>
          </w:p>
        </w:tc>
        <w:tc>
          <w:tcPr>
            <w:tcW w:w="3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r>
      <w:tr>
        <w:trPr>
          <w:trHeight w:val="222"/>
        </w:trPr>
        <w:tc>
          <w:tcPr>
            <w:tcW w:w="5840" w:type="dxa"/>
            <w:vAlign w:val="bottom"/>
            <w:gridSpan w:val="2"/>
            <w:shd w:val="clear" w:color="auto" w:fill="CCEEFF"/>
          </w:tcPr>
          <w:p>
            <w:pPr>
              <w:spacing w:after="0" w:line="223" w:lineRule="exact"/>
              <w:rPr>
                <w:sz w:val="20"/>
                <w:szCs w:val="20"/>
                <w:color w:val="auto"/>
              </w:rPr>
            </w:pPr>
            <w:r>
              <w:rPr>
                <w:rFonts w:ascii="Times New Roman" w:cs="Times New Roman" w:eastAsia="Times New Roman" w:hAnsi="Times New Roman"/>
                <w:sz w:val="20"/>
                <w:szCs w:val="20"/>
                <w:color w:val="auto"/>
              </w:rPr>
              <w:t>Debt component - net value</w:t>
            </w:r>
          </w:p>
        </w:tc>
        <w:tc>
          <w:tcPr>
            <w:tcW w:w="1580" w:type="dxa"/>
            <w:vAlign w:val="bottom"/>
            <w:tcBorders>
              <w:bottom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6,640,262</w:t>
            </w:r>
          </w:p>
        </w:tc>
        <w:tc>
          <w:tcPr>
            <w:tcW w:w="1960" w:type="dxa"/>
            <w:vAlign w:val="bottom"/>
            <w:gridSpan w:val="3"/>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6,943,195</w:t>
            </w:r>
          </w:p>
        </w:tc>
      </w:tr>
      <w:tr>
        <w:trPr>
          <w:trHeight w:val="220"/>
        </w:trPr>
        <w:tc>
          <w:tcPr>
            <w:tcW w:w="5840" w:type="dxa"/>
            <w:vAlign w:val="bottom"/>
            <w:tcBorders>
              <w:bottom w:val="single" w:sz="8" w:color="CCEEFF"/>
            </w:tcBorders>
            <w:gridSpan w:val="2"/>
          </w:tcPr>
          <w:p>
            <w:pPr>
              <w:spacing w:after="0" w:line="220" w:lineRule="exact"/>
              <w:rPr>
                <w:sz w:val="20"/>
                <w:szCs w:val="20"/>
                <w:color w:val="auto"/>
              </w:rPr>
            </w:pPr>
            <w:r>
              <w:rPr>
                <w:rFonts w:ascii="Times New Roman" w:cs="Times New Roman" w:eastAsia="Times New Roman" w:hAnsi="Times New Roman"/>
                <w:sz w:val="20"/>
                <w:szCs w:val="20"/>
                <w:color w:val="auto"/>
              </w:rPr>
              <w:t>Warrants</w:t>
            </w:r>
          </w:p>
        </w:tc>
        <w:tc>
          <w:tcPr>
            <w:tcW w:w="158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5,438,290</w:t>
            </w:r>
          </w:p>
        </w:tc>
        <w:tc>
          <w:tcPr>
            <w:tcW w:w="400" w:type="dxa"/>
            <w:vAlign w:val="bottom"/>
            <w:tcBorders>
              <w:bottom w:val="single" w:sz="8" w:color="CCEEFF"/>
            </w:tcBorders>
            <w:gridSpan w:val="2"/>
          </w:tcPr>
          <w:p>
            <w:pPr>
              <w:spacing w:after="0"/>
              <w:rPr>
                <w:sz w:val="19"/>
                <w:szCs w:val="19"/>
                <w:color w:val="auto"/>
              </w:rPr>
            </w:pPr>
          </w:p>
        </w:tc>
        <w:tc>
          <w:tcPr>
            <w:tcW w:w="156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8,114,572</w:t>
            </w:r>
          </w:p>
        </w:tc>
      </w:tr>
      <w:tr>
        <w:trPr>
          <w:trHeight w:val="231"/>
        </w:trPr>
        <w:tc>
          <w:tcPr>
            <w:tcW w:w="5820" w:type="dxa"/>
            <w:vAlign w:val="bottom"/>
            <w:shd w:val="clear" w:color="auto" w:fill="CCEEFF"/>
          </w:tcPr>
          <w:p>
            <w:pPr>
              <w:spacing w:after="0" w:line="220" w:lineRule="exact"/>
              <w:rPr>
                <w:sz w:val="20"/>
                <w:szCs w:val="20"/>
                <w:color w:val="auto"/>
              </w:rPr>
            </w:pPr>
            <w:r>
              <w:rPr>
                <w:rFonts w:ascii="Times New Roman" w:cs="Times New Roman" w:eastAsia="Times New Roman" w:hAnsi="Times New Roman"/>
                <w:sz w:val="20"/>
                <w:szCs w:val="20"/>
                <w:color w:val="auto"/>
              </w:rPr>
              <w:t>Total net value</w:t>
            </w:r>
          </w:p>
        </w:tc>
        <w:tc>
          <w:tcPr>
            <w:tcW w:w="20" w:type="dxa"/>
            <w:vAlign w:val="bottom"/>
            <w:tcBorders>
              <w:bottom w:val="single" w:sz="8" w:color="auto"/>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spacing w:after="0" w:line="221" w:lineRule="exact"/>
              <w:rPr>
                <w:sz w:val="20"/>
                <w:szCs w:val="20"/>
                <w:color w:val="auto"/>
              </w:rPr>
            </w:pPr>
            <w:r>
              <w:rPr>
                <w:rFonts w:ascii="Times New Roman" w:cs="Times New Roman" w:eastAsia="Times New Roman" w:hAnsi="Times New Roman"/>
                <w:sz w:val="20"/>
                <w:szCs w:val="20"/>
                <w:color w:val="auto"/>
              </w:rPr>
              <w:t>12,078,552</w:t>
            </w:r>
          </w:p>
        </w:tc>
        <w:tc>
          <w:tcPr>
            <w:tcW w:w="380" w:type="dxa"/>
            <w:vAlign w:val="bottom"/>
            <w:shd w:val="clear" w:color="auto" w:fill="CCEEFF"/>
          </w:tcPr>
          <w:p>
            <w:pPr>
              <w:spacing w:after="0"/>
              <w:rPr>
                <w:sz w:val="20"/>
                <w:szCs w:val="20"/>
                <w:color w:val="auto"/>
              </w:rPr>
            </w:pPr>
          </w:p>
        </w:tc>
        <w:tc>
          <w:tcPr>
            <w:tcW w:w="1580" w:type="dxa"/>
            <w:vAlign w:val="bottom"/>
            <w:tcBorders>
              <w:bottom w:val="single" w:sz="8" w:color="auto"/>
            </w:tcBorders>
            <w:gridSpan w:val="2"/>
            <w:shd w:val="clear" w:color="auto" w:fill="CCEEFF"/>
          </w:tcPr>
          <w:p>
            <w:pPr>
              <w:jc w:val="right"/>
              <w:spacing w:after="0" w:line="221" w:lineRule="exact"/>
              <w:rPr>
                <w:sz w:val="20"/>
                <w:szCs w:val="20"/>
                <w:color w:val="auto"/>
              </w:rPr>
            </w:pPr>
            <w:r>
              <w:rPr>
                <w:rFonts w:ascii="Times New Roman" w:cs="Times New Roman" w:eastAsia="Times New Roman" w:hAnsi="Times New Roman"/>
                <w:sz w:val="20"/>
                <w:szCs w:val="20"/>
                <w:color w:val="auto"/>
              </w:rPr>
              <w:t>15,057,766</w:t>
            </w:r>
          </w:p>
        </w:tc>
      </w:tr>
    </w:tbl>
    <w:p>
      <w:pPr>
        <w:spacing w:after="0" w:line="27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u w:val="single" w:color="auto"/>
          <w:color w:val="auto"/>
        </w:rPr>
        <w:t>16-1-2 Other Loans</w:t>
      </w:r>
    </w:p>
    <w:p>
      <w:pPr>
        <w:spacing w:after="0" w:line="200" w:lineRule="exact"/>
        <w:rPr>
          <w:sz w:val="20"/>
          <w:szCs w:val="20"/>
          <w:color w:val="auto"/>
        </w:rPr>
      </w:pPr>
    </w:p>
    <w:p>
      <w:pPr>
        <w:jc w:val="both"/>
        <w:ind w:firstLine="720"/>
        <w:spacing w:after="0" w:line="279" w:lineRule="auto"/>
        <w:rPr>
          <w:sz w:val="20"/>
          <w:szCs w:val="20"/>
          <w:color w:val="auto"/>
        </w:rPr>
      </w:pPr>
      <w:r>
        <w:rPr>
          <w:rFonts w:ascii="Times New Roman" w:cs="Times New Roman" w:eastAsia="Times New Roman" w:hAnsi="Times New Roman"/>
          <w:sz w:val="20"/>
          <w:szCs w:val="20"/>
          <w:color w:val="auto"/>
        </w:rPr>
        <w:t>As of December 31, 2025 and 2024, long-term debt in Japan consists of two loans denominated in Yen and subscribed with the following conditions: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Initial</w:t>
            </w:r>
          </w:p>
        </w:tc>
        <w:tc>
          <w:tcPr>
            <w:tcW w:w="1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Frequency of</w:t>
            </w:r>
          </w:p>
        </w:tc>
      </w:tr>
      <w:tr>
        <w:trPr>
          <w:trHeight w:val="203"/>
        </w:trPr>
        <w:tc>
          <w:tcPr>
            <w:tcW w:w="3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Maturity</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7"/>
              </w:rPr>
              <w:t>Fixed Interest rate</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principal payments</w:t>
            </w:r>
          </w:p>
        </w:tc>
      </w:tr>
      <w:tr>
        <w:trPr>
          <w:trHeight w:val="222"/>
        </w:trPr>
        <w:tc>
          <w:tcPr>
            <w:tcW w:w="3640" w:type="dxa"/>
            <w:vAlign w:val="bottom"/>
            <w:tcBorders>
              <w:top w:val="single" w:sz="8" w:color="CCEEFF"/>
            </w:tcBorders>
            <w:gridSpan w:val="2"/>
            <w:shd w:val="clear" w:color="auto" w:fill="CCEEFF"/>
          </w:tcPr>
          <w:p>
            <w:pPr>
              <w:spacing w:after="0" w:line="223" w:lineRule="exact"/>
              <w:rPr>
                <w:sz w:val="20"/>
                <w:szCs w:val="20"/>
                <w:color w:val="auto"/>
              </w:rPr>
            </w:pPr>
            <w:r>
              <w:rPr>
                <w:rFonts w:ascii="Times New Roman" w:cs="Times New Roman" w:eastAsia="Times New Roman" w:hAnsi="Times New Roman"/>
                <w:sz w:val="20"/>
                <w:szCs w:val="20"/>
                <w:color w:val="auto"/>
              </w:rPr>
              <w:t>EDAP Technomed Co. Ltd</w:t>
            </w:r>
          </w:p>
        </w:tc>
        <w:tc>
          <w:tcPr>
            <w:tcW w:w="1000" w:type="dxa"/>
            <w:vAlign w:val="bottom"/>
            <w:tcBorders>
              <w:top w:val="single" w:sz="8" w:color="auto"/>
              <w:bottom w:val="single" w:sz="8" w:color="auto"/>
            </w:tcBorders>
            <w:shd w:val="clear" w:color="auto" w:fill="CCEEFF"/>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80,000,000</w:t>
            </w:r>
          </w:p>
        </w:tc>
        <w:tc>
          <w:tcPr>
            <w:tcW w:w="1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shd w:val="clear" w:color="auto" w:fill="CCEEFF"/>
              </w:rPr>
              <w:t>August 2, 2026</w:t>
            </w:r>
          </w:p>
        </w:tc>
        <w:tc>
          <w:tcPr>
            <w:tcW w:w="1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1.98</w:t>
            </w:r>
          </w:p>
        </w:tc>
        <w:tc>
          <w:tcPr>
            <w:tcW w:w="260" w:type="dxa"/>
            <w:vAlign w:val="bottom"/>
            <w:tcBorders>
              <w:top w:val="single" w:sz="8" w:color="CCEEFF"/>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w w:val="83"/>
                <w:shd w:val="clear" w:color="auto" w:fill="CCEEFF"/>
              </w:rPr>
              <w:t>%</w:t>
            </w:r>
          </w:p>
        </w:tc>
        <w:tc>
          <w:tcPr>
            <w:tcW w:w="2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bottom w:val="single" w:sz="8" w:color="auto"/>
            </w:tcBorders>
            <w:shd w:val="clear" w:color="auto" w:fill="CCEEFF"/>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shd w:val="clear" w:color="auto" w:fill="CCEEFF"/>
              </w:rPr>
              <w:t>Monthly installment</w:t>
            </w:r>
          </w:p>
        </w:tc>
      </w:tr>
      <w:tr>
        <w:trPr>
          <w:trHeight w:val="220"/>
        </w:trPr>
        <w:tc>
          <w:tcPr>
            <w:tcW w:w="362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EDAP Technomed Co. Ltd</w:t>
            </w:r>
          </w:p>
        </w:tc>
        <w:tc>
          <w:tcPr>
            <w:tcW w:w="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spacing w:after="0" w:line="220" w:lineRule="exact"/>
              <w:rPr>
                <w:sz w:val="20"/>
                <w:szCs w:val="20"/>
                <w:color w:val="auto"/>
              </w:rPr>
            </w:pPr>
            <w:r>
              <w:rPr>
                <w:rFonts w:ascii="Times New Roman" w:cs="Times New Roman" w:eastAsia="Times New Roman" w:hAnsi="Times New Roman"/>
                <w:sz w:val="20"/>
                <w:szCs w:val="20"/>
                <w:color w:val="auto"/>
                <w:w w:val="99"/>
              </w:rPr>
              <w:t>50,000,000</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spacing w:after="0" w:line="220" w:lineRule="exact"/>
              <w:rPr>
                <w:sz w:val="20"/>
                <w:szCs w:val="20"/>
                <w:color w:val="auto"/>
              </w:rPr>
            </w:pPr>
            <w:r>
              <w:rPr>
                <w:rFonts w:ascii="Times New Roman" w:cs="Times New Roman" w:eastAsia="Times New Roman" w:hAnsi="Times New Roman"/>
                <w:sz w:val="20"/>
                <w:szCs w:val="20"/>
                <w:color w:val="auto"/>
              </w:rPr>
              <w:t>April 2, 2025</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1.8</w:t>
            </w:r>
          </w:p>
        </w:tc>
        <w:tc>
          <w:tcPr>
            <w:tcW w:w="26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w w:val="83"/>
              </w:rPr>
              <w:t>%</w:t>
            </w:r>
          </w:p>
        </w:tc>
        <w:tc>
          <w:tcPr>
            <w:tcW w:w="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center"/>
              <w:spacing w:after="0" w:line="220" w:lineRule="exact"/>
              <w:rPr>
                <w:sz w:val="20"/>
                <w:szCs w:val="20"/>
                <w:color w:val="auto"/>
              </w:rPr>
            </w:pPr>
            <w:r>
              <w:rPr>
                <w:rFonts w:ascii="Times New Roman" w:cs="Times New Roman" w:eastAsia="Times New Roman" w:hAnsi="Times New Roman"/>
                <w:sz w:val="20"/>
                <w:szCs w:val="20"/>
                <w:color w:val="auto"/>
                <w:w w:val="99"/>
              </w:rPr>
              <w:t>Monthly installment</w:t>
            </w:r>
          </w:p>
        </w:tc>
      </w:tr>
    </w:tbl>
    <w:p>
      <w:pPr>
        <w:spacing w:after="0" w:line="211" w:lineRule="exact"/>
        <w:rPr>
          <w:sz w:val="20"/>
          <w:szCs w:val="20"/>
          <w:color w:val="auto"/>
        </w:rPr>
      </w:pPr>
    </w:p>
    <w:p>
      <w:pPr>
        <w:jc w:val="both"/>
        <w:ind w:firstLine="720"/>
        <w:spacing w:after="0" w:line="259" w:lineRule="auto"/>
        <w:rPr>
          <w:sz w:val="20"/>
          <w:szCs w:val="20"/>
          <w:color w:val="auto"/>
        </w:rPr>
      </w:pPr>
      <w:r>
        <w:rPr>
          <w:rFonts w:ascii="Times New Roman" w:cs="Times New Roman" w:eastAsia="Times New Roman" w:hAnsi="Times New Roman"/>
          <w:sz w:val="20"/>
          <w:szCs w:val="20"/>
          <w:color w:val="auto"/>
        </w:rPr>
        <w:t>As of December 31, 2025, long-term debt in France consists of two loans denominated in euro, which were originally subscribed in 2020 which terms and maturity were amended, with a loan denominated in euro, which was subscribed in 2021, and three loans denominated in euro, which were subscribed in 2024, with the following terms: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4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Initial</w:t>
            </w:r>
          </w:p>
        </w:tc>
        <w:tc>
          <w:tcPr>
            <w:tcW w:w="1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Frequency of</w:t>
            </w:r>
          </w:p>
        </w:tc>
        <w:tc>
          <w:tcPr>
            <w:tcW w:w="0" w:type="dxa"/>
            <w:vAlign w:val="bottom"/>
          </w:tcPr>
          <w:p>
            <w:pPr>
              <w:spacing w:after="0"/>
              <w:rPr>
                <w:sz w:val="1"/>
                <w:szCs w:val="1"/>
                <w:color w:val="auto"/>
              </w:rPr>
            </w:pPr>
          </w:p>
        </w:tc>
      </w:tr>
      <w:tr>
        <w:trPr>
          <w:trHeight w:val="203"/>
        </w:trPr>
        <w:tc>
          <w:tcPr>
            <w:tcW w:w="342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60" w:type="dxa"/>
            <w:vAlign w:val="bottom"/>
          </w:tcPr>
          <w:p>
            <w:pPr>
              <w:spacing w:after="0"/>
              <w:rPr>
                <w:sz w:val="17"/>
                <w:szCs w:val="17"/>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Maturity</w:t>
            </w:r>
          </w:p>
        </w:tc>
        <w:tc>
          <w:tcPr>
            <w:tcW w:w="160" w:type="dxa"/>
            <w:vAlign w:val="bottom"/>
          </w:tcPr>
          <w:p>
            <w:pPr>
              <w:spacing w:after="0"/>
              <w:rPr>
                <w:sz w:val="17"/>
                <w:szCs w:val="17"/>
                <w:color w:val="auto"/>
              </w:rPr>
            </w:pPr>
          </w:p>
        </w:tc>
        <w:tc>
          <w:tcPr>
            <w:tcW w:w="15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w w:val="97"/>
              </w:rPr>
              <w:t>Fixed Interest rate</w:t>
            </w:r>
          </w:p>
        </w:tc>
        <w:tc>
          <w:tcPr>
            <w:tcW w:w="1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principal payments</w:t>
            </w:r>
          </w:p>
        </w:tc>
        <w:tc>
          <w:tcPr>
            <w:tcW w:w="0" w:type="dxa"/>
            <w:vAlign w:val="bottom"/>
          </w:tcPr>
          <w:p>
            <w:pPr>
              <w:spacing w:after="0"/>
              <w:rPr>
                <w:sz w:val="1"/>
                <w:szCs w:val="1"/>
                <w:color w:val="auto"/>
              </w:rPr>
            </w:pPr>
          </w:p>
        </w:tc>
      </w:tr>
      <w:tr>
        <w:trPr>
          <w:trHeight w:val="20"/>
        </w:trPr>
        <w:tc>
          <w:tcPr>
            <w:tcW w:w="342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20"/>
                <w:szCs w:val="20"/>
                <w:color w:val="auto"/>
              </w:rPr>
              <w:t>EDAP TMS FRANCE</w:t>
            </w:r>
          </w:p>
        </w:tc>
        <w:tc>
          <w:tcPr>
            <w:tcW w:w="90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3420" w:type="dxa"/>
            <w:vAlign w:val="bottom"/>
            <w:tcBorders>
              <w:right w:val="single" w:sz="8" w:color="CCEEFF"/>
            </w:tcBorders>
            <w:vMerge w:val="continue"/>
            <w:shd w:val="clear" w:color="auto" w:fill="CCEEFF"/>
          </w:tcPr>
          <w:p>
            <w:pPr>
              <w:spacing w:after="0"/>
              <w:rPr>
                <w:sz w:val="19"/>
                <w:szCs w:val="19"/>
                <w:color w:val="auto"/>
              </w:rPr>
            </w:pPr>
          </w:p>
        </w:tc>
        <w:tc>
          <w:tcPr>
            <w:tcW w:w="900" w:type="dxa"/>
            <w:vAlign w:val="bottom"/>
            <w:shd w:val="clear" w:color="auto" w:fill="CCEEFF"/>
          </w:tcPr>
          <w:p>
            <w:pPr>
              <w:jc w:val="center"/>
              <w:spacing w:after="0" w:line="220" w:lineRule="exact"/>
              <w:rPr>
                <w:sz w:val="20"/>
                <w:szCs w:val="20"/>
                <w:color w:val="auto"/>
              </w:rPr>
            </w:pPr>
            <w:r>
              <w:rPr>
                <w:rFonts w:ascii="Times New Roman" w:cs="Times New Roman" w:eastAsia="Times New Roman" w:hAnsi="Times New Roman"/>
                <w:sz w:val="20"/>
                <w:szCs w:val="20"/>
                <w:color w:val="auto"/>
                <w:w w:val="99"/>
              </w:rPr>
              <w:t>2,200,000</w:t>
            </w:r>
          </w:p>
        </w:tc>
        <w:tc>
          <w:tcPr>
            <w:tcW w:w="160" w:type="dxa"/>
            <w:vAlign w:val="bottom"/>
            <w:tcBorders>
              <w:right w:val="single" w:sz="8" w:color="CCEEFF"/>
            </w:tcBorders>
            <w:shd w:val="clear" w:color="auto" w:fill="CCEEFF"/>
          </w:tcPr>
          <w:p>
            <w:pPr>
              <w:spacing w:after="0"/>
              <w:rPr>
                <w:sz w:val="19"/>
                <w:szCs w:val="19"/>
                <w:color w:val="auto"/>
              </w:rPr>
            </w:pPr>
          </w:p>
        </w:tc>
        <w:tc>
          <w:tcPr>
            <w:tcW w:w="1580" w:type="dxa"/>
            <w:vAlign w:val="bottom"/>
            <w:shd w:val="clear" w:color="auto" w:fill="CCEEFF"/>
          </w:tcPr>
          <w:p>
            <w:pPr>
              <w:jc w:val="center"/>
              <w:spacing w:after="0" w:line="220" w:lineRule="exact"/>
              <w:rPr>
                <w:sz w:val="20"/>
                <w:szCs w:val="20"/>
                <w:color w:val="auto"/>
              </w:rPr>
            </w:pPr>
            <w:r>
              <w:rPr>
                <w:rFonts w:ascii="Times New Roman" w:cs="Times New Roman" w:eastAsia="Times New Roman" w:hAnsi="Times New Roman"/>
                <w:sz w:val="20"/>
                <w:szCs w:val="20"/>
                <w:color w:val="auto"/>
              </w:rPr>
              <w:t>December 18, 2026</w:t>
            </w:r>
          </w:p>
        </w:tc>
        <w:tc>
          <w:tcPr>
            <w:tcW w:w="160" w:type="dxa"/>
            <w:vAlign w:val="bottom"/>
            <w:tcBorders>
              <w:right w:val="single" w:sz="8" w:color="CCEEFF"/>
            </w:tcBorders>
            <w:shd w:val="clear" w:color="auto" w:fill="CCEEFF"/>
          </w:tcPr>
          <w:p>
            <w:pPr>
              <w:spacing w:after="0"/>
              <w:rPr>
                <w:sz w:val="19"/>
                <w:szCs w:val="19"/>
                <w:color w:val="auto"/>
              </w:rPr>
            </w:pPr>
          </w:p>
        </w:tc>
        <w:tc>
          <w:tcPr>
            <w:tcW w:w="1540" w:type="dxa"/>
            <w:vAlign w:val="bottom"/>
            <w:tcBorders>
              <w:right w:val="single" w:sz="8" w:color="CCEEFF"/>
            </w:tcBorders>
            <w:gridSpan w:val="2"/>
            <w:shd w:val="clear" w:color="auto" w:fill="CCEEFF"/>
          </w:tcPr>
          <w:p>
            <w:pPr>
              <w:jc w:val="right"/>
              <w:ind w:right="120"/>
              <w:spacing w:after="0" w:line="220" w:lineRule="exact"/>
              <w:rPr>
                <w:sz w:val="20"/>
                <w:szCs w:val="20"/>
                <w:color w:val="auto"/>
              </w:rPr>
            </w:pPr>
            <w:r>
              <w:rPr>
                <w:rFonts w:ascii="Times New Roman" w:cs="Times New Roman" w:eastAsia="Times New Roman" w:hAnsi="Times New Roman"/>
                <w:sz w:val="20"/>
                <w:szCs w:val="20"/>
                <w:color w:val="auto"/>
              </w:rPr>
              <w:t>3.60 %</w:t>
            </w:r>
          </w:p>
        </w:tc>
        <w:tc>
          <w:tcPr>
            <w:tcW w:w="1620" w:type="dxa"/>
            <w:vAlign w:val="bottom"/>
            <w:shd w:val="clear" w:color="auto" w:fill="CCEEFF"/>
          </w:tcPr>
          <w:p>
            <w:pPr>
              <w:jc w:val="center"/>
              <w:spacing w:after="0" w:line="220" w:lineRule="exact"/>
              <w:rPr>
                <w:sz w:val="20"/>
                <w:szCs w:val="20"/>
                <w:color w:val="auto"/>
              </w:rPr>
            </w:pPr>
            <w:r>
              <w:rPr>
                <w:rFonts w:ascii="Times New Roman" w:cs="Times New Roman" w:eastAsia="Times New Roman" w:hAnsi="Times New Roman"/>
                <w:sz w:val="20"/>
                <w:szCs w:val="20"/>
                <w:color w:val="auto"/>
                <w:w w:val="99"/>
                <w:shd w:val="clear" w:color="auto" w:fill="CCEEFF"/>
              </w:rPr>
              <w:t>Monthly installment</w:t>
            </w:r>
          </w:p>
        </w:tc>
        <w:tc>
          <w:tcPr>
            <w:tcW w:w="0" w:type="dxa"/>
            <w:vAlign w:val="bottom"/>
          </w:tcPr>
          <w:p>
            <w:pPr>
              <w:spacing w:after="0"/>
              <w:rPr>
                <w:sz w:val="1"/>
                <w:szCs w:val="1"/>
                <w:color w:val="auto"/>
              </w:rPr>
            </w:pPr>
          </w:p>
        </w:tc>
      </w:tr>
      <w:tr>
        <w:trPr>
          <w:trHeight w:val="20"/>
        </w:trPr>
        <w:tc>
          <w:tcPr>
            <w:tcW w:w="3420" w:type="dxa"/>
            <w:vAlign w:val="bottom"/>
            <w:tcBorders>
              <w:right w:val="single" w:sz="8" w:color="auto"/>
            </w:tcBorders>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CCEEFF"/>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This loan, denominated in euro, is tied to an investment for which the Company has access at all times for an amount equal to the countervalue of €1,100,000 in USD. This loan is related to the advanced purchasing of ultrasound technology. If the investment is not maintained, the principal amount loaned along with interest and all amounts due to the lender for any reason will become immediately due and payable.</w:t>
      </w:r>
    </w:p>
    <w:p>
      <w:pPr>
        <w:sectPr>
          <w:pgSz w:w="11900" w:h="16838" w:orient="portrait"/>
          <w:cols w:equalWidth="0" w:num="1">
            <w:col w:w="9380"/>
          </w:cols>
          <w:pgMar w:left="1260" w:top="838" w:right="1266" w:bottom="72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F-30</w:t>
      </w:r>
    </w:p>
    <w:p>
      <w:pPr>
        <w:sectPr>
          <w:pgSz w:w="11900" w:h="16838" w:orient="portrait"/>
          <w:cols w:equalWidth="0" w:num="1">
            <w:col w:w="9380"/>
          </w:cols>
          <w:pgMar w:left="1260" w:top="838" w:right="1266" w:bottom="723" w:gutter="0" w:footer="0" w:header="0"/>
          <w:type w:val="continuous"/>
        </w:sectPr>
      </w:pPr>
    </w:p>
    <w:bookmarkStart w:id="85" w:name="page86"/>
    <w:bookmarkEnd w:id="85"/>
    <w:p>
      <w:pPr>
        <w:ind w:left="3180"/>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795655</wp:posOffset>
            </wp:positionH>
            <wp:positionV relativeFrom="page">
              <wp:posOffset>292735</wp:posOffset>
            </wp:positionV>
            <wp:extent cx="929005" cy="1149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110">
                      <a:extLst>
                        <a:ext uri="{28A0092B-C50C-407E-A947-70E740481C1C}"/>
                      </a:extLst>
                    </a:blip>
                    <a:srcRect/>
                    <a:stretch>
                      <a:fillRect/>
                    </a:stretch>
                  </pic:blipFill>
                  <pic:spPr bwMode="auto">
                    <a:xfrm>
                      <a:off x="0" y="0"/>
                      <a:ext cx="929005" cy="114935"/>
                    </a:xfrm>
                    <a:prstGeom prst="rect">
                      <a:avLst/>
                    </a:prstGeom>
                    <a:noFill/>
                  </pic:spPr>
                </pic:pic>
              </a:graphicData>
            </a:graphic>
          </wp:anchor>
        </w:drawing>
        <w:t>EDAP TMS S.A. AND SUBSIDIARIES</w:t>
      </w:r>
    </w:p>
    <w:p>
      <w:pPr>
        <w:ind w:left="2760"/>
        <w:spacing w:after="0"/>
        <w:rPr>
          <w:sz w:val="20"/>
          <w:szCs w:val="20"/>
          <w:color w:val="auto"/>
        </w:rPr>
      </w:pPr>
      <w:r>
        <w:rPr>
          <w:rFonts w:ascii="Times New Roman" w:cs="Times New Roman" w:eastAsia="Times New Roman" w:hAnsi="Times New Roman"/>
          <w:sz w:val="20"/>
          <w:szCs w:val="20"/>
          <w:b w:val="1"/>
          <w:bCs w:val="1"/>
          <w:color w:val="auto"/>
        </w:rPr>
        <w:t>CONSOLIDATED FINANCIAL STATEMENTS</w:t>
      </w:r>
    </w:p>
    <w:p>
      <w:pPr>
        <w:ind w:left="1500"/>
        <w:spacing w:after="0"/>
        <w:rPr>
          <w:sz w:val="20"/>
          <w:szCs w:val="20"/>
          <w:color w:val="auto"/>
        </w:rPr>
      </w:pPr>
      <w:r>
        <w:rPr>
          <w:rFonts w:ascii="Times New Roman" w:cs="Times New Roman" w:eastAsia="Times New Roman" w:hAnsi="Times New Roman"/>
          <w:sz w:val="20"/>
          <w:szCs w:val="20"/>
          <w:b w:val="1"/>
          <w:bCs w:val="1"/>
          <w:color w:val="auto"/>
        </w:rPr>
        <w:t>(In thousands of U.S. dollars unless otherwise noted,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78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Initial</w:t>
            </w: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Frequency of</w:t>
            </w:r>
          </w:p>
        </w:tc>
        <w:tc>
          <w:tcPr>
            <w:tcW w:w="0" w:type="dxa"/>
            <w:vAlign w:val="bottom"/>
          </w:tcPr>
          <w:p>
            <w:pPr>
              <w:spacing w:after="0"/>
              <w:rPr>
                <w:sz w:val="1"/>
                <w:szCs w:val="1"/>
                <w:color w:val="auto"/>
              </w:rPr>
            </w:pPr>
          </w:p>
        </w:tc>
      </w:tr>
      <w:tr>
        <w:trPr>
          <w:trHeight w:val="205"/>
        </w:trPr>
        <w:tc>
          <w:tcPr>
            <w:tcW w:w="378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8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Maturity</w:t>
            </w:r>
          </w:p>
        </w:tc>
        <w:tc>
          <w:tcPr>
            <w:tcW w:w="180" w:type="dxa"/>
            <w:vAlign w:val="bottom"/>
          </w:tcPr>
          <w:p>
            <w:pPr>
              <w:spacing w:after="0"/>
              <w:rPr>
                <w:sz w:val="17"/>
                <w:szCs w:val="17"/>
                <w:color w:val="auto"/>
              </w:rPr>
            </w:pPr>
          </w:p>
        </w:tc>
        <w:tc>
          <w:tcPr>
            <w:tcW w:w="30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w w:val="99"/>
              </w:rPr>
              <w:t>Fixed Interest rateprincipal payments</w:t>
            </w:r>
          </w:p>
        </w:tc>
        <w:tc>
          <w:tcPr>
            <w:tcW w:w="0" w:type="dxa"/>
            <w:vAlign w:val="bottom"/>
          </w:tcPr>
          <w:p>
            <w:pPr>
              <w:spacing w:after="0"/>
              <w:rPr>
                <w:sz w:val="1"/>
                <w:szCs w:val="1"/>
                <w:color w:val="auto"/>
              </w:rPr>
            </w:pPr>
          </w:p>
        </w:tc>
      </w:tr>
      <w:tr>
        <w:trPr>
          <w:trHeight w:val="20"/>
        </w:trPr>
        <w:tc>
          <w:tcPr>
            <w:tcW w:w="378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20"/>
                <w:szCs w:val="20"/>
                <w:color w:val="auto"/>
              </w:rPr>
              <w:t>EDAP TMS FRANCE</w:t>
            </w:r>
          </w:p>
        </w:tc>
        <w:tc>
          <w:tcPr>
            <w:tcW w:w="9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3780" w:type="dxa"/>
            <w:vAlign w:val="bottom"/>
            <w:tcBorders>
              <w:right w:val="single" w:sz="8" w:color="CCEEFF"/>
            </w:tcBorders>
            <w:vMerge w:val="continue"/>
            <w:shd w:val="clear" w:color="auto" w:fill="CCEEFF"/>
          </w:tcPr>
          <w:p>
            <w:pPr>
              <w:spacing w:after="0"/>
              <w:rPr>
                <w:sz w:val="19"/>
                <w:szCs w:val="19"/>
                <w:color w:val="auto"/>
              </w:rPr>
            </w:pPr>
          </w:p>
        </w:tc>
        <w:tc>
          <w:tcPr>
            <w:tcW w:w="920" w:type="dxa"/>
            <w:vAlign w:val="bottom"/>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56,000</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center"/>
              <w:spacing w:after="0" w:line="220" w:lineRule="exact"/>
              <w:rPr>
                <w:sz w:val="20"/>
                <w:szCs w:val="20"/>
                <w:color w:val="auto"/>
              </w:rPr>
            </w:pPr>
            <w:r>
              <w:rPr>
                <w:rFonts w:ascii="Times New Roman" w:cs="Times New Roman" w:eastAsia="Times New Roman" w:hAnsi="Times New Roman"/>
                <w:sz w:val="20"/>
                <w:szCs w:val="20"/>
                <w:color w:val="auto"/>
              </w:rPr>
              <w:t>August 5, 2028</w:t>
            </w:r>
          </w:p>
        </w:tc>
        <w:tc>
          <w:tcPr>
            <w:tcW w:w="180" w:type="dxa"/>
            <w:vAlign w:val="bottom"/>
            <w:tcBorders>
              <w:right w:val="single" w:sz="8" w:color="CCEEFF"/>
            </w:tcBorders>
            <w:shd w:val="clear" w:color="auto" w:fill="CCEEFF"/>
          </w:tcPr>
          <w:p>
            <w:pPr>
              <w:spacing w:after="0"/>
              <w:rPr>
                <w:sz w:val="19"/>
                <w:szCs w:val="19"/>
                <w:color w:val="auto"/>
              </w:rPr>
            </w:pPr>
          </w:p>
        </w:tc>
        <w:tc>
          <w:tcPr>
            <w:tcW w:w="1460" w:type="dxa"/>
            <w:vAlign w:val="bottom"/>
            <w:tcBorders>
              <w:right w:val="single" w:sz="8" w:color="CCEEFF"/>
            </w:tcBorders>
            <w:gridSpan w:val="2"/>
            <w:shd w:val="clear" w:color="auto" w:fill="CCEEFF"/>
          </w:tcPr>
          <w:p>
            <w:pPr>
              <w:jc w:val="right"/>
              <w:ind w:right="40"/>
              <w:spacing w:after="0" w:line="220" w:lineRule="exact"/>
              <w:rPr>
                <w:sz w:val="20"/>
                <w:szCs w:val="20"/>
                <w:color w:val="auto"/>
              </w:rPr>
            </w:pPr>
            <w:r>
              <w:rPr>
                <w:rFonts w:ascii="Times New Roman" w:cs="Times New Roman" w:eastAsia="Times New Roman" w:hAnsi="Times New Roman"/>
                <w:sz w:val="20"/>
                <w:szCs w:val="20"/>
                <w:color w:val="auto"/>
              </w:rPr>
              <w:t>4.16 %</w:t>
            </w:r>
          </w:p>
        </w:tc>
        <w:tc>
          <w:tcPr>
            <w:tcW w:w="1620" w:type="dxa"/>
            <w:vAlign w:val="bottom"/>
            <w:shd w:val="clear" w:color="auto" w:fill="CCEEFF"/>
          </w:tcPr>
          <w:p>
            <w:pPr>
              <w:jc w:val="center"/>
              <w:spacing w:after="0" w:line="220" w:lineRule="exact"/>
              <w:rPr>
                <w:sz w:val="20"/>
                <w:szCs w:val="20"/>
                <w:color w:val="auto"/>
              </w:rPr>
            </w:pPr>
            <w:r>
              <w:rPr>
                <w:rFonts w:ascii="Times New Roman" w:cs="Times New Roman" w:eastAsia="Times New Roman" w:hAnsi="Times New Roman"/>
                <w:sz w:val="20"/>
                <w:szCs w:val="20"/>
                <w:color w:val="auto"/>
                <w:w w:val="99"/>
                <w:shd w:val="clear" w:color="auto" w:fill="CCEEFF"/>
              </w:rPr>
              <w:t>Monthly installment</w:t>
            </w:r>
          </w:p>
        </w:tc>
        <w:tc>
          <w:tcPr>
            <w:tcW w:w="0" w:type="dxa"/>
            <w:vAlign w:val="bottom"/>
          </w:tcPr>
          <w:p>
            <w:pPr>
              <w:spacing w:after="0"/>
              <w:rPr>
                <w:sz w:val="1"/>
                <w:szCs w:val="1"/>
                <w:color w:val="auto"/>
              </w:rPr>
            </w:pPr>
          </w:p>
        </w:tc>
      </w:tr>
      <w:tr>
        <w:trPr>
          <w:trHeight w:val="20"/>
        </w:trPr>
        <w:tc>
          <w:tcPr>
            <w:tcW w:w="3780" w:type="dxa"/>
            <w:vAlign w:val="bottom"/>
            <w:tcBorders>
              <w:right w:val="single" w:sz="8" w:color="auto"/>
            </w:tcBorders>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This loan, denominated in euro, is related to the acquisition of a medical equipment for ESWL mobile RPP.</w:t>
      </w: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660" w:type="dxa"/>
            <w:vAlign w:val="bottom"/>
          </w:tcPr>
          <w:p>
            <w:pPr>
              <w:spacing w:after="0"/>
              <w:rPr>
                <w:sz w:val="16"/>
                <w:szCs w:val="16"/>
                <w:color w:val="auto"/>
              </w:rPr>
            </w:pPr>
          </w:p>
        </w:tc>
        <w:tc>
          <w:tcPr>
            <w:tcW w:w="900" w:type="dxa"/>
            <w:vAlign w:val="bottom"/>
          </w:tcPr>
          <w:p>
            <w:pPr>
              <w:ind w:left="240"/>
              <w:spacing w:after="0"/>
              <w:rPr>
                <w:sz w:val="20"/>
                <w:szCs w:val="20"/>
                <w:color w:val="auto"/>
              </w:rPr>
            </w:pPr>
            <w:r>
              <w:rPr>
                <w:rFonts w:ascii="Times New Roman" w:cs="Times New Roman" w:eastAsia="Times New Roman" w:hAnsi="Times New Roman"/>
                <w:sz w:val="16"/>
                <w:szCs w:val="16"/>
                <w:b w:val="1"/>
                <w:bCs w:val="1"/>
                <w:color w:val="auto"/>
              </w:rPr>
              <w:t>Initial</w:t>
            </w:r>
          </w:p>
        </w:tc>
        <w:tc>
          <w:tcPr>
            <w:tcW w:w="1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Frequency of</w:t>
            </w:r>
          </w:p>
        </w:tc>
      </w:tr>
      <w:tr>
        <w:trPr>
          <w:trHeight w:val="203"/>
        </w:trPr>
        <w:tc>
          <w:tcPr>
            <w:tcW w:w="3660" w:type="dxa"/>
            <w:vAlign w:val="bottom"/>
          </w:tcPr>
          <w:p>
            <w:pPr>
              <w:spacing w:after="0"/>
              <w:rPr>
                <w:sz w:val="17"/>
                <w:szCs w:val="17"/>
                <w:color w:val="auto"/>
              </w:rPr>
            </w:pPr>
          </w:p>
        </w:tc>
        <w:tc>
          <w:tcPr>
            <w:tcW w:w="90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60" w:type="dxa"/>
            <w:vAlign w:val="bottom"/>
          </w:tcPr>
          <w:p>
            <w:pPr>
              <w:spacing w:after="0"/>
              <w:rPr>
                <w:sz w:val="17"/>
                <w:szCs w:val="17"/>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Maturity</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92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Fixed Interest rate   principal payments</w:t>
            </w:r>
          </w:p>
        </w:tc>
      </w:tr>
      <w:tr>
        <w:trPr>
          <w:trHeight w:val="200"/>
        </w:trPr>
        <w:tc>
          <w:tcPr>
            <w:tcW w:w="366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jc w:val="center"/>
              <w:spacing w:after="0" w:line="200" w:lineRule="exact"/>
              <w:rPr>
                <w:sz w:val="20"/>
                <w:szCs w:val="20"/>
                <w:color w:val="auto"/>
              </w:rPr>
            </w:pPr>
            <w:r>
              <w:rPr>
                <w:rFonts w:ascii="Times New Roman" w:cs="Times New Roman" w:eastAsia="Times New Roman" w:hAnsi="Times New Roman"/>
                <w:sz w:val="20"/>
                <w:szCs w:val="20"/>
                <w:color w:val="auto"/>
                <w:w w:val="99"/>
              </w:rPr>
              <w:t>Full</w:t>
            </w:r>
          </w:p>
        </w:tc>
      </w:tr>
      <w:tr>
        <w:trPr>
          <w:trHeight w:val="230"/>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EDAP TMS SA</w:t>
            </w:r>
          </w:p>
        </w:tc>
        <w:tc>
          <w:tcPr>
            <w:tcW w:w="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20"/>
                <w:szCs w:val="20"/>
                <w:color w:val="auto"/>
              </w:rPr>
              <w:t>328,650</w:t>
            </w:r>
          </w:p>
        </w:tc>
        <w:tc>
          <w:tcPr>
            <w:tcW w:w="160" w:type="dxa"/>
            <w:vAlign w:val="bottom"/>
            <w:shd w:val="clear" w:color="auto" w:fill="CCEEFF"/>
          </w:tcPr>
          <w:p>
            <w:pPr>
              <w:spacing w:after="0"/>
              <w:rPr>
                <w:sz w:val="20"/>
                <w:szCs w:val="20"/>
                <w:color w:val="auto"/>
              </w:rPr>
            </w:pP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shd w:val="clear" w:color="auto" w:fill="CCEEFF"/>
              </w:rPr>
              <w:t>December 31, 2027</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4.60</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83"/>
                <w:shd w:val="clear" w:color="auto" w:fill="CCEEFF"/>
              </w:rPr>
              <w:t>%</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shd w:val="clear" w:color="auto" w:fill="CCEEFF"/>
              </w:rPr>
              <w:t>reimbursement at</w:t>
            </w:r>
          </w:p>
        </w:tc>
      </w:tr>
      <w:tr>
        <w:trPr>
          <w:trHeight w:val="250"/>
        </w:trPr>
        <w:tc>
          <w:tcPr>
            <w:tcW w:w="3660" w:type="dxa"/>
            <w:vAlign w:val="bottom"/>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shd w:val="clear" w:color="auto" w:fill="CCEEFF"/>
              </w:rPr>
              <w:t>termination date</w:t>
            </w:r>
          </w:p>
        </w:tc>
      </w:tr>
    </w:tbl>
    <w:p>
      <w:pPr>
        <w:spacing w:after="0" w:line="211" w:lineRule="exact"/>
        <w:rPr>
          <w:sz w:val="20"/>
          <w:szCs w:val="20"/>
          <w:color w:val="auto"/>
        </w:rPr>
      </w:pPr>
    </w:p>
    <w:p>
      <w:pPr>
        <w:jc w:val="both"/>
        <w:ind w:firstLine="720"/>
        <w:spacing w:after="0" w:line="279" w:lineRule="auto"/>
        <w:rPr>
          <w:sz w:val="20"/>
          <w:szCs w:val="20"/>
          <w:color w:val="auto"/>
        </w:rPr>
      </w:pPr>
      <w:r>
        <w:rPr>
          <w:rFonts w:ascii="Times New Roman" w:cs="Times New Roman" w:eastAsia="Times New Roman" w:hAnsi="Times New Roman"/>
          <w:sz w:val="20"/>
          <w:szCs w:val="20"/>
          <w:color w:val="auto"/>
        </w:rPr>
        <w:t>This loan, denominated in euro, is related to the Research and development tax credit receivable from the French State.</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660" w:type="dxa"/>
            <w:vAlign w:val="bottom"/>
          </w:tcPr>
          <w:p>
            <w:pPr>
              <w:spacing w:after="0"/>
              <w:rPr>
                <w:sz w:val="16"/>
                <w:szCs w:val="16"/>
                <w:color w:val="auto"/>
              </w:rPr>
            </w:pPr>
          </w:p>
        </w:tc>
        <w:tc>
          <w:tcPr>
            <w:tcW w:w="900" w:type="dxa"/>
            <w:vAlign w:val="bottom"/>
          </w:tcPr>
          <w:p>
            <w:pPr>
              <w:ind w:left="240"/>
              <w:spacing w:after="0"/>
              <w:rPr>
                <w:sz w:val="20"/>
                <w:szCs w:val="20"/>
                <w:color w:val="auto"/>
              </w:rPr>
            </w:pPr>
            <w:r>
              <w:rPr>
                <w:rFonts w:ascii="Times New Roman" w:cs="Times New Roman" w:eastAsia="Times New Roman" w:hAnsi="Times New Roman"/>
                <w:sz w:val="16"/>
                <w:szCs w:val="16"/>
                <w:b w:val="1"/>
                <w:bCs w:val="1"/>
                <w:color w:val="auto"/>
              </w:rPr>
              <w:t>Initial</w:t>
            </w:r>
          </w:p>
        </w:tc>
        <w:tc>
          <w:tcPr>
            <w:tcW w:w="1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Frequency of</w:t>
            </w:r>
          </w:p>
        </w:tc>
      </w:tr>
      <w:tr>
        <w:trPr>
          <w:trHeight w:val="203"/>
        </w:trPr>
        <w:tc>
          <w:tcPr>
            <w:tcW w:w="3660" w:type="dxa"/>
            <w:vAlign w:val="bottom"/>
          </w:tcPr>
          <w:p>
            <w:pPr>
              <w:spacing w:after="0"/>
              <w:rPr>
                <w:sz w:val="17"/>
                <w:szCs w:val="17"/>
                <w:color w:val="auto"/>
              </w:rPr>
            </w:pPr>
          </w:p>
        </w:tc>
        <w:tc>
          <w:tcPr>
            <w:tcW w:w="90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60" w:type="dxa"/>
            <w:vAlign w:val="bottom"/>
          </w:tcPr>
          <w:p>
            <w:pPr>
              <w:spacing w:after="0"/>
              <w:rPr>
                <w:sz w:val="17"/>
                <w:szCs w:val="17"/>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Maturity</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92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Fixed Interest rate   principal payments</w:t>
            </w:r>
          </w:p>
        </w:tc>
      </w:tr>
      <w:tr>
        <w:trPr>
          <w:trHeight w:val="200"/>
        </w:trPr>
        <w:tc>
          <w:tcPr>
            <w:tcW w:w="366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jc w:val="center"/>
              <w:spacing w:after="0" w:line="200" w:lineRule="exact"/>
              <w:rPr>
                <w:sz w:val="20"/>
                <w:szCs w:val="20"/>
                <w:color w:val="auto"/>
              </w:rPr>
            </w:pPr>
            <w:r>
              <w:rPr>
                <w:rFonts w:ascii="Times New Roman" w:cs="Times New Roman" w:eastAsia="Times New Roman" w:hAnsi="Times New Roman"/>
                <w:sz w:val="20"/>
                <w:szCs w:val="20"/>
                <w:color w:val="auto"/>
                <w:w w:val="99"/>
              </w:rPr>
              <w:t>Full</w:t>
            </w:r>
          </w:p>
        </w:tc>
      </w:tr>
      <w:tr>
        <w:trPr>
          <w:trHeight w:val="230"/>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EDAP TMS SA</w:t>
            </w:r>
          </w:p>
        </w:tc>
        <w:tc>
          <w:tcPr>
            <w:tcW w:w="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20"/>
                <w:szCs w:val="20"/>
                <w:color w:val="auto"/>
              </w:rPr>
              <w:t>367,000</w:t>
            </w:r>
          </w:p>
        </w:tc>
        <w:tc>
          <w:tcPr>
            <w:tcW w:w="160" w:type="dxa"/>
            <w:vAlign w:val="bottom"/>
            <w:shd w:val="clear" w:color="auto" w:fill="CCEEFF"/>
          </w:tcPr>
          <w:p>
            <w:pPr>
              <w:spacing w:after="0"/>
              <w:rPr>
                <w:sz w:val="20"/>
                <w:szCs w:val="20"/>
                <w:color w:val="auto"/>
              </w:rPr>
            </w:pP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shd w:val="clear" w:color="auto" w:fill="CCEEFF"/>
              </w:rPr>
              <w:t>December 31, 2028</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3.45</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83"/>
                <w:shd w:val="clear" w:color="auto" w:fill="CCEEFF"/>
              </w:rPr>
              <w:t>%</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shd w:val="clear" w:color="auto" w:fill="CCEEFF"/>
              </w:rPr>
              <w:t>reimbursement at</w:t>
            </w:r>
          </w:p>
        </w:tc>
      </w:tr>
      <w:tr>
        <w:trPr>
          <w:trHeight w:val="250"/>
        </w:trPr>
        <w:tc>
          <w:tcPr>
            <w:tcW w:w="3660" w:type="dxa"/>
            <w:vAlign w:val="bottom"/>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shd w:val="clear" w:color="auto" w:fill="CCEEFF"/>
              </w:rPr>
              <w:t>termination date</w:t>
            </w:r>
          </w:p>
        </w:tc>
      </w:tr>
    </w:tbl>
    <w:p>
      <w:pPr>
        <w:spacing w:after="0" w:line="211" w:lineRule="exact"/>
        <w:rPr>
          <w:sz w:val="20"/>
          <w:szCs w:val="20"/>
          <w:color w:val="auto"/>
        </w:rPr>
      </w:pPr>
    </w:p>
    <w:p>
      <w:pPr>
        <w:jc w:val="both"/>
        <w:ind w:firstLine="720"/>
        <w:spacing w:after="0" w:line="279" w:lineRule="auto"/>
        <w:rPr>
          <w:sz w:val="20"/>
          <w:szCs w:val="20"/>
          <w:color w:val="auto"/>
        </w:rPr>
      </w:pPr>
      <w:r>
        <w:rPr>
          <w:rFonts w:ascii="Times New Roman" w:cs="Times New Roman" w:eastAsia="Times New Roman" w:hAnsi="Times New Roman"/>
          <w:sz w:val="20"/>
          <w:szCs w:val="20"/>
          <w:color w:val="auto"/>
        </w:rPr>
        <w:t>This loan, denominated in euro, is related to the Research and development tax credit receivable from the French State.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7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Initial</w:t>
            </w: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Frequency of</w:t>
            </w:r>
          </w:p>
        </w:tc>
        <w:tc>
          <w:tcPr>
            <w:tcW w:w="0" w:type="dxa"/>
            <w:vAlign w:val="bottom"/>
          </w:tcPr>
          <w:p>
            <w:pPr>
              <w:spacing w:after="0"/>
              <w:rPr>
                <w:sz w:val="1"/>
                <w:szCs w:val="1"/>
                <w:color w:val="auto"/>
              </w:rPr>
            </w:pPr>
          </w:p>
        </w:tc>
      </w:tr>
      <w:tr>
        <w:trPr>
          <w:trHeight w:val="203"/>
        </w:trPr>
        <w:tc>
          <w:tcPr>
            <w:tcW w:w="372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22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Maturity</w:t>
            </w:r>
          </w:p>
        </w:tc>
        <w:tc>
          <w:tcPr>
            <w:tcW w:w="220" w:type="dxa"/>
            <w:vAlign w:val="bottom"/>
          </w:tcPr>
          <w:p>
            <w:pPr>
              <w:spacing w:after="0"/>
              <w:rPr>
                <w:sz w:val="17"/>
                <w:szCs w:val="17"/>
                <w:color w:val="auto"/>
              </w:rPr>
            </w:pPr>
          </w:p>
        </w:tc>
        <w:tc>
          <w:tcPr>
            <w:tcW w:w="15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w w:val="97"/>
              </w:rPr>
              <w:t>Fixed Interest rate</w:t>
            </w:r>
          </w:p>
        </w:tc>
        <w:tc>
          <w:tcPr>
            <w:tcW w:w="1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principal payments</w:t>
            </w:r>
          </w:p>
        </w:tc>
        <w:tc>
          <w:tcPr>
            <w:tcW w:w="0" w:type="dxa"/>
            <w:vAlign w:val="bottom"/>
          </w:tcPr>
          <w:p>
            <w:pPr>
              <w:spacing w:after="0"/>
              <w:rPr>
                <w:sz w:val="1"/>
                <w:szCs w:val="1"/>
                <w:color w:val="auto"/>
              </w:rPr>
            </w:pPr>
          </w:p>
        </w:tc>
      </w:tr>
      <w:tr>
        <w:trPr>
          <w:trHeight w:val="20"/>
        </w:trPr>
        <w:tc>
          <w:tcPr>
            <w:tcW w:w="372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20"/>
                <w:szCs w:val="20"/>
                <w:color w:val="auto"/>
              </w:rPr>
              <w:t>EDAP TMS FRANCE</w:t>
            </w:r>
          </w:p>
        </w:tc>
        <w:tc>
          <w:tcPr>
            <w:tcW w:w="90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3720" w:type="dxa"/>
            <w:vAlign w:val="bottom"/>
            <w:tcBorders>
              <w:right w:val="single" w:sz="8" w:color="CCEEFF"/>
            </w:tcBorders>
            <w:vMerge w:val="continue"/>
            <w:shd w:val="clear" w:color="auto" w:fill="CCEEFF"/>
          </w:tcPr>
          <w:p>
            <w:pPr>
              <w:spacing w:after="0"/>
              <w:rPr>
                <w:sz w:val="19"/>
                <w:szCs w:val="19"/>
                <w:color w:val="auto"/>
              </w:rPr>
            </w:pPr>
          </w:p>
        </w:tc>
        <w:tc>
          <w:tcPr>
            <w:tcW w:w="900" w:type="dxa"/>
            <w:vAlign w:val="bottom"/>
            <w:shd w:val="clear" w:color="auto" w:fill="CCEEFF"/>
          </w:tcPr>
          <w:p>
            <w:pPr>
              <w:jc w:val="center"/>
              <w:spacing w:after="0" w:line="220" w:lineRule="exact"/>
              <w:rPr>
                <w:sz w:val="20"/>
                <w:szCs w:val="20"/>
                <w:color w:val="auto"/>
              </w:rPr>
            </w:pPr>
            <w:r>
              <w:rPr>
                <w:rFonts w:ascii="Times New Roman" w:cs="Times New Roman" w:eastAsia="Times New Roman" w:hAnsi="Times New Roman"/>
                <w:sz w:val="20"/>
                <w:szCs w:val="20"/>
                <w:color w:val="auto"/>
                <w:w w:val="99"/>
              </w:rPr>
              <w:t>2,000,000</w:t>
            </w:r>
          </w:p>
        </w:tc>
        <w:tc>
          <w:tcPr>
            <w:tcW w:w="220" w:type="dxa"/>
            <w:vAlign w:val="bottom"/>
            <w:tcBorders>
              <w:right w:val="single" w:sz="8" w:color="CCEEFF"/>
            </w:tcBorders>
            <w:shd w:val="clear" w:color="auto" w:fill="CCEEFF"/>
          </w:tcPr>
          <w:p>
            <w:pPr>
              <w:spacing w:after="0"/>
              <w:rPr>
                <w:sz w:val="19"/>
                <w:szCs w:val="19"/>
                <w:color w:val="auto"/>
              </w:rPr>
            </w:pPr>
          </w:p>
        </w:tc>
        <w:tc>
          <w:tcPr>
            <w:tcW w:w="1160" w:type="dxa"/>
            <w:vAlign w:val="bottom"/>
            <w:shd w:val="clear" w:color="auto" w:fill="CCEEFF"/>
          </w:tcPr>
          <w:p>
            <w:pPr>
              <w:jc w:val="center"/>
              <w:spacing w:after="0" w:line="220" w:lineRule="exact"/>
              <w:rPr>
                <w:sz w:val="20"/>
                <w:szCs w:val="20"/>
                <w:color w:val="auto"/>
              </w:rPr>
            </w:pPr>
            <w:r>
              <w:rPr>
                <w:rFonts w:ascii="Times New Roman" w:cs="Times New Roman" w:eastAsia="Times New Roman" w:hAnsi="Times New Roman"/>
                <w:sz w:val="20"/>
                <w:szCs w:val="20"/>
                <w:color w:val="auto"/>
                <w:w w:val="99"/>
              </w:rPr>
              <w:t>July 30, 2026</w:t>
            </w:r>
          </w:p>
        </w:tc>
        <w:tc>
          <w:tcPr>
            <w:tcW w:w="220" w:type="dxa"/>
            <w:vAlign w:val="bottom"/>
            <w:tcBorders>
              <w:right w:val="single" w:sz="8" w:color="CCEEFF"/>
            </w:tcBorders>
            <w:shd w:val="clear" w:color="auto" w:fill="CCEEFF"/>
          </w:tcPr>
          <w:p>
            <w:pPr>
              <w:spacing w:after="0"/>
              <w:rPr>
                <w:sz w:val="19"/>
                <w:szCs w:val="19"/>
                <w:color w:val="auto"/>
              </w:rPr>
            </w:pPr>
          </w:p>
        </w:tc>
        <w:tc>
          <w:tcPr>
            <w:tcW w:w="1540" w:type="dxa"/>
            <w:vAlign w:val="bottom"/>
            <w:tcBorders>
              <w:right w:val="single" w:sz="8" w:color="CCEEFF"/>
            </w:tcBorders>
            <w:gridSpan w:val="2"/>
            <w:shd w:val="clear" w:color="auto" w:fill="CCEEFF"/>
          </w:tcPr>
          <w:p>
            <w:pPr>
              <w:jc w:val="right"/>
              <w:ind w:right="120"/>
              <w:spacing w:after="0" w:line="220" w:lineRule="exact"/>
              <w:rPr>
                <w:sz w:val="20"/>
                <w:szCs w:val="20"/>
                <w:color w:val="auto"/>
              </w:rPr>
            </w:pPr>
            <w:r>
              <w:rPr>
                <w:rFonts w:ascii="Times New Roman" w:cs="Times New Roman" w:eastAsia="Times New Roman" w:hAnsi="Times New Roman"/>
                <w:sz w:val="20"/>
                <w:szCs w:val="20"/>
                <w:color w:val="auto"/>
              </w:rPr>
              <w:t>0.73 %</w:t>
            </w:r>
          </w:p>
        </w:tc>
        <w:tc>
          <w:tcPr>
            <w:tcW w:w="1620" w:type="dxa"/>
            <w:vAlign w:val="bottom"/>
            <w:shd w:val="clear" w:color="auto" w:fill="CCEEFF"/>
          </w:tcPr>
          <w:p>
            <w:pPr>
              <w:jc w:val="center"/>
              <w:spacing w:after="0" w:line="220" w:lineRule="exact"/>
              <w:rPr>
                <w:sz w:val="20"/>
                <w:szCs w:val="20"/>
                <w:color w:val="auto"/>
              </w:rPr>
            </w:pPr>
            <w:r>
              <w:rPr>
                <w:rFonts w:ascii="Times New Roman" w:cs="Times New Roman" w:eastAsia="Times New Roman" w:hAnsi="Times New Roman"/>
                <w:sz w:val="20"/>
                <w:szCs w:val="20"/>
                <w:color w:val="auto"/>
                <w:w w:val="99"/>
                <w:shd w:val="clear" w:color="auto" w:fill="CCEEFF"/>
              </w:rPr>
              <w:t>Monthly installment</w:t>
            </w:r>
          </w:p>
        </w:tc>
        <w:tc>
          <w:tcPr>
            <w:tcW w:w="0" w:type="dxa"/>
            <w:vAlign w:val="bottom"/>
          </w:tcPr>
          <w:p>
            <w:pPr>
              <w:spacing w:after="0"/>
              <w:rPr>
                <w:sz w:val="1"/>
                <w:szCs w:val="1"/>
                <w:color w:val="auto"/>
              </w:rPr>
            </w:pPr>
          </w:p>
        </w:tc>
      </w:tr>
      <w:tr>
        <w:trPr>
          <w:trHeight w:val="20"/>
        </w:trPr>
        <w:tc>
          <w:tcPr>
            <w:tcW w:w="3720" w:type="dxa"/>
            <w:vAlign w:val="bottom"/>
            <w:tcBorders>
              <w:right w:val="single" w:sz="8" w:color="auto"/>
            </w:tcBorders>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firstLine="720"/>
        <w:spacing w:after="0" w:line="279" w:lineRule="auto"/>
        <w:rPr>
          <w:sz w:val="20"/>
          <w:szCs w:val="20"/>
          <w:color w:val="auto"/>
        </w:rPr>
      </w:pPr>
      <w:r>
        <w:rPr>
          <w:rFonts w:ascii="Times New Roman" w:cs="Times New Roman" w:eastAsia="Times New Roman" w:hAnsi="Times New Roman"/>
          <w:sz w:val="20"/>
          <w:szCs w:val="20"/>
          <w:color w:val="auto"/>
        </w:rPr>
        <w:t>This loan, denominated in euro, is a COVID-related loan guaranteed by the French government entered into in 2020 with an initial one-year repayment term subsequently extended to six years.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70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Initial</w:t>
            </w: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Frequency of</w:t>
            </w:r>
          </w:p>
        </w:tc>
      </w:tr>
      <w:tr>
        <w:trPr>
          <w:trHeight w:val="203"/>
        </w:trPr>
        <w:tc>
          <w:tcPr>
            <w:tcW w:w="370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6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Maturity</w:t>
            </w:r>
          </w:p>
        </w:tc>
        <w:tc>
          <w:tcPr>
            <w:tcW w:w="20" w:type="dxa"/>
            <w:vAlign w:val="bottom"/>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7"/>
              </w:rPr>
              <w:t>Fixed Interest rate</w:t>
            </w:r>
          </w:p>
        </w:tc>
        <w:tc>
          <w:tcPr>
            <w:tcW w:w="280" w:type="dxa"/>
            <w:vAlign w:val="bottom"/>
            <w:tcBorders>
              <w:bottom w:val="single" w:sz="8" w:color="CCEEFF"/>
            </w:tcBorders>
          </w:tcPr>
          <w:p>
            <w:pPr>
              <w:spacing w:after="0"/>
              <w:rPr>
                <w:sz w:val="17"/>
                <w:szCs w:val="17"/>
                <w:color w:val="auto"/>
              </w:rPr>
            </w:pP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principal payments</w:t>
            </w:r>
          </w:p>
        </w:tc>
      </w:tr>
      <w:tr>
        <w:trPr>
          <w:trHeight w:val="210"/>
        </w:trPr>
        <w:tc>
          <w:tcPr>
            <w:tcW w:w="3700" w:type="dxa"/>
            <w:vAlign w:val="bottom"/>
          </w:tcPr>
          <w:p>
            <w:pPr>
              <w:spacing w:after="0" w:line="209" w:lineRule="exact"/>
              <w:rPr>
                <w:sz w:val="20"/>
                <w:szCs w:val="20"/>
                <w:color w:val="auto"/>
              </w:rPr>
            </w:pPr>
            <w:r>
              <w:rPr>
                <w:rFonts w:ascii="Times New Roman" w:cs="Times New Roman" w:eastAsia="Times New Roman" w:hAnsi="Times New Roman"/>
                <w:sz w:val="20"/>
                <w:szCs w:val="20"/>
                <w:color w:val="auto"/>
              </w:rPr>
              <w:t>EDAP TMS FRANCE</w:t>
            </w:r>
          </w:p>
        </w:tc>
        <w:tc>
          <w:tcPr>
            <w:tcW w:w="920" w:type="dxa"/>
            <w:vAlign w:val="bottom"/>
          </w:tcPr>
          <w:p>
            <w:pPr>
              <w:jc w:val="center"/>
              <w:spacing w:after="0" w:line="209" w:lineRule="exact"/>
              <w:rPr>
                <w:sz w:val="20"/>
                <w:szCs w:val="20"/>
                <w:color w:val="auto"/>
              </w:rPr>
            </w:pPr>
            <w:r>
              <w:rPr>
                <w:rFonts w:ascii="Times New Roman" w:cs="Times New Roman" w:eastAsia="Times New Roman" w:hAnsi="Times New Roman"/>
                <w:sz w:val="20"/>
                <w:szCs w:val="20"/>
                <w:u w:val="single" w:color="auto"/>
                <w:color w:val="auto"/>
                <w:w w:val="99"/>
              </w:rPr>
              <w:t>2,000,000</w:t>
            </w:r>
          </w:p>
        </w:tc>
        <w:tc>
          <w:tcPr>
            <w:tcW w:w="160" w:type="dxa"/>
            <w:vAlign w:val="bottom"/>
          </w:tcPr>
          <w:p>
            <w:pPr>
              <w:spacing w:after="0"/>
              <w:rPr>
                <w:sz w:val="18"/>
                <w:szCs w:val="18"/>
                <w:color w:val="auto"/>
              </w:rPr>
            </w:pPr>
          </w:p>
        </w:tc>
        <w:tc>
          <w:tcPr>
            <w:tcW w:w="1240" w:type="dxa"/>
            <w:vAlign w:val="bottom"/>
          </w:tcPr>
          <w:p>
            <w:pPr>
              <w:jc w:val="center"/>
              <w:spacing w:after="0" w:line="209" w:lineRule="exact"/>
              <w:rPr>
                <w:sz w:val="20"/>
                <w:szCs w:val="20"/>
                <w:color w:val="auto"/>
              </w:rPr>
            </w:pPr>
            <w:r>
              <w:rPr>
                <w:rFonts w:ascii="Times New Roman" w:cs="Times New Roman" w:eastAsia="Times New Roman" w:hAnsi="Times New Roman"/>
                <w:sz w:val="20"/>
                <w:szCs w:val="20"/>
                <w:u w:val="single" w:color="auto"/>
                <w:color w:val="auto"/>
              </w:rPr>
              <w:t>August 4, 2026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0.73</w:t>
            </w:r>
          </w:p>
        </w:tc>
        <w:tc>
          <w:tcPr>
            <w:tcW w:w="280" w:type="dxa"/>
            <w:vAlign w:val="bottom"/>
          </w:tcPr>
          <w:p>
            <w:pPr>
              <w:jc w:val="right"/>
              <w:ind w:right="20"/>
              <w:spacing w:after="0" w:line="209" w:lineRule="exact"/>
              <w:rPr>
                <w:sz w:val="20"/>
                <w:szCs w:val="20"/>
                <w:color w:val="auto"/>
              </w:rPr>
            </w:pPr>
            <w:r>
              <w:rPr>
                <w:rFonts w:ascii="Times New Roman" w:cs="Times New Roman" w:eastAsia="Times New Roman" w:hAnsi="Times New Roman"/>
                <w:sz w:val="20"/>
                <w:szCs w:val="20"/>
                <w:color w:val="auto"/>
                <w:w w:val="83"/>
              </w:rPr>
              <w:t>%</w:t>
            </w:r>
          </w:p>
        </w:tc>
        <w:tc>
          <w:tcPr>
            <w:tcW w:w="1620" w:type="dxa"/>
            <w:vAlign w:val="bottom"/>
          </w:tcPr>
          <w:p>
            <w:pPr>
              <w:jc w:val="center"/>
              <w:spacing w:after="0" w:line="209" w:lineRule="exact"/>
              <w:rPr>
                <w:sz w:val="20"/>
                <w:szCs w:val="20"/>
                <w:color w:val="auto"/>
              </w:rPr>
            </w:pPr>
            <w:r>
              <w:rPr>
                <w:rFonts w:ascii="Times New Roman" w:cs="Times New Roman" w:eastAsia="Times New Roman" w:hAnsi="Times New Roman"/>
                <w:sz w:val="20"/>
                <w:szCs w:val="20"/>
                <w:u w:val="single" w:color="auto"/>
                <w:color w:val="auto"/>
                <w:w w:val="99"/>
                <w:shd w:val="clear" w:color="auto" w:fill="CCEEFF"/>
              </w:rPr>
              <w:t>Monthly installment</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-139700</wp:posOffset>
                </wp:positionV>
                <wp:extent cx="3034030" cy="146050"/>
                <wp:wrapNone/>
                <wp:docPr id="198" name="Shape 1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034030" cy="146050"/>
                        </a:xfrm>
                        <a:prstGeom prst="rect">
                          <a:avLst/>
                        </a:prstGeom>
                        <a:solidFill>
                          <a:srgbClr val="CCEEFF"/>
                        </a:solidFill>
                      </wps:spPr>
                      <wps:bodyPr/>
                    </wps:wsp>
                  </a:graphicData>
                </a:graphic>
              </wp:anchor>
            </w:drawing>
          </mc:Choice>
          <mc:Fallback>
            <w:pict>
              <v:rect id="Shape 198" o:spid="_x0000_s1223" style="position:absolute;margin-left:0.35pt;margin-top:-11pt;width:238.9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CEEFF" stroked="f"/>
            </w:pict>
          </mc:Fallback>
        </mc:AlternateContent>
        <mc:AlternateContent>
          <mc:Choice Requires="wps">
            <w:drawing>
              <wp:anchor simplePos="0" relativeHeight="251657728" behindDoc="1" locked="0" layoutInCell="0" allowOverlap="1">
                <wp:simplePos x="0" y="0"/>
                <wp:positionH relativeFrom="column">
                  <wp:posOffset>3038475</wp:posOffset>
                </wp:positionH>
                <wp:positionV relativeFrom="paragraph">
                  <wp:posOffset>-139700</wp:posOffset>
                </wp:positionV>
                <wp:extent cx="1884045" cy="146050"/>
                <wp:wrapNone/>
                <wp:docPr id="199" name="Shape 1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84045" cy="146050"/>
                        </a:xfrm>
                        <a:prstGeom prst="rect">
                          <a:avLst/>
                        </a:prstGeom>
                        <a:solidFill>
                          <a:srgbClr val="CCEEFF"/>
                        </a:solidFill>
                      </wps:spPr>
                      <wps:bodyPr/>
                    </wps:wsp>
                  </a:graphicData>
                </a:graphic>
              </wp:anchor>
            </w:drawing>
          </mc:Choice>
          <mc:Fallback>
            <w:pict>
              <v:rect id="Shape 199" o:spid="_x0000_s1224" style="position:absolute;margin-left:239.25pt;margin-top:-11pt;width:148.35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CEEFF" stroked="f"/>
            </w:pict>
          </mc:Fallback>
        </mc:AlternateContent>
      </w:r>
    </w:p>
    <w:p>
      <w:pPr>
        <w:jc w:val="both"/>
        <w:ind w:firstLine="720"/>
        <w:spacing w:after="0" w:line="279" w:lineRule="auto"/>
        <w:rPr>
          <w:sz w:val="20"/>
          <w:szCs w:val="20"/>
          <w:color w:val="auto"/>
        </w:rPr>
      </w:pPr>
      <w:r>
        <w:rPr>
          <w:rFonts w:ascii="Times New Roman" w:cs="Times New Roman" w:eastAsia="Times New Roman" w:hAnsi="Times New Roman"/>
          <w:sz w:val="20"/>
          <w:szCs w:val="20"/>
          <w:color w:val="auto"/>
        </w:rPr>
        <w:t>This loan, denominated in euro, is a COVID-related loan guaranteed by the French government in 2020 with an initial one year repayment term subsequently extended to six years.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3936365</wp:posOffset>
                </wp:positionH>
                <wp:positionV relativeFrom="paragraph">
                  <wp:posOffset>-328295</wp:posOffset>
                </wp:positionV>
                <wp:extent cx="815340" cy="0"/>
                <wp:wrapNone/>
                <wp:docPr id="200" name="Shape 2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534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200" o:spid="_x0000_s122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9.95pt,-25.8499pt" to="374.15pt,-25.8499pt" o:allowincell="f" strokecolor="#000000" strokeweight="0.4799pt"/>
            </w:pict>
          </mc:Fallback>
        </mc:AlternateContent>
      </w:r>
    </w:p>
    <w:p>
      <w:pPr>
        <w:spacing w:after="0" w:line="137" w:lineRule="exact"/>
        <w:rPr>
          <w:sz w:val="20"/>
          <w:szCs w:val="20"/>
          <w:color w:val="auto"/>
        </w:rPr>
      </w:pPr>
    </w:p>
    <w:p>
      <w:pPr>
        <w:jc w:val="both"/>
        <w:ind w:firstLine="720"/>
        <w:spacing w:after="0" w:line="259" w:lineRule="auto"/>
        <w:rPr>
          <w:sz w:val="20"/>
          <w:szCs w:val="20"/>
          <w:color w:val="auto"/>
        </w:rPr>
      </w:pPr>
      <w:r>
        <w:rPr>
          <w:rFonts w:ascii="Times New Roman" w:cs="Times New Roman" w:eastAsia="Times New Roman" w:hAnsi="Times New Roman"/>
          <w:sz w:val="20"/>
          <w:szCs w:val="20"/>
          <w:color w:val="auto"/>
        </w:rPr>
        <w:t>As of December 31, 2024, long-term debt in France consists of two loans denominated in euro, which were originally subscribed in 2020 which terms and maturity were amended with a loan denominated in euro, which was subscribed in 2021, and three loans denominated in euros which were subscribed in 2024, with the following terms: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4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Initial</w:t>
            </w:r>
          </w:p>
        </w:tc>
        <w:tc>
          <w:tcPr>
            <w:tcW w:w="1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Frequency of</w:t>
            </w:r>
          </w:p>
        </w:tc>
        <w:tc>
          <w:tcPr>
            <w:tcW w:w="0" w:type="dxa"/>
            <w:vAlign w:val="bottom"/>
          </w:tcPr>
          <w:p>
            <w:pPr>
              <w:spacing w:after="0"/>
              <w:rPr>
                <w:sz w:val="1"/>
                <w:szCs w:val="1"/>
                <w:color w:val="auto"/>
              </w:rPr>
            </w:pPr>
          </w:p>
        </w:tc>
      </w:tr>
      <w:tr>
        <w:trPr>
          <w:trHeight w:val="203"/>
        </w:trPr>
        <w:tc>
          <w:tcPr>
            <w:tcW w:w="342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60" w:type="dxa"/>
            <w:vAlign w:val="bottom"/>
          </w:tcPr>
          <w:p>
            <w:pPr>
              <w:spacing w:after="0"/>
              <w:rPr>
                <w:sz w:val="17"/>
                <w:szCs w:val="17"/>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Maturity</w:t>
            </w:r>
          </w:p>
        </w:tc>
        <w:tc>
          <w:tcPr>
            <w:tcW w:w="160" w:type="dxa"/>
            <w:vAlign w:val="bottom"/>
          </w:tcPr>
          <w:p>
            <w:pPr>
              <w:spacing w:after="0"/>
              <w:rPr>
                <w:sz w:val="17"/>
                <w:szCs w:val="17"/>
                <w:color w:val="auto"/>
              </w:rPr>
            </w:pPr>
          </w:p>
        </w:tc>
        <w:tc>
          <w:tcPr>
            <w:tcW w:w="15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w w:val="97"/>
              </w:rPr>
              <w:t>Fixed Interest rate</w:t>
            </w:r>
          </w:p>
        </w:tc>
        <w:tc>
          <w:tcPr>
            <w:tcW w:w="1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principal payments</w:t>
            </w:r>
          </w:p>
        </w:tc>
        <w:tc>
          <w:tcPr>
            <w:tcW w:w="0" w:type="dxa"/>
            <w:vAlign w:val="bottom"/>
          </w:tcPr>
          <w:p>
            <w:pPr>
              <w:spacing w:after="0"/>
              <w:rPr>
                <w:sz w:val="1"/>
                <w:szCs w:val="1"/>
                <w:color w:val="auto"/>
              </w:rPr>
            </w:pPr>
          </w:p>
        </w:tc>
      </w:tr>
      <w:tr>
        <w:trPr>
          <w:trHeight w:val="20"/>
        </w:trPr>
        <w:tc>
          <w:tcPr>
            <w:tcW w:w="342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20"/>
                <w:szCs w:val="20"/>
                <w:color w:val="auto"/>
              </w:rPr>
              <w:t>EDAP TMS FRANCE</w:t>
            </w:r>
          </w:p>
        </w:tc>
        <w:tc>
          <w:tcPr>
            <w:tcW w:w="90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3420" w:type="dxa"/>
            <w:vAlign w:val="bottom"/>
            <w:tcBorders>
              <w:right w:val="single" w:sz="8" w:color="CCEEFF"/>
            </w:tcBorders>
            <w:vMerge w:val="continue"/>
            <w:shd w:val="clear" w:color="auto" w:fill="CCEEFF"/>
          </w:tcPr>
          <w:p>
            <w:pPr>
              <w:spacing w:after="0"/>
              <w:rPr>
                <w:sz w:val="19"/>
                <w:szCs w:val="19"/>
                <w:color w:val="auto"/>
              </w:rPr>
            </w:pPr>
          </w:p>
        </w:tc>
        <w:tc>
          <w:tcPr>
            <w:tcW w:w="900" w:type="dxa"/>
            <w:vAlign w:val="bottom"/>
            <w:shd w:val="clear" w:color="auto" w:fill="CCEEFF"/>
          </w:tcPr>
          <w:p>
            <w:pPr>
              <w:jc w:val="center"/>
              <w:spacing w:after="0" w:line="220" w:lineRule="exact"/>
              <w:rPr>
                <w:sz w:val="20"/>
                <w:szCs w:val="20"/>
                <w:color w:val="auto"/>
              </w:rPr>
            </w:pPr>
            <w:r>
              <w:rPr>
                <w:rFonts w:ascii="Times New Roman" w:cs="Times New Roman" w:eastAsia="Times New Roman" w:hAnsi="Times New Roman"/>
                <w:sz w:val="20"/>
                <w:szCs w:val="20"/>
                <w:color w:val="auto"/>
                <w:w w:val="99"/>
              </w:rPr>
              <w:t>2,200,000</w:t>
            </w:r>
          </w:p>
        </w:tc>
        <w:tc>
          <w:tcPr>
            <w:tcW w:w="160" w:type="dxa"/>
            <w:vAlign w:val="bottom"/>
            <w:tcBorders>
              <w:right w:val="single" w:sz="8" w:color="CCEEFF"/>
            </w:tcBorders>
            <w:shd w:val="clear" w:color="auto" w:fill="CCEEFF"/>
          </w:tcPr>
          <w:p>
            <w:pPr>
              <w:spacing w:after="0"/>
              <w:rPr>
                <w:sz w:val="19"/>
                <w:szCs w:val="19"/>
                <w:color w:val="auto"/>
              </w:rPr>
            </w:pPr>
          </w:p>
        </w:tc>
        <w:tc>
          <w:tcPr>
            <w:tcW w:w="1580" w:type="dxa"/>
            <w:vAlign w:val="bottom"/>
            <w:shd w:val="clear" w:color="auto" w:fill="CCEEFF"/>
          </w:tcPr>
          <w:p>
            <w:pPr>
              <w:jc w:val="center"/>
              <w:spacing w:after="0" w:line="220" w:lineRule="exact"/>
              <w:rPr>
                <w:sz w:val="20"/>
                <w:szCs w:val="20"/>
                <w:color w:val="auto"/>
              </w:rPr>
            </w:pPr>
            <w:r>
              <w:rPr>
                <w:rFonts w:ascii="Times New Roman" w:cs="Times New Roman" w:eastAsia="Times New Roman" w:hAnsi="Times New Roman"/>
                <w:sz w:val="20"/>
                <w:szCs w:val="20"/>
                <w:color w:val="auto"/>
              </w:rPr>
              <w:t>December 18, 2026</w:t>
            </w:r>
          </w:p>
        </w:tc>
        <w:tc>
          <w:tcPr>
            <w:tcW w:w="160" w:type="dxa"/>
            <w:vAlign w:val="bottom"/>
            <w:tcBorders>
              <w:right w:val="single" w:sz="8" w:color="CCEEFF"/>
            </w:tcBorders>
            <w:shd w:val="clear" w:color="auto" w:fill="CCEEFF"/>
          </w:tcPr>
          <w:p>
            <w:pPr>
              <w:spacing w:after="0"/>
              <w:rPr>
                <w:sz w:val="19"/>
                <w:szCs w:val="19"/>
                <w:color w:val="auto"/>
              </w:rPr>
            </w:pPr>
          </w:p>
        </w:tc>
        <w:tc>
          <w:tcPr>
            <w:tcW w:w="1540" w:type="dxa"/>
            <w:vAlign w:val="bottom"/>
            <w:tcBorders>
              <w:right w:val="single" w:sz="8" w:color="CCEEFF"/>
            </w:tcBorders>
            <w:gridSpan w:val="2"/>
            <w:shd w:val="clear" w:color="auto" w:fill="CCEEFF"/>
          </w:tcPr>
          <w:p>
            <w:pPr>
              <w:jc w:val="right"/>
              <w:ind w:right="120"/>
              <w:spacing w:after="0" w:line="220" w:lineRule="exact"/>
              <w:rPr>
                <w:sz w:val="20"/>
                <w:szCs w:val="20"/>
                <w:color w:val="auto"/>
              </w:rPr>
            </w:pPr>
            <w:r>
              <w:rPr>
                <w:rFonts w:ascii="Times New Roman" w:cs="Times New Roman" w:eastAsia="Times New Roman" w:hAnsi="Times New Roman"/>
                <w:sz w:val="20"/>
                <w:szCs w:val="20"/>
                <w:color w:val="auto"/>
              </w:rPr>
              <w:t>3.60 %</w:t>
            </w:r>
          </w:p>
        </w:tc>
        <w:tc>
          <w:tcPr>
            <w:tcW w:w="1620" w:type="dxa"/>
            <w:vAlign w:val="bottom"/>
            <w:shd w:val="clear" w:color="auto" w:fill="CCEEFF"/>
          </w:tcPr>
          <w:p>
            <w:pPr>
              <w:jc w:val="center"/>
              <w:spacing w:after="0" w:line="220" w:lineRule="exact"/>
              <w:rPr>
                <w:sz w:val="20"/>
                <w:szCs w:val="20"/>
                <w:color w:val="auto"/>
              </w:rPr>
            </w:pPr>
            <w:r>
              <w:rPr>
                <w:rFonts w:ascii="Times New Roman" w:cs="Times New Roman" w:eastAsia="Times New Roman" w:hAnsi="Times New Roman"/>
                <w:sz w:val="20"/>
                <w:szCs w:val="20"/>
                <w:color w:val="auto"/>
                <w:w w:val="99"/>
                <w:shd w:val="clear" w:color="auto" w:fill="CCEEFF"/>
              </w:rPr>
              <w:t>Monthly installment</w:t>
            </w:r>
          </w:p>
        </w:tc>
        <w:tc>
          <w:tcPr>
            <w:tcW w:w="0" w:type="dxa"/>
            <w:vAlign w:val="bottom"/>
          </w:tcPr>
          <w:p>
            <w:pPr>
              <w:spacing w:after="0"/>
              <w:rPr>
                <w:sz w:val="1"/>
                <w:szCs w:val="1"/>
                <w:color w:val="auto"/>
              </w:rPr>
            </w:pPr>
          </w:p>
        </w:tc>
      </w:tr>
      <w:tr>
        <w:trPr>
          <w:trHeight w:val="20"/>
        </w:trPr>
        <w:tc>
          <w:tcPr>
            <w:tcW w:w="3420" w:type="dxa"/>
            <w:vAlign w:val="bottom"/>
            <w:tcBorders>
              <w:right w:val="single" w:sz="8" w:color="auto"/>
            </w:tcBorders>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380"/>
          </w:cols>
          <w:pgMar w:left="1260" w:top="838" w:right="1266" w:bottom="72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F-31</w:t>
      </w:r>
    </w:p>
    <w:p>
      <w:pPr>
        <w:sectPr>
          <w:pgSz w:w="11900" w:h="16838" w:orient="portrait"/>
          <w:cols w:equalWidth="0" w:num="1">
            <w:col w:w="9380"/>
          </w:cols>
          <w:pgMar w:left="1260" w:top="838" w:right="1266" w:bottom="723" w:gutter="0" w:footer="0" w:header="0"/>
          <w:type w:val="continuous"/>
        </w:sectPr>
      </w:pPr>
    </w:p>
    <w:bookmarkStart w:id="86" w:name="page87"/>
    <w:bookmarkEnd w:id="86"/>
    <w:p>
      <w:pPr>
        <w:ind w:left="3180"/>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795655</wp:posOffset>
            </wp:positionH>
            <wp:positionV relativeFrom="page">
              <wp:posOffset>292735</wp:posOffset>
            </wp:positionV>
            <wp:extent cx="929005" cy="1149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111">
                      <a:extLst>
                        <a:ext uri="{28A0092B-C50C-407E-A947-70E740481C1C}"/>
                      </a:extLst>
                    </a:blip>
                    <a:srcRect/>
                    <a:stretch>
                      <a:fillRect/>
                    </a:stretch>
                  </pic:blipFill>
                  <pic:spPr bwMode="auto">
                    <a:xfrm>
                      <a:off x="0" y="0"/>
                      <a:ext cx="929005" cy="114935"/>
                    </a:xfrm>
                    <a:prstGeom prst="rect">
                      <a:avLst/>
                    </a:prstGeom>
                    <a:noFill/>
                  </pic:spPr>
                </pic:pic>
              </a:graphicData>
            </a:graphic>
          </wp:anchor>
        </w:drawing>
        <w:t>EDAP TMS S.A. AND SUBSIDIARIES</w:t>
      </w:r>
    </w:p>
    <w:p>
      <w:pPr>
        <w:ind w:left="2760"/>
        <w:spacing w:after="0"/>
        <w:rPr>
          <w:sz w:val="20"/>
          <w:szCs w:val="20"/>
          <w:color w:val="auto"/>
        </w:rPr>
      </w:pPr>
      <w:r>
        <w:rPr>
          <w:rFonts w:ascii="Times New Roman" w:cs="Times New Roman" w:eastAsia="Times New Roman" w:hAnsi="Times New Roman"/>
          <w:sz w:val="20"/>
          <w:szCs w:val="20"/>
          <w:b w:val="1"/>
          <w:bCs w:val="1"/>
          <w:color w:val="auto"/>
        </w:rPr>
        <w:t>CONSOLIDATED FINANCIAL STATEMENTS</w:t>
      </w:r>
    </w:p>
    <w:p>
      <w:pPr>
        <w:ind w:left="1500"/>
        <w:spacing w:after="0"/>
        <w:rPr>
          <w:sz w:val="20"/>
          <w:szCs w:val="20"/>
          <w:color w:val="auto"/>
        </w:rPr>
      </w:pPr>
      <w:r>
        <w:rPr>
          <w:rFonts w:ascii="Times New Roman" w:cs="Times New Roman" w:eastAsia="Times New Roman" w:hAnsi="Times New Roman"/>
          <w:sz w:val="20"/>
          <w:szCs w:val="20"/>
          <w:b w:val="1"/>
          <w:bCs w:val="1"/>
          <w:color w:val="auto"/>
        </w:rPr>
        <w:t>(In thousands of U.S. dollars unless otherwise noted,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This loan, denominated in euro, is tied to an investment for which the Company has access at all times for an amount equal to the countervalue of €1,100,000 in USD. This loan is related to the advanced purchasing of ultrasound technology. If the investment is not maintained, the principal amount loaned along with interest and all amounts due to the lender for any reason will become immediately due and payable.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78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Initial</w:t>
            </w: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Frequency of</w:t>
            </w:r>
          </w:p>
        </w:tc>
      </w:tr>
      <w:tr>
        <w:trPr>
          <w:trHeight w:val="203"/>
        </w:trPr>
        <w:tc>
          <w:tcPr>
            <w:tcW w:w="378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8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Maturity</w:t>
            </w:r>
          </w:p>
        </w:tc>
        <w:tc>
          <w:tcPr>
            <w:tcW w:w="180" w:type="dxa"/>
            <w:vAlign w:val="bottom"/>
          </w:tcPr>
          <w:p>
            <w:pPr>
              <w:spacing w:after="0"/>
              <w:rPr>
                <w:sz w:val="17"/>
                <w:szCs w:val="17"/>
                <w:color w:val="auto"/>
              </w:rPr>
            </w:pPr>
          </w:p>
        </w:tc>
        <w:tc>
          <w:tcPr>
            <w:tcW w:w="30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w w:val="99"/>
              </w:rPr>
              <w:t>Fixed Interest rateprincipal payments</w:t>
            </w:r>
          </w:p>
        </w:tc>
      </w:tr>
      <w:tr>
        <w:trPr>
          <w:trHeight w:val="20"/>
        </w:trPr>
        <w:tc>
          <w:tcPr>
            <w:tcW w:w="3780" w:type="dxa"/>
            <w:vAlign w:val="bottom"/>
            <w:tcBorders>
              <w:right w:val="single" w:sz="8" w:color="CCEEFF"/>
            </w:tcBorders>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r>
      <w:tr>
        <w:trPr>
          <w:trHeight w:val="222"/>
        </w:trPr>
        <w:tc>
          <w:tcPr>
            <w:tcW w:w="3780" w:type="dxa"/>
            <w:vAlign w:val="bottom"/>
            <w:tcBorders>
              <w:right w:val="single" w:sz="8" w:color="CCEEFF"/>
            </w:tcBorders>
            <w:shd w:val="clear" w:color="auto" w:fill="CCEEFF"/>
          </w:tcPr>
          <w:p>
            <w:pPr>
              <w:spacing w:after="0" w:line="223" w:lineRule="exact"/>
              <w:rPr>
                <w:sz w:val="20"/>
                <w:szCs w:val="20"/>
                <w:color w:val="auto"/>
              </w:rPr>
            </w:pPr>
            <w:r>
              <w:rPr>
                <w:rFonts w:ascii="Times New Roman" w:cs="Times New Roman" w:eastAsia="Times New Roman" w:hAnsi="Times New Roman"/>
                <w:sz w:val="20"/>
                <w:szCs w:val="20"/>
                <w:color w:val="auto"/>
              </w:rPr>
              <w:t>EDAP TMS FRANCE</w:t>
            </w:r>
          </w:p>
        </w:tc>
        <w:tc>
          <w:tcPr>
            <w:tcW w:w="92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56,000</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center"/>
              <w:spacing w:after="0" w:line="223" w:lineRule="exact"/>
              <w:rPr>
                <w:sz w:val="20"/>
                <w:szCs w:val="20"/>
                <w:color w:val="auto"/>
              </w:rPr>
            </w:pPr>
            <w:r>
              <w:rPr>
                <w:rFonts w:ascii="Times New Roman" w:cs="Times New Roman" w:eastAsia="Times New Roman" w:hAnsi="Times New Roman"/>
                <w:sz w:val="20"/>
                <w:szCs w:val="20"/>
                <w:color w:val="auto"/>
              </w:rPr>
              <w:t>August 5, 2028</w:t>
            </w:r>
          </w:p>
        </w:tc>
        <w:tc>
          <w:tcPr>
            <w:tcW w:w="180" w:type="dxa"/>
            <w:vAlign w:val="bottom"/>
            <w:tcBorders>
              <w:right w:val="single" w:sz="8" w:color="CCEEFF"/>
            </w:tcBorders>
            <w:shd w:val="clear" w:color="auto" w:fill="CCEEFF"/>
          </w:tcPr>
          <w:p>
            <w:pPr>
              <w:spacing w:after="0"/>
              <w:rPr>
                <w:sz w:val="19"/>
                <w:szCs w:val="19"/>
                <w:color w:val="auto"/>
              </w:rPr>
            </w:pPr>
          </w:p>
        </w:tc>
        <w:tc>
          <w:tcPr>
            <w:tcW w:w="1460" w:type="dxa"/>
            <w:vAlign w:val="bottom"/>
            <w:tcBorders>
              <w:right w:val="single" w:sz="8" w:color="CCEEFF"/>
            </w:tcBorders>
            <w:gridSpan w:val="2"/>
            <w:shd w:val="clear" w:color="auto" w:fill="CCEEFF"/>
          </w:tcPr>
          <w:p>
            <w:pPr>
              <w:jc w:val="right"/>
              <w:ind w:right="40"/>
              <w:spacing w:after="0" w:line="223" w:lineRule="exact"/>
              <w:rPr>
                <w:sz w:val="20"/>
                <w:szCs w:val="20"/>
                <w:color w:val="auto"/>
              </w:rPr>
            </w:pPr>
            <w:r>
              <w:rPr>
                <w:rFonts w:ascii="Times New Roman" w:cs="Times New Roman" w:eastAsia="Times New Roman" w:hAnsi="Times New Roman"/>
                <w:sz w:val="20"/>
                <w:szCs w:val="20"/>
                <w:color w:val="auto"/>
              </w:rPr>
              <w:t>4.16 %</w:t>
            </w:r>
          </w:p>
        </w:tc>
        <w:tc>
          <w:tcPr>
            <w:tcW w:w="1620" w:type="dxa"/>
            <w:vAlign w:val="bottom"/>
            <w:shd w:val="clear" w:color="auto" w:fill="CCEEFF"/>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shd w:val="clear" w:color="auto" w:fill="CCEEFF"/>
              </w:rPr>
              <w:t>Monthly installment</w:t>
            </w:r>
          </w:p>
        </w:tc>
      </w:tr>
      <w:tr>
        <w:trPr>
          <w:trHeight w:val="20"/>
        </w:trPr>
        <w:tc>
          <w:tcPr>
            <w:tcW w:w="3780" w:type="dxa"/>
            <w:vAlign w:val="bottom"/>
            <w:tcBorders>
              <w:right w:val="single" w:sz="8" w:color="auto"/>
            </w:tcBorders>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r>
    </w:tbl>
    <w:p>
      <w:pPr>
        <w:spacing w:after="0" w:line="21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This loan, denominated in euro, is related to the acquisition of a medical equipment for ESWL mobile RPP.</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18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Initial</w:t>
            </w:r>
          </w:p>
        </w:tc>
        <w:tc>
          <w:tcPr>
            <w:tcW w:w="1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Frequency of</w:t>
            </w:r>
          </w:p>
        </w:tc>
      </w:tr>
      <w:tr>
        <w:trPr>
          <w:trHeight w:val="203"/>
        </w:trPr>
        <w:tc>
          <w:tcPr>
            <w:tcW w:w="218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60" w:type="dxa"/>
            <w:vAlign w:val="bottom"/>
            <w:tcBorders>
              <w:bottom w:val="single" w:sz="8" w:color="CCEEFF"/>
            </w:tcBorders>
          </w:tcPr>
          <w:p>
            <w:pPr>
              <w:spacing w:after="0"/>
              <w:rPr>
                <w:sz w:val="17"/>
                <w:szCs w:val="17"/>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Maturity</w:t>
            </w:r>
          </w:p>
        </w:tc>
        <w:tc>
          <w:tcPr>
            <w:tcW w:w="160" w:type="dxa"/>
            <w:vAlign w:val="bottom"/>
            <w:tcBorders>
              <w:bottom w:val="single" w:sz="8" w:color="CCEEFF"/>
            </w:tcBorders>
          </w:tcPr>
          <w:p>
            <w:pPr>
              <w:spacing w:after="0"/>
              <w:rPr>
                <w:sz w:val="17"/>
                <w:szCs w:val="17"/>
                <w:color w:val="auto"/>
              </w:rPr>
            </w:pPr>
          </w:p>
        </w:tc>
        <w:tc>
          <w:tcPr>
            <w:tcW w:w="1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w w:val="99"/>
              </w:rPr>
              <w:t>Fixed Interest rate</w:t>
            </w:r>
          </w:p>
        </w:tc>
        <w:tc>
          <w:tcPr>
            <w:tcW w:w="160" w:type="dxa"/>
            <w:vAlign w:val="bottom"/>
            <w:tcBorders>
              <w:bottom w:val="single" w:sz="8" w:color="CCEEFF"/>
            </w:tcBorders>
          </w:tcPr>
          <w:p>
            <w:pPr>
              <w:spacing w:after="0"/>
              <w:rPr>
                <w:sz w:val="17"/>
                <w:szCs w:val="17"/>
                <w:color w:val="auto"/>
              </w:rPr>
            </w:pPr>
          </w:p>
        </w:tc>
        <w:tc>
          <w:tcPr>
            <w:tcW w:w="3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principal payments</w:t>
            </w:r>
          </w:p>
        </w:tc>
      </w:tr>
      <w:tr>
        <w:trPr>
          <w:trHeight w:val="220"/>
        </w:trPr>
        <w:tc>
          <w:tcPr>
            <w:tcW w:w="2180" w:type="dxa"/>
            <w:vAlign w:val="bottom"/>
            <w:tcBorders>
              <w:right w:val="single" w:sz="8" w:color="CCEEFF"/>
            </w:tcBorders>
            <w:shd w:val="clear" w:color="auto" w:fill="CCEEFF"/>
          </w:tcPr>
          <w:p>
            <w:pPr>
              <w:spacing w:after="0" w:line="220" w:lineRule="exact"/>
              <w:rPr>
                <w:sz w:val="20"/>
                <w:szCs w:val="20"/>
                <w:color w:val="auto"/>
              </w:rPr>
            </w:pPr>
            <w:r>
              <w:rPr>
                <w:rFonts w:ascii="Times New Roman" w:cs="Times New Roman" w:eastAsia="Times New Roman" w:hAnsi="Times New Roman"/>
                <w:sz w:val="20"/>
                <w:szCs w:val="20"/>
                <w:color w:val="auto"/>
              </w:rPr>
              <w:t>EDAP TMS SA</w:t>
            </w:r>
          </w:p>
        </w:tc>
        <w:tc>
          <w:tcPr>
            <w:tcW w:w="740" w:type="dxa"/>
            <w:vAlign w:val="bottom"/>
            <w:shd w:val="clear" w:color="auto" w:fill="CCEEFF"/>
          </w:tcPr>
          <w:p>
            <w:pPr>
              <w:jc w:val="center"/>
              <w:spacing w:after="0" w:line="220" w:lineRule="exact"/>
              <w:rPr>
                <w:sz w:val="20"/>
                <w:szCs w:val="20"/>
                <w:color w:val="auto"/>
              </w:rPr>
            </w:pPr>
            <w:r>
              <w:rPr>
                <w:rFonts w:ascii="Times New Roman" w:cs="Times New Roman" w:eastAsia="Times New Roman" w:hAnsi="Times New Roman"/>
                <w:sz w:val="20"/>
                <w:szCs w:val="20"/>
                <w:color w:val="auto"/>
                <w:w w:val="98"/>
              </w:rPr>
              <w:t>328,650</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center"/>
              <w:spacing w:after="0" w:line="220" w:lineRule="exact"/>
              <w:rPr>
                <w:sz w:val="20"/>
                <w:szCs w:val="20"/>
                <w:color w:val="auto"/>
              </w:rPr>
            </w:pPr>
            <w:r>
              <w:rPr>
                <w:rFonts w:ascii="Times New Roman" w:cs="Times New Roman" w:eastAsia="Times New Roman" w:hAnsi="Times New Roman"/>
                <w:sz w:val="20"/>
                <w:szCs w:val="20"/>
                <w:color w:val="auto"/>
              </w:rPr>
              <w:t>December 31, 2027</w:t>
            </w:r>
          </w:p>
        </w:tc>
        <w:tc>
          <w:tcPr>
            <w:tcW w:w="160" w:type="dxa"/>
            <w:vAlign w:val="bottom"/>
            <w:tcBorders>
              <w:right w:val="single" w:sz="8" w:color="CCEEFF"/>
            </w:tcBorders>
            <w:shd w:val="clear" w:color="auto" w:fill="CCEEFF"/>
          </w:tcPr>
          <w:p>
            <w:pPr>
              <w:spacing w:after="0"/>
              <w:rPr>
                <w:sz w:val="19"/>
                <w:szCs w:val="19"/>
                <w:color w:val="auto"/>
              </w:rPr>
            </w:pPr>
          </w:p>
        </w:tc>
        <w:tc>
          <w:tcPr>
            <w:tcW w:w="4560" w:type="dxa"/>
            <w:vAlign w:val="bottom"/>
            <w:gridSpan w:val="3"/>
            <w:shd w:val="clear" w:color="auto" w:fill="CCEEFF"/>
          </w:tcPr>
          <w:p>
            <w:pPr>
              <w:ind w:left="860"/>
              <w:spacing w:after="0" w:line="220" w:lineRule="exact"/>
              <w:rPr>
                <w:sz w:val="20"/>
                <w:szCs w:val="20"/>
                <w:color w:val="auto"/>
              </w:rPr>
            </w:pPr>
            <w:r>
              <w:rPr>
                <w:rFonts w:ascii="Times New Roman" w:cs="Times New Roman" w:eastAsia="Times New Roman" w:hAnsi="Times New Roman"/>
                <w:sz w:val="20"/>
                <w:szCs w:val="20"/>
                <w:color w:val="auto"/>
                <w:w w:val="99"/>
              </w:rPr>
              <w:t>4.60 %Full reimbursement at termination date</w:t>
            </w:r>
          </w:p>
        </w:tc>
      </w:tr>
      <w:tr>
        <w:trPr>
          <w:trHeight w:val="20"/>
        </w:trPr>
        <w:tc>
          <w:tcPr>
            <w:tcW w:w="2180" w:type="dxa"/>
            <w:vAlign w:val="bottom"/>
            <w:tcBorders>
              <w:right w:val="single" w:sz="8" w:color="auto"/>
            </w:tcBorders>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3120" w:type="dxa"/>
            <w:vAlign w:val="bottom"/>
            <w:shd w:val="clear" w:color="auto" w:fill="000000"/>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This loan, denominated in euro, is related to the Research and development tax credit receivable from the French State.</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Drawn</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Frequency of</w:t>
            </w:r>
          </w:p>
        </w:tc>
      </w:tr>
      <w:tr>
        <w:trPr>
          <w:trHeight w:val="203"/>
        </w:trPr>
        <w:tc>
          <w:tcPr>
            <w:tcW w:w="37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2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Maturity</w:t>
            </w:r>
          </w:p>
        </w:tc>
        <w:tc>
          <w:tcPr>
            <w:tcW w:w="2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7"/>
              </w:rPr>
              <w:t>Fixed Interest rate</w:t>
            </w:r>
          </w:p>
        </w:tc>
        <w:tc>
          <w:tcPr>
            <w:tcW w:w="2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principal payments</w:t>
            </w:r>
          </w:p>
        </w:tc>
      </w:tr>
      <w:tr>
        <w:trPr>
          <w:trHeight w:val="222"/>
        </w:trPr>
        <w:tc>
          <w:tcPr>
            <w:tcW w:w="3740" w:type="dxa"/>
            <w:vAlign w:val="bottom"/>
            <w:shd w:val="clear" w:color="auto" w:fill="CCEEFF"/>
          </w:tcPr>
          <w:p>
            <w:pPr>
              <w:spacing w:after="0" w:line="223" w:lineRule="exact"/>
              <w:rPr>
                <w:sz w:val="20"/>
                <w:szCs w:val="20"/>
                <w:color w:val="auto"/>
              </w:rPr>
            </w:pPr>
            <w:r>
              <w:rPr>
                <w:rFonts w:ascii="Times New Roman" w:cs="Times New Roman" w:eastAsia="Times New Roman" w:hAnsi="Times New Roman"/>
                <w:sz w:val="20"/>
                <w:szCs w:val="20"/>
                <w:color w:val="auto"/>
              </w:rPr>
              <w:t>EDAP TMS FRANCE</w:t>
            </w:r>
          </w:p>
        </w:tc>
        <w:tc>
          <w:tcPr>
            <w:tcW w:w="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1,066,081</w:t>
            </w:r>
          </w:p>
        </w:tc>
        <w:tc>
          <w:tcPr>
            <w:tcW w:w="2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center"/>
              <w:spacing w:after="0" w:line="223" w:lineRule="exact"/>
              <w:rPr>
                <w:sz w:val="20"/>
                <w:szCs w:val="20"/>
                <w:color w:val="auto"/>
              </w:rPr>
            </w:pPr>
            <w:r>
              <w:rPr>
                <w:rFonts w:ascii="Times New Roman" w:cs="Times New Roman" w:eastAsia="Times New Roman" w:hAnsi="Times New Roman"/>
                <w:sz w:val="20"/>
                <w:szCs w:val="20"/>
                <w:color w:val="auto"/>
              </w:rPr>
              <w:t>July 1, 2025</w:t>
            </w:r>
          </w:p>
        </w:tc>
        <w:tc>
          <w:tcPr>
            <w:tcW w:w="2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0.99</w:t>
            </w:r>
          </w:p>
        </w:tc>
        <w:tc>
          <w:tcPr>
            <w:tcW w:w="26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w w:val="83"/>
                <w:shd w:val="clear" w:color="auto" w:fill="CCEEFF"/>
              </w:rPr>
              <w:t>%</w:t>
            </w:r>
          </w:p>
        </w:tc>
        <w:tc>
          <w:tcPr>
            <w:tcW w:w="2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shd w:val="clear" w:color="auto" w:fill="CCEEFF"/>
              </w:rPr>
              <w:t>Monthly installment</w:t>
            </w:r>
          </w:p>
        </w:tc>
      </w:tr>
    </w:tbl>
    <w:p>
      <w:pPr>
        <w:spacing w:after="0" w:line="208" w:lineRule="exact"/>
        <w:rPr>
          <w:sz w:val="20"/>
          <w:szCs w:val="20"/>
          <w:color w:val="auto"/>
        </w:rPr>
      </w:pPr>
    </w:p>
    <w:p>
      <w:pPr>
        <w:jc w:val="both"/>
        <w:ind w:firstLine="720"/>
        <w:spacing w:after="0" w:line="259" w:lineRule="auto"/>
        <w:rPr>
          <w:sz w:val="20"/>
          <w:szCs w:val="20"/>
          <w:color w:val="auto"/>
        </w:rPr>
      </w:pPr>
      <w:r>
        <w:rPr>
          <w:rFonts w:ascii="Times New Roman" w:cs="Times New Roman" w:eastAsia="Times New Roman" w:hAnsi="Times New Roman"/>
          <w:sz w:val="20"/>
          <w:szCs w:val="20"/>
          <w:color w:val="auto"/>
        </w:rPr>
        <w:t>This loan is pledged against the Company’s cash in USD for an amount equal to the countervalue of the loan in USD. This loan constitutes a complete financial package of €1,530,000, of which €1,066,081 was drawn to finance HIFU treatment probes. This drawn amount has been reimbursed over three years until July 1, 2025.</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7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Initial</w:t>
            </w: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Frequency of</w:t>
            </w:r>
          </w:p>
        </w:tc>
        <w:tc>
          <w:tcPr>
            <w:tcW w:w="0" w:type="dxa"/>
            <w:vAlign w:val="bottom"/>
          </w:tcPr>
          <w:p>
            <w:pPr>
              <w:spacing w:after="0"/>
              <w:rPr>
                <w:sz w:val="1"/>
                <w:szCs w:val="1"/>
                <w:color w:val="auto"/>
              </w:rPr>
            </w:pPr>
          </w:p>
        </w:tc>
      </w:tr>
      <w:tr>
        <w:trPr>
          <w:trHeight w:val="203"/>
        </w:trPr>
        <w:tc>
          <w:tcPr>
            <w:tcW w:w="372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22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Maturity</w:t>
            </w:r>
          </w:p>
        </w:tc>
        <w:tc>
          <w:tcPr>
            <w:tcW w:w="220" w:type="dxa"/>
            <w:vAlign w:val="bottom"/>
          </w:tcPr>
          <w:p>
            <w:pPr>
              <w:spacing w:after="0"/>
              <w:rPr>
                <w:sz w:val="17"/>
                <w:szCs w:val="17"/>
                <w:color w:val="auto"/>
              </w:rPr>
            </w:pPr>
          </w:p>
        </w:tc>
        <w:tc>
          <w:tcPr>
            <w:tcW w:w="15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w w:val="97"/>
              </w:rPr>
              <w:t>Fixed Interest rate</w:t>
            </w:r>
          </w:p>
        </w:tc>
        <w:tc>
          <w:tcPr>
            <w:tcW w:w="1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principal payments</w:t>
            </w:r>
          </w:p>
        </w:tc>
        <w:tc>
          <w:tcPr>
            <w:tcW w:w="0" w:type="dxa"/>
            <w:vAlign w:val="bottom"/>
          </w:tcPr>
          <w:p>
            <w:pPr>
              <w:spacing w:after="0"/>
              <w:rPr>
                <w:sz w:val="1"/>
                <w:szCs w:val="1"/>
                <w:color w:val="auto"/>
              </w:rPr>
            </w:pPr>
          </w:p>
        </w:tc>
      </w:tr>
      <w:tr>
        <w:trPr>
          <w:trHeight w:val="20"/>
        </w:trPr>
        <w:tc>
          <w:tcPr>
            <w:tcW w:w="372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20"/>
                <w:szCs w:val="20"/>
                <w:color w:val="auto"/>
              </w:rPr>
              <w:t>EDAP TMS FRANCE</w:t>
            </w:r>
          </w:p>
        </w:tc>
        <w:tc>
          <w:tcPr>
            <w:tcW w:w="90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720" w:type="dxa"/>
            <w:vAlign w:val="bottom"/>
            <w:tcBorders>
              <w:right w:val="single" w:sz="8" w:color="CCEEFF"/>
            </w:tcBorders>
            <w:vMerge w:val="continue"/>
            <w:shd w:val="clear" w:color="auto" w:fill="CCEEFF"/>
          </w:tcPr>
          <w:p>
            <w:pPr>
              <w:spacing w:after="0"/>
              <w:rPr>
                <w:sz w:val="19"/>
                <w:szCs w:val="19"/>
                <w:color w:val="auto"/>
              </w:rPr>
            </w:pPr>
          </w:p>
        </w:tc>
        <w:tc>
          <w:tcPr>
            <w:tcW w:w="900" w:type="dxa"/>
            <w:vAlign w:val="bottom"/>
            <w:shd w:val="clear" w:color="auto" w:fill="CCEEFF"/>
          </w:tcPr>
          <w:p>
            <w:pPr>
              <w:jc w:val="center"/>
              <w:spacing w:after="0" w:line="221" w:lineRule="exact"/>
              <w:rPr>
                <w:sz w:val="20"/>
                <w:szCs w:val="20"/>
                <w:color w:val="auto"/>
              </w:rPr>
            </w:pPr>
            <w:r>
              <w:rPr>
                <w:rFonts w:ascii="Times New Roman" w:cs="Times New Roman" w:eastAsia="Times New Roman" w:hAnsi="Times New Roman"/>
                <w:sz w:val="20"/>
                <w:szCs w:val="20"/>
                <w:color w:val="auto"/>
                <w:w w:val="99"/>
              </w:rPr>
              <w:t>2,000,000</w:t>
            </w:r>
          </w:p>
        </w:tc>
        <w:tc>
          <w:tcPr>
            <w:tcW w:w="220" w:type="dxa"/>
            <w:vAlign w:val="bottom"/>
            <w:tcBorders>
              <w:right w:val="single" w:sz="8" w:color="CCEEFF"/>
            </w:tcBorders>
            <w:shd w:val="clear" w:color="auto" w:fill="CCEEFF"/>
          </w:tcPr>
          <w:p>
            <w:pPr>
              <w:spacing w:after="0"/>
              <w:rPr>
                <w:sz w:val="19"/>
                <w:szCs w:val="19"/>
                <w:color w:val="auto"/>
              </w:rPr>
            </w:pPr>
          </w:p>
        </w:tc>
        <w:tc>
          <w:tcPr>
            <w:tcW w:w="1160" w:type="dxa"/>
            <w:vAlign w:val="bottom"/>
            <w:shd w:val="clear" w:color="auto" w:fill="CCEEFF"/>
          </w:tcPr>
          <w:p>
            <w:pPr>
              <w:jc w:val="center"/>
              <w:spacing w:after="0" w:line="221" w:lineRule="exact"/>
              <w:rPr>
                <w:sz w:val="20"/>
                <w:szCs w:val="20"/>
                <w:color w:val="auto"/>
              </w:rPr>
            </w:pPr>
            <w:r>
              <w:rPr>
                <w:rFonts w:ascii="Times New Roman" w:cs="Times New Roman" w:eastAsia="Times New Roman" w:hAnsi="Times New Roman"/>
                <w:sz w:val="20"/>
                <w:szCs w:val="20"/>
                <w:color w:val="auto"/>
                <w:w w:val="99"/>
              </w:rPr>
              <w:t>July 30, 2026</w:t>
            </w:r>
          </w:p>
        </w:tc>
        <w:tc>
          <w:tcPr>
            <w:tcW w:w="220" w:type="dxa"/>
            <w:vAlign w:val="bottom"/>
            <w:tcBorders>
              <w:right w:val="single" w:sz="8" w:color="CCEEFF"/>
            </w:tcBorders>
            <w:shd w:val="clear" w:color="auto" w:fill="CCEEFF"/>
          </w:tcPr>
          <w:p>
            <w:pPr>
              <w:spacing w:after="0"/>
              <w:rPr>
                <w:sz w:val="19"/>
                <w:szCs w:val="19"/>
                <w:color w:val="auto"/>
              </w:rPr>
            </w:pPr>
          </w:p>
        </w:tc>
        <w:tc>
          <w:tcPr>
            <w:tcW w:w="1540" w:type="dxa"/>
            <w:vAlign w:val="bottom"/>
            <w:tcBorders>
              <w:right w:val="single" w:sz="8" w:color="CCEEFF"/>
            </w:tcBorders>
            <w:gridSpan w:val="2"/>
            <w:shd w:val="clear" w:color="auto" w:fill="CCEEFF"/>
          </w:tcPr>
          <w:p>
            <w:pPr>
              <w:jc w:val="right"/>
              <w:ind w:right="120"/>
              <w:spacing w:after="0" w:line="221" w:lineRule="exact"/>
              <w:rPr>
                <w:sz w:val="20"/>
                <w:szCs w:val="20"/>
                <w:color w:val="auto"/>
              </w:rPr>
            </w:pPr>
            <w:r>
              <w:rPr>
                <w:rFonts w:ascii="Times New Roman" w:cs="Times New Roman" w:eastAsia="Times New Roman" w:hAnsi="Times New Roman"/>
                <w:sz w:val="20"/>
                <w:szCs w:val="20"/>
                <w:color w:val="auto"/>
              </w:rPr>
              <w:t>0.73 %</w:t>
            </w:r>
          </w:p>
        </w:tc>
        <w:tc>
          <w:tcPr>
            <w:tcW w:w="1620" w:type="dxa"/>
            <w:vAlign w:val="bottom"/>
            <w:shd w:val="clear" w:color="auto" w:fill="CCEEFF"/>
          </w:tcPr>
          <w:p>
            <w:pPr>
              <w:jc w:val="center"/>
              <w:spacing w:after="0" w:line="221" w:lineRule="exact"/>
              <w:rPr>
                <w:sz w:val="20"/>
                <w:szCs w:val="20"/>
                <w:color w:val="auto"/>
              </w:rPr>
            </w:pPr>
            <w:r>
              <w:rPr>
                <w:rFonts w:ascii="Times New Roman" w:cs="Times New Roman" w:eastAsia="Times New Roman" w:hAnsi="Times New Roman"/>
                <w:sz w:val="20"/>
                <w:szCs w:val="20"/>
                <w:color w:val="auto"/>
                <w:w w:val="99"/>
                <w:shd w:val="clear" w:color="auto" w:fill="CCEEFF"/>
              </w:rPr>
              <w:t>Monthly installment</w:t>
            </w:r>
          </w:p>
        </w:tc>
        <w:tc>
          <w:tcPr>
            <w:tcW w:w="0" w:type="dxa"/>
            <w:vAlign w:val="bottom"/>
          </w:tcPr>
          <w:p>
            <w:pPr>
              <w:spacing w:after="0"/>
              <w:rPr>
                <w:sz w:val="1"/>
                <w:szCs w:val="1"/>
                <w:color w:val="auto"/>
              </w:rPr>
            </w:pPr>
          </w:p>
        </w:tc>
      </w:tr>
      <w:tr>
        <w:trPr>
          <w:trHeight w:val="20"/>
        </w:trPr>
        <w:tc>
          <w:tcPr>
            <w:tcW w:w="3720" w:type="dxa"/>
            <w:vAlign w:val="bottom"/>
            <w:tcBorders>
              <w:right w:val="single" w:sz="8" w:color="auto"/>
            </w:tcBorders>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720"/>
        <w:spacing w:after="0" w:line="279" w:lineRule="auto"/>
        <w:rPr>
          <w:sz w:val="20"/>
          <w:szCs w:val="20"/>
          <w:color w:val="auto"/>
        </w:rPr>
      </w:pPr>
      <w:r>
        <w:rPr>
          <w:rFonts w:ascii="Times New Roman" w:cs="Times New Roman" w:eastAsia="Times New Roman" w:hAnsi="Times New Roman"/>
          <w:sz w:val="20"/>
          <w:szCs w:val="20"/>
          <w:color w:val="auto"/>
        </w:rPr>
        <w:t>This loan, denominated in euro, is a COVID-related loan guaranteed by the French government entered into in 2020 with an initial one-year repayment term subsequently extended to six years.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700" w:type="dxa"/>
            <w:vAlign w:val="bottom"/>
          </w:tcPr>
          <w:p>
            <w:pPr>
              <w:spacing w:after="0"/>
              <w:rPr>
                <w:sz w:val="16"/>
                <w:szCs w:val="16"/>
                <w:color w:val="auto"/>
              </w:rPr>
            </w:pP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Initial</w:t>
            </w:r>
          </w:p>
        </w:tc>
        <w:tc>
          <w:tcPr>
            <w:tcW w:w="1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Frequency of</w:t>
            </w:r>
          </w:p>
        </w:tc>
      </w:tr>
      <w:tr>
        <w:trPr>
          <w:trHeight w:val="203"/>
        </w:trPr>
        <w:tc>
          <w:tcPr>
            <w:tcW w:w="370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6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Maturity</w:t>
            </w:r>
          </w:p>
        </w:tc>
        <w:tc>
          <w:tcPr>
            <w:tcW w:w="200" w:type="dxa"/>
            <w:vAlign w:val="bottom"/>
          </w:tcPr>
          <w:p>
            <w:pPr>
              <w:spacing w:after="0"/>
              <w:rPr>
                <w:sz w:val="17"/>
                <w:szCs w:val="17"/>
                <w:color w:val="auto"/>
              </w:rPr>
            </w:pPr>
          </w:p>
        </w:tc>
        <w:tc>
          <w:tcPr>
            <w:tcW w:w="15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w w:val="97"/>
              </w:rPr>
              <w:t>Fixed Interest rate</w:t>
            </w:r>
          </w:p>
        </w:tc>
        <w:tc>
          <w:tcPr>
            <w:tcW w:w="1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principal payments</w:t>
            </w:r>
          </w:p>
        </w:tc>
      </w:tr>
      <w:tr>
        <w:trPr>
          <w:trHeight w:val="20"/>
        </w:trPr>
        <w:tc>
          <w:tcPr>
            <w:tcW w:w="3700" w:type="dxa"/>
            <w:vAlign w:val="bottom"/>
            <w:tcBorders>
              <w:right w:val="single" w:sz="8" w:color="CCEEFF"/>
            </w:tcBorders>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r>
      <w:tr>
        <w:trPr>
          <w:trHeight w:val="222"/>
        </w:trPr>
        <w:tc>
          <w:tcPr>
            <w:tcW w:w="3700" w:type="dxa"/>
            <w:vAlign w:val="bottom"/>
            <w:tcBorders>
              <w:right w:val="single" w:sz="8" w:color="CCEEFF"/>
            </w:tcBorders>
            <w:shd w:val="clear" w:color="auto" w:fill="CCEEFF"/>
          </w:tcPr>
          <w:p>
            <w:pPr>
              <w:spacing w:after="0" w:line="223" w:lineRule="exact"/>
              <w:rPr>
                <w:sz w:val="20"/>
                <w:szCs w:val="20"/>
                <w:color w:val="auto"/>
              </w:rPr>
            </w:pPr>
            <w:r>
              <w:rPr>
                <w:rFonts w:ascii="Times New Roman" w:cs="Times New Roman" w:eastAsia="Times New Roman" w:hAnsi="Times New Roman"/>
                <w:sz w:val="20"/>
                <w:szCs w:val="20"/>
                <w:color w:val="auto"/>
              </w:rPr>
              <w:t>EDAP TMS FRANCE</w:t>
            </w:r>
          </w:p>
        </w:tc>
        <w:tc>
          <w:tcPr>
            <w:tcW w:w="920" w:type="dxa"/>
            <w:vAlign w:val="bottom"/>
            <w:shd w:val="clear" w:color="auto" w:fill="CCEEFF"/>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2,000,000</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center"/>
              <w:spacing w:after="0" w:line="223" w:lineRule="exact"/>
              <w:rPr>
                <w:sz w:val="20"/>
                <w:szCs w:val="20"/>
                <w:color w:val="auto"/>
              </w:rPr>
            </w:pPr>
            <w:r>
              <w:rPr>
                <w:rFonts w:ascii="Times New Roman" w:cs="Times New Roman" w:eastAsia="Times New Roman" w:hAnsi="Times New Roman"/>
                <w:sz w:val="20"/>
                <w:szCs w:val="20"/>
                <w:color w:val="auto"/>
              </w:rPr>
              <w:t>August 4, 2026</w:t>
            </w:r>
          </w:p>
        </w:tc>
        <w:tc>
          <w:tcPr>
            <w:tcW w:w="200" w:type="dxa"/>
            <w:vAlign w:val="bottom"/>
            <w:tcBorders>
              <w:right w:val="single" w:sz="8" w:color="CCEEFF"/>
            </w:tcBorders>
            <w:shd w:val="clear" w:color="auto" w:fill="CCEEFF"/>
          </w:tcPr>
          <w:p>
            <w:pPr>
              <w:spacing w:after="0"/>
              <w:rPr>
                <w:sz w:val="19"/>
                <w:szCs w:val="19"/>
                <w:color w:val="auto"/>
              </w:rPr>
            </w:pPr>
          </w:p>
        </w:tc>
        <w:tc>
          <w:tcPr>
            <w:tcW w:w="1540" w:type="dxa"/>
            <w:vAlign w:val="bottom"/>
            <w:tcBorders>
              <w:right w:val="single" w:sz="8" w:color="CCEEFF"/>
            </w:tcBorders>
            <w:gridSpan w:val="2"/>
            <w:shd w:val="clear" w:color="auto" w:fill="CCEEFF"/>
          </w:tcPr>
          <w:p>
            <w:pPr>
              <w:jc w:val="right"/>
              <w:ind w:right="120"/>
              <w:spacing w:after="0" w:line="223" w:lineRule="exact"/>
              <w:rPr>
                <w:sz w:val="20"/>
                <w:szCs w:val="20"/>
                <w:color w:val="auto"/>
              </w:rPr>
            </w:pPr>
            <w:r>
              <w:rPr>
                <w:rFonts w:ascii="Times New Roman" w:cs="Times New Roman" w:eastAsia="Times New Roman" w:hAnsi="Times New Roman"/>
                <w:sz w:val="20"/>
                <w:szCs w:val="20"/>
                <w:color w:val="auto"/>
              </w:rPr>
              <w:t>0.73 %</w:t>
            </w:r>
          </w:p>
        </w:tc>
        <w:tc>
          <w:tcPr>
            <w:tcW w:w="1620" w:type="dxa"/>
            <w:vAlign w:val="bottom"/>
            <w:shd w:val="clear" w:color="auto" w:fill="CCEEFF"/>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shd w:val="clear" w:color="auto" w:fill="CCEEFF"/>
              </w:rPr>
              <w:t>Monthly installment</w:t>
            </w:r>
          </w:p>
        </w:tc>
      </w:tr>
      <w:tr>
        <w:trPr>
          <w:trHeight w:val="20"/>
        </w:trPr>
        <w:tc>
          <w:tcPr>
            <w:tcW w:w="3700" w:type="dxa"/>
            <w:vAlign w:val="bottom"/>
            <w:tcBorders>
              <w:right w:val="single" w:sz="8" w:color="auto"/>
            </w:tcBorders>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r>
    </w:tbl>
    <w:p>
      <w:pPr>
        <w:spacing w:after="0" w:line="211" w:lineRule="exact"/>
        <w:rPr>
          <w:sz w:val="20"/>
          <w:szCs w:val="20"/>
          <w:color w:val="auto"/>
        </w:rPr>
      </w:pPr>
    </w:p>
    <w:p>
      <w:pPr>
        <w:jc w:val="both"/>
        <w:ind w:firstLine="720"/>
        <w:spacing w:after="0" w:line="276" w:lineRule="auto"/>
        <w:rPr>
          <w:sz w:val="20"/>
          <w:szCs w:val="20"/>
          <w:color w:val="auto"/>
        </w:rPr>
      </w:pPr>
      <w:r>
        <w:rPr>
          <w:rFonts w:ascii="Times New Roman" w:cs="Times New Roman" w:eastAsia="Times New Roman" w:hAnsi="Times New Roman"/>
          <w:sz w:val="20"/>
          <w:szCs w:val="20"/>
          <w:color w:val="auto"/>
        </w:rPr>
        <w:t>This loan, denominated in euro, is a COVID-related loan guaranteed by the French government in 2020 with an initial one-year repayment term subsequently extended to six years.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8260" w:type="dxa"/>
            <w:vAlign w:val="bottom"/>
            <w:gridSpan w:val="2"/>
          </w:tcPr>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16-2   Long-term debt maturity:</w:t>
            </w:r>
          </w:p>
        </w:tc>
        <w:tc>
          <w:tcPr>
            <w:tcW w:w="1120" w:type="dxa"/>
            <w:vAlign w:val="bottom"/>
          </w:tcPr>
          <w:p>
            <w:pPr>
              <w:spacing w:after="0"/>
              <w:rPr>
                <w:sz w:val="23"/>
                <w:szCs w:val="23"/>
                <w:color w:val="auto"/>
              </w:rPr>
            </w:pPr>
          </w:p>
        </w:tc>
      </w:tr>
      <w:tr>
        <w:trPr>
          <w:trHeight w:val="430"/>
        </w:trPr>
        <w:tc>
          <w:tcPr>
            <w:tcW w:w="8260" w:type="dxa"/>
            <w:vAlign w:val="bottom"/>
            <w:gridSpan w:val="2"/>
          </w:tcPr>
          <w:p>
            <w:pPr>
              <w:ind w:left="720"/>
              <w:spacing w:after="0"/>
              <w:rPr>
                <w:sz w:val="20"/>
                <w:szCs w:val="20"/>
                <w:color w:val="auto"/>
              </w:rPr>
            </w:pPr>
            <w:r>
              <w:rPr>
                <w:rFonts w:ascii="Times New Roman" w:cs="Times New Roman" w:eastAsia="Times New Roman" w:hAnsi="Times New Roman"/>
                <w:sz w:val="20"/>
                <w:szCs w:val="20"/>
                <w:color w:val="auto"/>
              </w:rPr>
              <w:t>Long-term debt carried at amortized cost at December 31, 2025 matures as follows:</w:t>
            </w:r>
          </w:p>
        </w:tc>
        <w:tc>
          <w:tcPr>
            <w:tcW w:w="1120" w:type="dxa"/>
            <w:vAlign w:val="bottom"/>
          </w:tcPr>
          <w:p>
            <w:pPr>
              <w:spacing w:after="0"/>
              <w:rPr>
                <w:sz w:val="24"/>
                <w:szCs w:val="24"/>
                <w:color w:val="auto"/>
              </w:rPr>
            </w:pPr>
          </w:p>
        </w:tc>
      </w:tr>
      <w:tr>
        <w:trPr>
          <w:trHeight w:val="233"/>
        </w:trPr>
        <w:tc>
          <w:tcPr>
            <w:tcW w:w="8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30"/>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2026</w:t>
            </w:r>
          </w:p>
        </w:tc>
        <w:tc>
          <w:tcPr>
            <w:tcW w:w="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2,120</w:t>
            </w:r>
          </w:p>
        </w:tc>
      </w:tr>
      <w:tr>
        <w:trPr>
          <w:trHeight w:val="230"/>
        </w:trPr>
        <w:tc>
          <w:tcPr>
            <w:tcW w:w="8240" w:type="dxa"/>
            <w:vAlign w:val="bottom"/>
          </w:tcPr>
          <w:p>
            <w:pPr>
              <w:spacing w:after="0"/>
              <w:rPr>
                <w:sz w:val="20"/>
                <w:szCs w:val="20"/>
                <w:color w:val="auto"/>
              </w:rPr>
            </w:pPr>
            <w:r>
              <w:rPr>
                <w:rFonts w:ascii="Times New Roman" w:cs="Times New Roman" w:eastAsia="Times New Roman" w:hAnsi="Times New Roman"/>
                <w:sz w:val="20"/>
                <w:szCs w:val="20"/>
                <w:color w:val="auto"/>
              </w:rPr>
              <w:t>2027</w:t>
            </w:r>
          </w:p>
        </w:tc>
        <w:tc>
          <w:tcPr>
            <w:tcW w:w="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403</w:t>
            </w:r>
          </w:p>
        </w:tc>
      </w:tr>
      <w:tr>
        <w:trPr>
          <w:trHeight w:val="233"/>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2028</w:t>
            </w:r>
          </w:p>
        </w:tc>
        <w:tc>
          <w:tcPr>
            <w:tcW w:w="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443</w:t>
            </w:r>
          </w:p>
        </w:tc>
      </w:tr>
      <w:tr>
        <w:trPr>
          <w:trHeight w:val="230"/>
        </w:trPr>
        <w:tc>
          <w:tcPr>
            <w:tcW w:w="8240" w:type="dxa"/>
            <w:vAlign w:val="bottom"/>
          </w:tcPr>
          <w:p>
            <w:pPr>
              <w:spacing w:after="0"/>
              <w:rPr>
                <w:sz w:val="20"/>
                <w:szCs w:val="20"/>
                <w:color w:val="auto"/>
              </w:rPr>
            </w:pPr>
            <w:r>
              <w:rPr>
                <w:rFonts w:ascii="Times New Roman" w:cs="Times New Roman" w:eastAsia="Times New Roman" w:hAnsi="Times New Roman"/>
                <w:sz w:val="20"/>
                <w:szCs w:val="20"/>
                <w:color w:val="auto"/>
              </w:rPr>
              <w:t>2029</w:t>
            </w:r>
          </w:p>
        </w:tc>
        <w:tc>
          <w:tcPr>
            <w:tcW w:w="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30"/>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2030</w:t>
            </w:r>
          </w:p>
        </w:tc>
        <w:tc>
          <w:tcPr>
            <w:tcW w:w="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15,058</w:t>
            </w:r>
          </w:p>
        </w:tc>
      </w:tr>
      <w:tr>
        <w:trPr>
          <w:trHeight w:val="230"/>
        </w:trPr>
        <w:tc>
          <w:tcPr>
            <w:tcW w:w="82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20"/>
                <w:szCs w:val="20"/>
                <w:color w:val="auto"/>
              </w:rPr>
              <w:t>2031 and thereafter</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31"/>
        </w:trPr>
        <w:tc>
          <w:tcPr>
            <w:tcW w:w="8240" w:type="dxa"/>
            <w:vAlign w:val="bottom"/>
            <w:shd w:val="clear" w:color="auto" w:fill="CCEEFF"/>
          </w:tcPr>
          <w:p>
            <w:pPr>
              <w:spacing w:after="0" w:line="223" w:lineRule="exact"/>
              <w:rPr>
                <w:sz w:val="20"/>
                <w:szCs w:val="20"/>
                <w:color w:val="auto"/>
              </w:rPr>
            </w:pPr>
            <w:r>
              <w:rPr>
                <w:rFonts w:ascii="Times New Roman" w:cs="Times New Roman" w:eastAsia="Times New Roman" w:hAnsi="Times New Roman"/>
                <w:sz w:val="20"/>
                <w:szCs w:val="20"/>
                <w:color w:val="auto"/>
              </w:rPr>
              <w:t>Total</w:t>
            </w:r>
          </w:p>
        </w:tc>
        <w:tc>
          <w:tcPr>
            <w:tcW w:w="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18,023</w:t>
            </w:r>
          </w:p>
        </w:tc>
      </w:tr>
    </w:tbl>
    <w:p>
      <w:pPr>
        <w:spacing w:after="0" w:line="200" w:lineRule="exact"/>
        <w:rPr>
          <w:sz w:val="20"/>
          <w:szCs w:val="20"/>
          <w:color w:val="auto"/>
        </w:rPr>
      </w:pPr>
    </w:p>
    <w:p>
      <w:pPr>
        <w:sectPr>
          <w:pgSz w:w="11900" w:h="16838" w:orient="portrait"/>
          <w:cols w:equalWidth="0" w:num="1">
            <w:col w:w="9380"/>
          </w:cols>
          <w:pgMar w:left="1260" w:top="838" w:right="1266" w:bottom="723" w:gutter="0" w:footer="0" w:header="0"/>
        </w:sect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F-32</w:t>
      </w:r>
    </w:p>
    <w:p>
      <w:pPr>
        <w:sectPr>
          <w:pgSz w:w="11900" w:h="16838" w:orient="portrait"/>
          <w:cols w:equalWidth="0" w:num="1">
            <w:col w:w="9380"/>
          </w:cols>
          <w:pgMar w:left="1260" w:top="838" w:right="1266" w:bottom="723" w:gutter="0" w:footer="0" w:header="0"/>
          <w:type w:val="continuous"/>
        </w:sectPr>
      </w:pPr>
    </w:p>
    <w:bookmarkStart w:id="87" w:name="page88"/>
    <w:bookmarkEnd w:id="87"/>
    <w:p>
      <w:pPr>
        <w:ind w:left="3180"/>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795655</wp:posOffset>
            </wp:positionH>
            <wp:positionV relativeFrom="page">
              <wp:posOffset>292735</wp:posOffset>
            </wp:positionV>
            <wp:extent cx="929005" cy="1149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112">
                      <a:extLst>
                        <a:ext uri="{28A0092B-C50C-407E-A947-70E740481C1C}"/>
                      </a:extLst>
                    </a:blip>
                    <a:srcRect/>
                    <a:stretch>
                      <a:fillRect/>
                    </a:stretch>
                  </pic:blipFill>
                  <pic:spPr bwMode="auto">
                    <a:xfrm>
                      <a:off x="0" y="0"/>
                      <a:ext cx="929005" cy="114935"/>
                    </a:xfrm>
                    <a:prstGeom prst="rect">
                      <a:avLst/>
                    </a:prstGeom>
                    <a:noFill/>
                  </pic:spPr>
                </pic:pic>
              </a:graphicData>
            </a:graphic>
          </wp:anchor>
        </w:drawing>
        <w:t>EDAP TMS S.A. AND SUBSIDIARIES</w:t>
      </w:r>
    </w:p>
    <w:p>
      <w:pPr>
        <w:ind w:left="2760"/>
        <w:spacing w:after="0"/>
        <w:rPr>
          <w:sz w:val="20"/>
          <w:szCs w:val="20"/>
          <w:color w:val="auto"/>
        </w:rPr>
      </w:pPr>
      <w:r>
        <w:rPr>
          <w:rFonts w:ascii="Times New Roman" w:cs="Times New Roman" w:eastAsia="Times New Roman" w:hAnsi="Times New Roman"/>
          <w:sz w:val="20"/>
          <w:szCs w:val="20"/>
          <w:b w:val="1"/>
          <w:bCs w:val="1"/>
          <w:color w:val="auto"/>
        </w:rPr>
        <w:t>CONSOLIDATED FINANCIAL STATEMENTS</w:t>
      </w:r>
    </w:p>
    <w:p>
      <w:pPr>
        <w:ind w:left="1500"/>
        <w:spacing w:after="0"/>
        <w:rPr>
          <w:sz w:val="20"/>
          <w:szCs w:val="20"/>
          <w:color w:val="auto"/>
        </w:rPr>
      </w:pPr>
      <w:r>
        <w:rPr>
          <w:rFonts w:ascii="Times New Roman" w:cs="Times New Roman" w:eastAsia="Times New Roman" w:hAnsi="Times New Roman"/>
          <w:sz w:val="20"/>
          <w:szCs w:val="20"/>
          <w:b w:val="1"/>
          <w:bCs w:val="1"/>
          <w:color w:val="auto"/>
        </w:rPr>
        <w:t>(In thousands of U.S. dollars unless otherwise noted,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60"/>
        <w:spacing w:after="0"/>
        <w:tabs>
          <w:tab w:leader="none" w:pos="960" w:val="left"/>
        </w:tabs>
        <w:rPr>
          <w:sz w:val="20"/>
          <w:szCs w:val="20"/>
          <w:color w:val="auto"/>
        </w:rPr>
      </w:pPr>
      <w:r>
        <w:rPr>
          <w:rFonts w:ascii="Times New Roman" w:cs="Times New Roman" w:eastAsia="Times New Roman" w:hAnsi="Times New Roman"/>
          <w:sz w:val="20"/>
          <w:szCs w:val="20"/>
          <w:b w:val="1"/>
          <w:bCs w:val="1"/>
          <w:i w:val="1"/>
          <w:iCs w:val="1"/>
          <w:color w:val="auto"/>
        </w:rPr>
        <w:t>16-3</w:t>
        <w:tab/>
        <w:t>Debt Covenants:</w:t>
      </w:r>
    </w:p>
    <w:p>
      <w:pPr>
        <w:spacing w:after="0" w:line="198" w:lineRule="exact"/>
        <w:rPr>
          <w:sz w:val="20"/>
          <w:szCs w:val="20"/>
          <w:color w:val="auto"/>
        </w:rPr>
      </w:pPr>
    </w:p>
    <w:p>
      <w:pPr>
        <w:ind w:right="20" w:firstLine="720"/>
        <w:spacing w:after="0" w:line="244" w:lineRule="auto"/>
        <w:rPr>
          <w:sz w:val="20"/>
          <w:szCs w:val="20"/>
          <w:color w:val="auto"/>
        </w:rPr>
      </w:pPr>
      <w:r>
        <w:rPr>
          <w:rFonts w:ascii="Times New Roman" w:cs="Times New Roman" w:eastAsia="Times New Roman" w:hAnsi="Times New Roman"/>
          <w:sz w:val="20"/>
          <w:szCs w:val="20"/>
          <w:color w:val="auto"/>
        </w:rPr>
        <w:t>Pursuant to a Credit Agreement with Banque Palatine (the “Banque Palatine Credit Agreement”), EDAP TMS France, a subsidiary of the Company, is required on December 31 of each year, to comply with a certain equity ratio covenant (the “Equity Ratio Covenant”). A failure to comply with the Equity Ratio Covenant triggers the right for Banque Palatine to demand early repayment of the outstanding amount ($1.3 million as of December 31, 2025), which is set to mature in December 2026 under the Banque Palatine Credit Agreement. Further, a breach of the Equity Ratio Covenant qualifies as an event of default under the EIB Finance Contract and triggers the right for EIB to demand early repayment of outstanding borrowings under the Finance Contract, which amount to €11 million ($12.9 million) as of December 31, 2025. In addition, a prepayment under the Finance Contract triggers an immediate vesting of the Warrants and the ability for EIB to early exercise the put option on all their outstanding warrants.</w:t>
      </w:r>
    </w:p>
    <w:p>
      <w:pPr>
        <w:spacing w:after="0" w:line="192" w:lineRule="exact"/>
        <w:rPr>
          <w:sz w:val="20"/>
          <w:szCs w:val="20"/>
          <w:color w:val="auto"/>
        </w:rPr>
      </w:pPr>
    </w:p>
    <w:p>
      <w:pPr>
        <w:ind w:right="100" w:firstLine="720"/>
        <w:spacing w:after="0"/>
        <w:rPr>
          <w:sz w:val="20"/>
          <w:szCs w:val="20"/>
          <w:color w:val="auto"/>
        </w:rPr>
      </w:pPr>
      <w:r>
        <w:rPr>
          <w:rFonts w:ascii="Times New Roman" w:cs="Times New Roman" w:eastAsia="Times New Roman" w:hAnsi="Times New Roman"/>
          <w:sz w:val="20"/>
          <w:szCs w:val="20"/>
          <w:color w:val="auto"/>
        </w:rPr>
        <w:t>On December 31, 2025, EDAP TMS France did not comply with the Equity Ratio Covenant. On March 6, 2026, the Banque Palatine: (i) waived their right to early repayment under Banque Palatine Credit Agreement and</w:t>
      </w:r>
    </w:p>
    <w:p>
      <w:pPr>
        <w:spacing w:after="0" w:line="1" w:lineRule="exact"/>
        <w:rPr>
          <w:sz w:val="20"/>
          <w:szCs w:val="20"/>
          <w:color w:val="auto"/>
        </w:rPr>
      </w:pPr>
    </w:p>
    <w:p>
      <w:pPr>
        <w:ind w:right="160" w:firstLine="8"/>
        <w:spacing w:after="0" w:line="249" w:lineRule="auto"/>
        <w:tabs>
          <w:tab w:leader="none" w:pos="295"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all Banque Palatine loans, agreed to substitute the existing Equity Ratio Covenant with a clause limiting the Group's debt to €10.5 million (excluding the amounts owed under the Credit Facility with EIB), effective retroactively to December 20, 2025 (the “Banque Palatine Waiver”). The Banque Palatine Waiver did not modify the stated maturity of the Banque Palatine Credit Agreement or other substantive terms. Further, on March 16, 2026, EIB agreed to waive the event of default under the Finance Contract (the “EIB Waiver”).</w:t>
      </w:r>
    </w:p>
    <w:p>
      <w:pPr>
        <w:spacing w:after="0" w:line="187" w:lineRule="exact"/>
        <w:rPr>
          <w:sz w:val="20"/>
          <w:szCs w:val="20"/>
          <w:color w:val="auto"/>
        </w:rPr>
      </w:pPr>
    </w:p>
    <w:p>
      <w:pPr>
        <w:ind w:right="300" w:firstLine="720"/>
        <w:spacing w:after="0" w:line="279" w:lineRule="auto"/>
        <w:rPr>
          <w:sz w:val="20"/>
          <w:szCs w:val="20"/>
          <w:color w:val="auto"/>
        </w:rPr>
      </w:pPr>
      <w:r>
        <w:rPr>
          <w:rFonts w:ascii="Times New Roman" w:cs="Times New Roman" w:eastAsia="Times New Roman" w:hAnsi="Times New Roman"/>
          <w:sz w:val="20"/>
          <w:szCs w:val="20"/>
          <w:color w:val="auto"/>
        </w:rPr>
        <w:t>Based on the EIB Waiver and management’s assessment of expected future compliance, the outstanding EIB indebtedness and warrants continue to be classified as long-term debt at December 31, 2025.</w:t>
      </w:r>
    </w:p>
    <w:p>
      <w:pPr>
        <w:spacing w:after="0" w:line="154" w:lineRule="exact"/>
        <w:rPr>
          <w:sz w:val="20"/>
          <w:szCs w:val="20"/>
          <w:color w:val="auto"/>
        </w:rPr>
      </w:pPr>
    </w:p>
    <w:p>
      <w:pPr>
        <w:ind w:right="180" w:firstLine="720"/>
        <w:spacing w:after="0" w:line="279" w:lineRule="auto"/>
        <w:rPr>
          <w:sz w:val="20"/>
          <w:szCs w:val="20"/>
          <w:color w:val="auto"/>
        </w:rPr>
      </w:pPr>
      <w:r>
        <w:rPr>
          <w:rFonts w:ascii="Times New Roman" w:cs="Times New Roman" w:eastAsia="Times New Roman" w:hAnsi="Times New Roman"/>
          <w:sz w:val="20"/>
          <w:szCs w:val="20"/>
          <w:color w:val="auto"/>
        </w:rPr>
        <w:t>The EIB Waiver also allows the Company to satisfy one of the conditions precedents required to draw the Tranche B borrowings.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20"/>
        <w:spacing w:after="0"/>
        <w:rPr>
          <w:sz w:val="20"/>
          <w:szCs w:val="20"/>
          <w:color w:val="auto"/>
        </w:rPr>
      </w:pPr>
      <w:r>
        <w:rPr>
          <w:sz w:val="1"/>
          <w:szCs w:val="1"/>
          <w:color w:val="auto"/>
        </w:rPr>
        <w:drawing>
          <wp:inline distT="0" distB="0" distL="0" distR="0">
            <wp:extent cx="254635" cy="95885"/>
            <wp:effectExtent l="0" t="0" r="0" b="0"/>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113">
                      <a:extLst>
                        <a:ext uri="{28A0092B-C50C-407E-A947-70E740481C1C}"/>
                      </a:extLst>
                    </a:blip>
                    <a:srcRect/>
                    <a:stretch>
                      <a:fillRect/>
                    </a:stretch>
                  </pic:blipFill>
                  <pic:spPr bwMode="auto">
                    <a:xfrm>
                      <a:off x="0" y="0"/>
                      <a:ext cx="254635" cy="95885"/>
                    </a:xfrm>
                    <a:prstGeom prst="rect">
                      <a:avLst/>
                    </a:prstGeom>
                    <a:noFill/>
                    <a:ln>
                      <a:noFill/>
                    </a:ln>
                  </pic:spPr>
                </pic:pic>
              </a:graphicData>
            </a:graphic>
          </wp:inline>
        </w:drawing>
      </w:r>
      <w:r>
        <w:rPr>
          <w:rFonts w:ascii="Times New Roman" w:cs="Times New Roman" w:eastAsia="Times New Roman" w:hAnsi="Times New Roman"/>
          <w:sz w:val="20"/>
          <w:szCs w:val="20"/>
          <w:b w:val="1"/>
          <w:bCs w:val="1"/>
          <w:color w:val="auto"/>
        </w:rPr>
        <w:t xml:space="preserve"> OTHER LONG-TERM LIABILITIES</w:t>
      </w:r>
    </w:p>
    <w:p>
      <w:pPr>
        <w:spacing w:after="0" w:line="20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Other long-term liabilities consist of the following:</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20" w:type="dxa"/>
            <w:vAlign w:val="bottom"/>
            <w:tcBorders>
              <w:bottom w:val="single" w:sz="8" w:color="auto"/>
            </w:tcBorders>
            <w:gridSpan w:val="4"/>
          </w:tcPr>
          <w:p>
            <w:pPr>
              <w:jc w:val="right"/>
              <w:ind w:right="467"/>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174"/>
        </w:trPr>
        <w:tc>
          <w:tcPr>
            <w:tcW w:w="73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ind w:right="184"/>
              <w:spacing w:after="0" w:line="175" w:lineRule="exact"/>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Borders>
              <w:bottom w:val="single" w:sz="8" w:color="CCEEFF"/>
            </w:tcBorders>
            <w:gridSpan w:val="2"/>
          </w:tcPr>
          <w:p>
            <w:pPr>
              <w:spacing w:after="0"/>
              <w:rPr>
                <w:sz w:val="15"/>
                <w:szCs w:val="15"/>
                <w:color w:val="auto"/>
              </w:rPr>
            </w:pPr>
          </w:p>
        </w:tc>
        <w:tc>
          <w:tcPr>
            <w:tcW w:w="900" w:type="dxa"/>
            <w:vAlign w:val="bottom"/>
            <w:tcBorders>
              <w:bottom w:val="single" w:sz="8" w:color="auto"/>
            </w:tcBorders>
          </w:tcPr>
          <w:p>
            <w:pPr>
              <w:jc w:val="right"/>
              <w:ind w:right="187"/>
              <w:spacing w:after="0" w:line="175" w:lineRule="exact"/>
              <w:rPr>
                <w:sz w:val="20"/>
                <w:szCs w:val="20"/>
                <w:color w:val="auto"/>
              </w:rPr>
            </w:pPr>
            <w:r>
              <w:rPr>
                <w:rFonts w:ascii="Times New Roman" w:cs="Times New Roman" w:eastAsia="Times New Roman" w:hAnsi="Times New Roman"/>
                <w:sz w:val="16"/>
                <w:szCs w:val="16"/>
                <w:b w:val="1"/>
                <w:bCs w:val="1"/>
                <w:color w:val="auto"/>
              </w:rPr>
              <w:t>2024</w:t>
            </w:r>
          </w:p>
        </w:tc>
      </w:tr>
      <w:tr>
        <w:trPr>
          <w:trHeight w:val="220"/>
        </w:trPr>
        <w:tc>
          <w:tcPr>
            <w:tcW w:w="7360" w:type="dxa"/>
            <w:vAlign w:val="bottom"/>
            <w:gridSpan w:val="2"/>
            <w:shd w:val="clear" w:color="auto" w:fill="CCEEFF"/>
          </w:tcPr>
          <w:p>
            <w:pPr>
              <w:spacing w:after="0" w:line="220" w:lineRule="exact"/>
              <w:rPr>
                <w:sz w:val="20"/>
                <w:szCs w:val="20"/>
                <w:color w:val="auto"/>
              </w:rPr>
            </w:pPr>
            <w:r>
              <w:rPr>
                <w:rFonts w:ascii="Times New Roman" w:cs="Times New Roman" w:eastAsia="Times New Roman" w:hAnsi="Times New Roman"/>
                <w:sz w:val="20"/>
                <w:szCs w:val="20"/>
                <w:color w:val="auto"/>
              </w:rPr>
              <w:t>Provision for retirement indemnities (Japan &amp; France), less current portion</w:t>
            </w:r>
          </w:p>
        </w:tc>
        <w:tc>
          <w:tcPr>
            <w:tcW w:w="880" w:type="dxa"/>
            <w:vAlign w:val="bottom"/>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2,105</w:t>
            </w:r>
          </w:p>
        </w:tc>
        <w:tc>
          <w:tcPr>
            <w:tcW w:w="1140" w:type="dxa"/>
            <w:vAlign w:val="bottom"/>
            <w:gridSpan w:val="3"/>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2,263</w:t>
            </w:r>
          </w:p>
        </w:tc>
      </w:tr>
      <w:tr>
        <w:trPr>
          <w:trHeight w:val="230"/>
        </w:trPr>
        <w:tc>
          <w:tcPr>
            <w:tcW w:w="73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Provision for employee termination indemnities (Korea) less current portion</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215</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175</w:t>
            </w:r>
          </w:p>
        </w:tc>
      </w:tr>
      <w:tr>
        <w:trPr>
          <w:trHeight w:val="233"/>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Provision for Asset Retirement Obligation (Japan) less current portion</w:t>
            </w:r>
          </w:p>
        </w:tc>
        <w:tc>
          <w:tcPr>
            <w:tcW w:w="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166</w:t>
            </w: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32</w:t>
            </w:r>
          </w:p>
        </w:tc>
      </w:tr>
      <w:tr>
        <w:trPr>
          <w:trHeight w:val="230"/>
        </w:trPr>
        <w:tc>
          <w:tcPr>
            <w:tcW w:w="7340" w:type="dxa"/>
            <w:vAlign w:val="bottom"/>
          </w:tcPr>
          <w:p>
            <w:pPr>
              <w:spacing w:after="0"/>
              <w:rPr>
                <w:sz w:val="20"/>
                <w:szCs w:val="20"/>
                <w:color w:val="auto"/>
              </w:rPr>
            </w:pPr>
            <w:r>
              <w:rPr>
                <w:rFonts w:ascii="Times New Roman" w:cs="Times New Roman" w:eastAsia="Times New Roman" w:hAnsi="Times New Roman"/>
                <w:sz w:val="20"/>
                <w:szCs w:val="20"/>
                <w:color w:val="auto"/>
              </w:rPr>
              <w:t>Provision for warranty costs, less current portion</w:t>
            </w:r>
          </w:p>
        </w:tc>
        <w:tc>
          <w:tcPr>
            <w:tcW w:w="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136</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19</w:t>
            </w:r>
          </w:p>
        </w:tc>
      </w:tr>
      <w:tr>
        <w:trPr>
          <w:trHeight w:val="230"/>
        </w:trPr>
        <w:tc>
          <w:tcPr>
            <w:tcW w:w="7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Provision for guarantee given to customer, less current portion</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78</w:t>
            </w: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69</w:t>
            </w:r>
          </w:p>
        </w:tc>
      </w:tr>
      <w:tr>
        <w:trPr>
          <w:trHeight w:val="230"/>
        </w:trPr>
        <w:tc>
          <w:tcPr>
            <w:tcW w:w="73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Conditional government advances, less current portion</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446</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453</w:t>
            </w:r>
          </w:p>
        </w:tc>
      </w:tr>
      <w:tr>
        <w:trPr>
          <w:trHeight w:val="233"/>
        </w:trPr>
        <w:tc>
          <w:tcPr>
            <w:tcW w:w="7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Accrued interest less current portion</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31"/>
        </w:trPr>
        <w:tc>
          <w:tcPr>
            <w:tcW w:w="734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Total</w:t>
            </w:r>
          </w:p>
        </w:tc>
        <w:tc>
          <w:tcPr>
            <w:tcW w:w="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3,145</w:t>
            </w:r>
          </w:p>
        </w:tc>
        <w:tc>
          <w:tcPr>
            <w:tcW w:w="2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3,010</w:t>
            </w:r>
          </w:p>
        </w:tc>
      </w:tr>
    </w:tbl>
    <w:p>
      <w:pPr>
        <w:spacing w:after="0" w:line="20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Provision for asset retirement obligation in Japan is related to subsidiary’s offices and warehouses.</w:t>
      </w:r>
    </w:p>
    <w:p>
      <w:pPr>
        <w:spacing w:after="0" w:line="200" w:lineRule="exact"/>
        <w:rPr>
          <w:sz w:val="20"/>
          <w:szCs w:val="20"/>
          <w:color w:val="auto"/>
        </w:rPr>
      </w:pPr>
    </w:p>
    <w:p>
      <w:pPr>
        <w:jc w:val="both"/>
        <w:ind w:firstLine="720"/>
        <w:spacing w:after="0" w:line="279" w:lineRule="auto"/>
        <w:rPr>
          <w:sz w:val="20"/>
          <w:szCs w:val="20"/>
          <w:color w:val="auto"/>
        </w:rPr>
      </w:pPr>
      <w:r>
        <w:rPr>
          <w:rFonts w:ascii="Times New Roman" w:cs="Times New Roman" w:eastAsia="Times New Roman" w:hAnsi="Times New Roman"/>
          <w:sz w:val="19"/>
          <w:szCs w:val="19"/>
          <w:color w:val="auto"/>
        </w:rPr>
        <w:t>Pension, post-retirement and post-employment benefits for most of the Company’s employees are sponsored by European governments. In addition to government-sponsored plans, subsidiaries in Japan and France have defined benefit retirement plans in place. The provision for retirement indemnities at December 31, 2025 represents an accrual</w:t>
      </w:r>
    </w:p>
    <w:p>
      <w:pPr>
        <w:sectPr>
          <w:pgSz w:w="11900" w:h="16838" w:orient="portrait"/>
          <w:cols w:equalWidth="0" w:num="1">
            <w:col w:w="9380"/>
          </w:cols>
          <w:pgMar w:left="1260" w:top="838" w:right="1266" w:bottom="723" w:gutter="0" w:footer="0" w:header="0"/>
        </w:sect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F-33</w:t>
      </w:r>
    </w:p>
    <w:p>
      <w:pPr>
        <w:sectPr>
          <w:pgSz w:w="11900" w:h="16838" w:orient="portrait"/>
          <w:cols w:equalWidth="0" w:num="1">
            <w:col w:w="9380"/>
          </w:cols>
          <w:pgMar w:left="1260" w:top="838" w:right="1266" w:bottom="723" w:gutter="0" w:footer="0" w:header="0"/>
          <w:type w:val="continuous"/>
        </w:sectPr>
      </w:pPr>
    </w:p>
    <w:bookmarkStart w:id="88" w:name="page89"/>
    <w:bookmarkEnd w:id="88"/>
    <w:p>
      <w:pPr>
        <w:ind w:left="3180"/>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795655</wp:posOffset>
            </wp:positionH>
            <wp:positionV relativeFrom="page">
              <wp:posOffset>292735</wp:posOffset>
            </wp:positionV>
            <wp:extent cx="929005" cy="1149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114">
                      <a:extLst>
                        <a:ext uri="{28A0092B-C50C-407E-A947-70E740481C1C}"/>
                      </a:extLst>
                    </a:blip>
                    <a:srcRect/>
                    <a:stretch>
                      <a:fillRect/>
                    </a:stretch>
                  </pic:blipFill>
                  <pic:spPr bwMode="auto">
                    <a:xfrm>
                      <a:off x="0" y="0"/>
                      <a:ext cx="929005" cy="114935"/>
                    </a:xfrm>
                    <a:prstGeom prst="rect">
                      <a:avLst/>
                    </a:prstGeom>
                    <a:noFill/>
                  </pic:spPr>
                </pic:pic>
              </a:graphicData>
            </a:graphic>
          </wp:anchor>
        </w:drawing>
        <w:t>EDAP TMS S.A. AND SUBSIDIARIES</w:t>
      </w:r>
    </w:p>
    <w:p>
      <w:pPr>
        <w:ind w:left="2760"/>
        <w:spacing w:after="0"/>
        <w:rPr>
          <w:sz w:val="20"/>
          <w:szCs w:val="20"/>
          <w:color w:val="auto"/>
        </w:rPr>
      </w:pPr>
      <w:r>
        <w:rPr>
          <w:rFonts w:ascii="Times New Roman" w:cs="Times New Roman" w:eastAsia="Times New Roman" w:hAnsi="Times New Roman"/>
          <w:sz w:val="20"/>
          <w:szCs w:val="20"/>
          <w:b w:val="1"/>
          <w:bCs w:val="1"/>
          <w:color w:val="auto"/>
        </w:rPr>
        <w:t>CONSOLIDATED FINANCIAL STATEMENTS</w:t>
      </w:r>
    </w:p>
    <w:p>
      <w:pPr>
        <w:ind w:left="1500"/>
        <w:spacing w:after="0"/>
        <w:rPr>
          <w:sz w:val="20"/>
          <w:szCs w:val="20"/>
          <w:color w:val="auto"/>
        </w:rPr>
      </w:pPr>
      <w:r>
        <w:rPr>
          <w:rFonts w:ascii="Times New Roman" w:cs="Times New Roman" w:eastAsia="Times New Roman" w:hAnsi="Times New Roman"/>
          <w:sz w:val="20"/>
          <w:szCs w:val="20"/>
          <w:b w:val="1"/>
          <w:bCs w:val="1"/>
          <w:color w:val="auto"/>
        </w:rPr>
        <w:t>(In thousands of U.S. dollars unless otherwise noted, except per share data)</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for lump-sum retirement benefit payments to be paid at the time an employee retires if he or she is still present at the Company at the date of retirement. This provision has been calculated taking into account the estimated payment at retirement (discounted to the current date), turnover and salary increases.</w:t>
      </w:r>
    </w:p>
    <w:p>
      <w:pPr>
        <w:spacing w:after="0" w:line="14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provision is management’s best estimate based on the following assumptions as of year-end: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060" w:type="dxa"/>
            <w:vAlign w:val="bottom"/>
          </w:tcPr>
          <w:p>
            <w:pPr>
              <w:spacing w:after="0"/>
              <w:rPr>
                <w:sz w:val="17"/>
                <w:szCs w:val="17"/>
                <w:color w:val="auto"/>
              </w:rPr>
            </w:pPr>
          </w:p>
        </w:tc>
        <w:tc>
          <w:tcPr>
            <w:tcW w:w="2320" w:type="dxa"/>
            <w:vAlign w:val="bottom"/>
            <w:gridSpan w:val="8"/>
          </w:tcPr>
          <w:p>
            <w:pPr>
              <w:spacing w:after="0"/>
              <w:rPr>
                <w:sz w:val="20"/>
                <w:szCs w:val="20"/>
                <w:color w:val="auto"/>
              </w:rPr>
            </w:pPr>
            <w:r>
              <w:rPr>
                <w:rFonts w:ascii="Times New Roman" w:cs="Times New Roman" w:eastAsia="Times New Roman" w:hAnsi="Times New Roman"/>
                <w:sz w:val="16"/>
                <w:szCs w:val="16"/>
                <w:b w:val="1"/>
                <w:bCs w:val="1"/>
                <w:color w:val="auto"/>
              </w:rPr>
              <w:t>Retirement indemnities France</w:t>
            </w:r>
          </w:p>
        </w:tc>
      </w:tr>
      <w:tr>
        <w:trPr>
          <w:trHeight w:val="174"/>
        </w:trPr>
        <w:tc>
          <w:tcPr>
            <w:tcW w:w="7060" w:type="dxa"/>
            <w:vAlign w:val="bottom"/>
            <w:tcBorders>
              <w:bottom w:val="single" w:sz="8" w:color="CCEEFF"/>
            </w:tcBorders>
          </w:tcPr>
          <w:p>
            <w:pPr>
              <w:spacing w:after="0"/>
              <w:rPr>
                <w:sz w:val="15"/>
                <w:szCs w:val="15"/>
                <w:color w:val="auto"/>
              </w:rPr>
            </w:pPr>
          </w:p>
        </w:tc>
        <w:tc>
          <w:tcPr>
            <w:tcW w:w="940" w:type="dxa"/>
            <w:vAlign w:val="bottom"/>
            <w:tcBorders>
              <w:top w:val="single" w:sz="8" w:color="auto"/>
              <w:bottom w:val="single" w:sz="8" w:color="auto"/>
            </w:tcBorders>
            <w:gridSpan w:val="2"/>
          </w:tcPr>
          <w:p>
            <w:pPr>
              <w:jc w:val="right"/>
              <w:ind w:right="220"/>
              <w:spacing w:after="0" w:line="175" w:lineRule="exact"/>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CCEEFF"/>
            </w:tcBorders>
          </w:tcPr>
          <w:p>
            <w:pPr>
              <w:spacing w:after="0"/>
              <w:rPr>
                <w:sz w:val="15"/>
                <w:szCs w:val="15"/>
                <w:color w:val="auto"/>
              </w:rPr>
            </w:pPr>
          </w:p>
        </w:tc>
        <w:tc>
          <w:tcPr>
            <w:tcW w:w="140" w:type="dxa"/>
            <w:vAlign w:val="bottom"/>
            <w:tcBorders>
              <w:top w:val="single" w:sz="8" w:color="auto"/>
              <w:bottom w:val="single" w:sz="8" w:color="CCEEFF"/>
            </w:tcBorders>
          </w:tcPr>
          <w:p>
            <w:pPr>
              <w:spacing w:after="0"/>
              <w:rPr>
                <w:sz w:val="15"/>
                <w:szCs w:val="15"/>
                <w:color w:val="auto"/>
              </w:rPr>
            </w:pPr>
          </w:p>
        </w:tc>
        <w:tc>
          <w:tcPr>
            <w:tcW w:w="940" w:type="dxa"/>
            <w:vAlign w:val="bottom"/>
            <w:tcBorders>
              <w:top w:val="single" w:sz="8" w:color="auto"/>
              <w:bottom w:val="single" w:sz="8" w:color="auto"/>
            </w:tcBorders>
            <w:gridSpan w:val="2"/>
          </w:tcPr>
          <w:p>
            <w:pPr>
              <w:jc w:val="right"/>
              <w:ind w:right="204"/>
              <w:spacing w:after="0" w:line="175" w:lineRule="exact"/>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r>
      <w:tr>
        <w:trPr>
          <w:trHeight w:val="220"/>
        </w:trPr>
        <w:tc>
          <w:tcPr>
            <w:tcW w:w="7060" w:type="dxa"/>
            <w:vAlign w:val="bottom"/>
            <w:shd w:val="clear" w:color="auto" w:fill="CCEEFF"/>
          </w:tcPr>
          <w:p>
            <w:pPr>
              <w:spacing w:after="0" w:line="220" w:lineRule="exact"/>
              <w:rPr>
                <w:sz w:val="20"/>
                <w:szCs w:val="20"/>
                <w:color w:val="auto"/>
              </w:rPr>
            </w:pPr>
            <w:r>
              <w:rPr>
                <w:rFonts w:ascii="Times New Roman" w:cs="Times New Roman" w:eastAsia="Times New Roman" w:hAnsi="Times New Roman"/>
                <w:sz w:val="20"/>
                <w:szCs w:val="20"/>
                <w:color w:val="auto"/>
              </w:rPr>
              <w:t>Discount rate</w:t>
            </w:r>
          </w:p>
        </w:tc>
        <w:tc>
          <w:tcPr>
            <w:tcW w:w="940" w:type="dxa"/>
            <w:vAlign w:val="bottom"/>
            <w:gridSpan w:val="2"/>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4.00%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3.35%</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r>
      <w:tr>
        <w:trPr>
          <w:trHeight w:val="230"/>
        </w:trPr>
        <w:tc>
          <w:tcPr>
            <w:tcW w:w="7060" w:type="dxa"/>
            <w:vAlign w:val="bottom"/>
          </w:tcPr>
          <w:p>
            <w:pPr>
              <w:spacing w:after="0"/>
              <w:rPr>
                <w:sz w:val="20"/>
                <w:szCs w:val="20"/>
                <w:color w:val="auto"/>
              </w:rPr>
            </w:pPr>
            <w:r>
              <w:rPr>
                <w:rFonts w:ascii="Times New Roman" w:cs="Times New Roman" w:eastAsia="Times New Roman" w:hAnsi="Times New Roman"/>
                <w:sz w:val="20"/>
                <w:szCs w:val="20"/>
                <w:color w:val="auto"/>
              </w:rPr>
              <w:t>Salary increase</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2.50%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3.00%</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30"/>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Retirement age</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65</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r>
      <w:tr>
        <w:trPr>
          <w:trHeight w:val="267"/>
        </w:trPr>
        <w:tc>
          <w:tcPr>
            <w:tcW w:w="7060" w:type="dxa"/>
            <w:vAlign w:val="bottom"/>
          </w:tcPr>
          <w:p>
            <w:pPr>
              <w:spacing w:after="0"/>
              <w:rPr>
                <w:sz w:val="20"/>
                <w:szCs w:val="20"/>
                <w:color w:val="auto"/>
              </w:rPr>
            </w:pPr>
            <w:r>
              <w:rPr>
                <w:rFonts w:ascii="Times New Roman" w:cs="Times New Roman" w:eastAsia="Times New Roman" w:hAnsi="Times New Roman"/>
                <w:sz w:val="20"/>
                <w:szCs w:val="20"/>
                <w:color w:val="auto"/>
              </w:rPr>
              <w:t>Average retirement remaining service period</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23</w:t>
            </w: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r>
      <w:tr>
        <w:trPr>
          <w:trHeight w:val="398"/>
        </w:trPr>
        <w:tc>
          <w:tcPr>
            <w:tcW w:w="7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0" w:type="dxa"/>
            <w:vAlign w:val="bottom"/>
            <w:gridSpan w:val="7"/>
          </w:tcPr>
          <w:p>
            <w:pPr>
              <w:spacing w:after="0"/>
              <w:rPr>
                <w:sz w:val="20"/>
                <w:szCs w:val="20"/>
                <w:color w:val="auto"/>
              </w:rPr>
            </w:pPr>
            <w:r>
              <w:rPr>
                <w:rFonts w:ascii="Times New Roman" w:cs="Times New Roman" w:eastAsia="Times New Roman" w:hAnsi="Times New Roman"/>
                <w:sz w:val="16"/>
                <w:szCs w:val="16"/>
                <w:b w:val="1"/>
                <w:bCs w:val="1"/>
                <w:color w:val="auto"/>
              </w:rPr>
              <w:t>Retirement indemnities Japan</w:t>
            </w:r>
          </w:p>
        </w:tc>
      </w:tr>
      <w:tr>
        <w:trPr>
          <w:trHeight w:val="174"/>
        </w:trPr>
        <w:tc>
          <w:tcPr>
            <w:tcW w:w="70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20" w:type="dxa"/>
            <w:vAlign w:val="bottom"/>
            <w:tcBorders>
              <w:top w:val="single" w:sz="8" w:color="auto"/>
              <w:bottom w:val="single" w:sz="8" w:color="auto"/>
            </w:tcBorders>
          </w:tcPr>
          <w:p>
            <w:pPr>
              <w:jc w:val="right"/>
              <w:ind w:right="120"/>
              <w:spacing w:after="0" w:line="175" w:lineRule="exact"/>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auto"/>
            </w:tcBorders>
          </w:tcPr>
          <w:p>
            <w:pPr>
              <w:spacing w:after="0"/>
              <w:rPr>
                <w:sz w:val="15"/>
                <w:szCs w:val="15"/>
                <w:color w:val="auto"/>
              </w:rPr>
            </w:pPr>
          </w:p>
        </w:tc>
        <w:tc>
          <w:tcPr>
            <w:tcW w:w="140" w:type="dxa"/>
            <w:vAlign w:val="bottom"/>
            <w:tcBorders>
              <w:top w:val="single" w:sz="8" w:color="auto"/>
              <w:bottom w:val="single" w:sz="8" w:color="CCEEFF"/>
            </w:tcBorders>
          </w:tcPr>
          <w:p>
            <w:pPr>
              <w:spacing w:after="0"/>
              <w:rPr>
                <w:sz w:val="15"/>
                <w:szCs w:val="15"/>
                <w:color w:val="auto"/>
              </w:rPr>
            </w:pPr>
          </w:p>
        </w:tc>
        <w:tc>
          <w:tcPr>
            <w:tcW w:w="100" w:type="dxa"/>
            <w:vAlign w:val="bottom"/>
            <w:tcBorders>
              <w:top w:val="single" w:sz="8" w:color="auto"/>
              <w:bottom w:val="single" w:sz="8" w:color="CCEEFF"/>
            </w:tcBorders>
          </w:tcPr>
          <w:p>
            <w:pPr>
              <w:spacing w:after="0"/>
              <w:rPr>
                <w:sz w:val="15"/>
                <w:szCs w:val="15"/>
                <w:color w:val="auto"/>
              </w:rPr>
            </w:pPr>
          </w:p>
        </w:tc>
        <w:tc>
          <w:tcPr>
            <w:tcW w:w="840" w:type="dxa"/>
            <w:vAlign w:val="bottom"/>
            <w:tcBorders>
              <w:top w:val="single" w:sz="8" w:color="auto"/>
              <w:bottom w:val="single" w:sz="8" w:color="auto"/>
            </w:tcBorders>
          </w:tcPr>
          <w:p>
            <w:pPr>
              <w:jc w:val="right"/>
              <w:ind w:right="124"/>
              <w:spacing w:after="0" w:line="175" w:lineRule="exact"/>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Borders>
              <w:top w:val="single" w:sz="8" w:color="auto"/>
              <w:bottom w:val="single" w:sz="8" w:color="auto"/>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r>
      <w:tr>
        <w:trPr>
          <w:trHeight w:val="220"/>
        </w:trPr>
        <w:tc>
          <w:tcPr>
            <w:tcW w:w="7060" w:type="dxa"/>
            <w:vAlign w:val="bottom"/>
            <w:shd w:val="clear" w:color="auto" w:fill="CCEEFF"/>
          </w:tcPr>
          <w:p>
            <w:pPr>
              <w:spacing w:after="0" w:line="220" w:lineRule="exact"/>
              <w:rPr>
                <w:sz w:val="20"/>
                <w:szCs w:val="20"/>
                <w:color w:val="auto"/>
              </w:rPr>
            </w:pPr>
            <w:r>
              <w:rPr>
                <w:rFonts w:ascii="Times New Roman" w:cs="Times New Roman" w:eastAsia="Times New Roman" w:hAnsi="Times New Roman"/>
                <w:sz w:val="20"/>
                <w:szCs w:val="20"/>
                <w:color w:val="auto"/>
              </w:rPr>
              <w:t>Discount rate</w:t>
            </w:r>
          </w:p>
        </w:tc>
        <w:tc>
          <w:tcPr>
            <w:tcW w:w="1040" w:type="dxa"/>
            <w:vAlign w:val="bottom"/>
            <w:gridSpan w:val="3"/>
            <w:shd w:val="clear" w:color="auto" w:fill="CCEEFF"/>
          </w:tcPr>
          <w:p>
            <w:pPr>
              <w:jc w:val="right"/>
              <w:ind w:right="60"/>
              <w:spacing w:after="0" w:line="220" w:lineRule="exact"/>
              <w:rPr>
                <w:sz w:val="20"/>
                <w:szCs w:val="20"/>
                <w:color w:val="auto"/>
              </w:rPr>
            </w:pPr>
            <w:r>
              <w:rPr>
                <w:rFonts w:ascii="Times New Roman" w:cs="Times New Roman" w:eastAsia="Times New Roman" w:hAnsi="Times New Roman"/>
                <w:sz w:val="20"/>
                <w:szCs w:val="20"/>
                <w:color w:val="auto"/>
              </w:rPr>
              <w:t>2.80%</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40"/>
              <w:spacing w:after="0" w:line="220" w:lineRule="exact"/>
              <w:rPr>
                <w:sz w:val="20"/>
                <w:szCs w:val="20"/>
                <w:color w:val="auto"/>
              </w:rPr>
            </w:pPr>
            <w:r>
              <w:rPr>
                <w:rFonts w:ascii="Times New Roman" w:cs="Times New Roman" w:eastAsia="Times New Roman" w:hAnsi="Times New Roman"/>
                <w:sz w:val="20"/>
                <w:szCs w:val="20"/>
                <w:color w:val="auto"/>
              </w:rPr>
              <w:t>1.70%</w:t>
            </w:r>
          </w:p>
        </w:tc>
        <w:tc>
          <w:tcPr>
            <w:tcW w:w="140" w:type="dxa"/>
            <w:vAlign w:val="bottom"/>
            <w:shd w:val="clear" w:color="auto" w:fill="CCEEFF"/>
          </w:tcPr>
          <w:p>
            <w:pPr>
              <w:spacing w:after="0"/>
              <w:rPr>
                <w:sz w:val="19"/>
                <w:szCs w:val="19"/>
                <w:color w:val="auto"/>
              </w:rPr>
            </w:pPr>
          </w:p>
        </w:tc>
      </w:tr>
      <w:tr>
        <w:trPr>
          <w:trHeight w:val="233"/>
        </w:trPr>
        <w:tc>
          <w:tcPr>
            <w:tcW w:w="7060" w:type="dxa"/>
            <w:vAlign w:val="bottom"/>
          </w:tcPr>
          <w:p>
            <w:pPr>
              <w:spacing w:after="0"/>
              <w:rPr>
                <w:sz w:val="20"/>
                <w:szCs w:val="20"/>
                <w:color w:val="auto"/>
              </w:rPr>
            </w:pPr>
            <w:r>
              <w:rPr>
                <w:rFonts w:ascii="Times New Roman" w:cs="Times New Roman" w:eastAsia="Times New Roman" w:hAnsi="Times New Roman"/>
                <w:sz w:val="20"/>
                <w:szCs w:val="20"/>
                <w:color w:val="auto"/>
              </w:rPr>
              <w:t>Salary increase</w:t>
            </w:r>
          </w:p>
        </w:tc>
        <w:tc>
          <w:tcPr>
            <w:tcW w:w="104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2.50%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2.50%</w:t>
            </w:r>
          </w:p>
        </w:tc>
        <w:tc>
          <w:tcPr>
            <w:tcW w:w="140" w:type="dxa"/>
            <w:vAlign w:val="bottom"/>
          </w:tcPr>
          <w:p>
            <w:pPr>
              <w:spacing w:after="0"/>
              <w:rPr>
                <w:sz w:val="20"/>
                <w:szCs w:val="20"/>
                <w:color w:val="auto"/>
              </w:rPr>
            </w:pPr>
          </w:p>
        </w:tc>
      </w:tr>
      <w:tr>
        <w:trPr>
          <w:trHeight w:val="230"/>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Retirement age</w:t>
            </w:r>
          </w:p>
        </w:tc>
        <w:tc>
          <w:tcPr>
            <w:tcW w:w="10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20"/>
                <w:szCs w:val="20"/>
                <w:color w:val="auto"/>
              </w:rPr>
              <w:t>60</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20"/>
                <w:szCs w:val="20"/>
                <w:color w:val="auto"/>
              </w:rPr>
              <w:t>60</w:t>
            </w:r>
          </w:p>
        </w:tc>
        <w:tc>
          <w:tcPr>
            <w:tcW w:w="140" w:type="dxa"/>
            <w:vAlign w:val="bottom"/>
            <w:shd w:val="clear" w:color="auto" w:fill="CCEEFF"/>
          </w:tcPr>
          <w:p>
            <w:pPr>
              <w:spacing w:after="0"/>
              <w:rPr>
                <w:sz w:val="20"/>
                <w:szCs w:val="20"/>
                <w:color w:val="auto"/>
              </w:rPr>
            </w:pPr>
          </w:p>
        </w:tc>
      </w:tr>
      <w:tr>
        <w:trPr>
          <w:trHeight w:val="265"/>
        </w:trPr>
        <w:tc>
          <w:tcPr>
            <w:tcW w:w="7060" w:type="dxa"/>
            <w:vAlign w:val="bottom"/>
          </w:tcPr>
          <w:p>
            <w:pPr>
              <w:spacing w:after="0"/>
              <w:rPr>
                <w:sz w:val="20"/>
                <w:szCs w:val="20"/>
                <w:color w:val="auto"/>
              </w:rPr>
            </w:pPr>
            <w:r>
              <w:rPr>
                <w:rFonts w:ascii="Times New Roman" w:cs="Times New Roman" w:eastAsia="Times New Roman" w:hAnsi="Times New Roman"/>
                <w:sz w:val="20"/>
                <w:szCs w:val="20"/>
                <w:color w:val="auto"/>
              </w:rPr>
              <w:t>Average retirement remaining service period</w:t>
            </w:r>
          </w:p>
        </w:tc>
        <w:tc>
          <w:tcPr>
            <w:tcW w:w="104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14</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14</w:t>
            </w:r>
          </w:p>
        </w:tc>
        <w:tc>
          <w:tcPr>
            <w:tcW w:w="140" w:type="dxa"/>
            <w:vAlign w:val="bottom"/>
          </w:tcPr>
          <w:p>
            <w:pPr>
              <w:spacing w:after="0"/>
              <w:rPr>
                <w:sz w:val="23"/>
                <w:szCs w:val="23"/>
                <w:color w:val="auto"/>
              </w:rPr>
            </w:pPr>
          </w:p>
        </w:tc>
      </w:tr>
    </w:tbl>
    <w:p>
      <w:pPr>
        <w:spacing w:after="0" w:line="176" w:lineRule="exact"/>
        <w:rPr>
          <w:sz w:val="20"/>
          <w:szCs w:val="20"/>
          <w:color w:val="auto"/>
        </w:rPr>
      </w:pPr>
    </w:p>
    <w:p>
      <w:pPr>
        <w:jc w:val="both"/>
        <w:ind w:firstLine="720"/>
        <w:spacing w:after="0" w:line="279" w:lineRule="auto"/>
        <w:rPr>
          <w:sz w:val="20"/>
          <w:szCs w:val="20"/>
          <w:color w:val="auto"/>
        </w:rPr>
      </w:pPr>
      <w:r>
        <w:rPr>
          <w:rFonts w:ascii="Times New Roman" w:cs="Times New Roman" w:eastAsia="Times New Roman" w:hAnsi="Times New Roman"/>
          <w:sz w:val="20"/>
          <w:szCs w:val="20"/>
          <w:color w:val="auto"/>
        </w:rPr>
        <w:t>The discount rate retained is determined by reference to the high quality rates for AA- rated corporate bonds for a duration equivalent to that of the obligations.</w:t>
      </w:r>
    </w:p>
    <w:p>
      <w:pPr>
        <w:spacing w:after="0" w:line="12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At December 31, 2025, the provision which represents the projected benefit obligation in accordance with</w:t>
      </w:r>
    </w:p>
    <w:p>
      <w:pPr>
        <w:spacing w:after="0"/>
        <w:rPr>
          <w:sz w:val="20"/>
          <w:szCs w:val="20"/>
          <w:color w:val="auto"/>
        </w:rPr>
      </w:pPr>
      <w:r>
        <w:rPr>
          <w:rFonts w:ascii="Times New Roman" w:cs="Times New Roman" w:eastAsia="Times New Roman" w:hAnsi="Times New Roman"/>
          <w:sz w:val="20"/>
          <w:szCs w:val="20"/>
          <w:color w:val="auto"/>
        </w:rPr>
        <w:t>ASC 718 consists of:</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34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ind w:right="105"/>
              <w:spacing w:after="0"/>
              <w:rPr>
                <w:sz w:val="20"/>
                <w:szCs w:val="20"/>
                <w:color w:val="auto"/>
              </w:rPr>
            </w:pPr>
            <w:r>
              <w:rPr>
                <w:rFonts w:ascii="Times New Roman" w:cs="Times New Roman" w:eastAsia="Times New Roman" w:hAnsi="Times New Roman"/>
                <w:sz w:val="16"/>
                <w:szCs w:val="16"/>
                <w:b w:val="1"/>
                <w:bCs w:val="1"/>
                <w:color w:val="auto"/>
              </w:rPr>
              <w:t>France</w:t>
            </w:r>
          </w:p>
        </w:tc>
        <w:tc>
          <w:tcPr>
            <w:tcW w:w="2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6"/>
                <w:szCs w:val="16"/>
                <w:b w:val="1"/>
                <w:bCs w:val="1"/>
                <w:color w:val="auto"/>
              </w:rPr>
              <w:t>Japan</w:t>
            </w:r>
          </w:p>
        </w:tc>
      </w:tr>
      <w:tr>
        <w:trPr>
          <w:trHeight w:val="220"/>
        </w:trPr>
        <w:tc>
          <w:tcPr>
            <w:tcW w:w="7340" w:type="dxa"/>
            <w:vAlign w:val="bottom"/>
            <w:shd w:val="clear" w:color="auto" w:fill="CCEEFF"/>
          </w:tcPr>
          <w:p>
            <w:pPr>
              <w:spacing w:after="0" w:line="220" w:lineRule="exact"/>
              <w:rPr>
                <w:sz w:val="20"/>
                <w:szCs w:val="20"/>
                <w:color w:val="auto"/>
              </w:rPr>
            </w:pPr>
            <w:r>
              <w:rPr>
                <w:rFonts w:ascii="Times New Roman" w:cs="Times New Roman" w:eastAsia="Times New Roman" w:hAnsi="Times New Roman"/>
                <w:sz w:val="20"/>
                <w:szCs w:val="20"/>
                <w:color w:val="auto"/>
              </w:rPr>
              <w:t>Non-current liabilities</w:t>
            </w:r>
          </w:p>
        </w:tc>
        <w:tc>
          <w:tcPr>
            <w:tcW w:w="900" w:type="dxa"/>
            <w:vAlign w:val="bottom"/>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1,057</w:t>
            </w:r>
          </w:p>
        </w:tc>
        <w:tc>
          <w:tcPr>
            <w:tcW w:w="1140" w:type="dxa"/>
            <w:vAlign w:val="bottom"/>
            <w:gridSpan w:val="3"/>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1,048</w:t>
            </w:r>
          </w:p>
        </w:tc>
      </w:tr>
      <w:tr>
        <w:trPr>
          <w:trHeight w:val="233"/>
        </w:trPr>
        <w:tc>
          <w:tcPr>
            <w:tcW w:w="7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20"/>
                <w:szCs w:val="20"/>
                <w:color w:val="auto"/>
              </w:rPr>
              <w:t>Current liabilities</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138</w:t>
            </w:r>
          </w:p>
        </w:tc>
        <w:tc>
          <w:tcPr>
            <w:tcW w:w="240" w:type="dxa"/>
            <w:vAlign w:val="bottom"/>
            <w:tcBorders>
              <w:bottom w:val="single" w:sz="8" w:color="CCEEFF"/>
            </w:tcBorders>
            <w:gridSpan w:val="2"/>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145</w:t>
            </w:r>
          </w:p>
        </w:tc>
      </w:tr>
      <w:tr>
        <w:trPr>
          <w:trHeight w:val="229"/>
        </w:trPr>
        <w:tc>
          <w:tcPr>
            <w:tcW w:w="7340" w:type="dxa"/>
            <w:vAlign w:val="bottom"/>
            <w:tcBorders>
              <w:bottom w:val="single" w:sz="8" w:color="CCEEFF"/>
            </w:tcBorders>
            <w:shd w:val="clear" w:color="auto" w:fill="CCEEFF"/>
          </w:tcPr>
          <w:p>
            <w:pPr>
              <w:spacing w:after="0" w:line="220" w:lineRule="exact"/>
              <w:rPr>
                <w:sz w:val="20"/>
                <w:szCs w:val="20"/>
                <w:color w:val="auto"/>
              </w:rPr>
            </w:pPr>
            <w:r>
              <w:rPr>
                <w:rFonts w:ascii="Times New Roman" w:cs="Times New Roman" w:eastAsia="Times New Roman" w:hAnsi="Times New Roman"/>
                <w:sz w:val="20"/>
                <w:szCs w:val="20"/>
                <w:color w:val="auto"/>
              </w:rPr>
              <w:t>Total projected benefit obligation</w:t>
            </w:r>
          </w:p>
        </w:tc>
        <w:tc>
          <w:tcPr>
            <w:tcW w:w="900" w:type="dxa"/>
            <w:vAlign w:val="bottom"/>
            <w:tcBorders>
              <w:bottom w:val="single" w:sz="8" w:color="auto"/>
            </w:tcBorders>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1,195</w:t>
            </w:r>
          </w:p>
        </w:tc>
        <w:tc>
          <w:tcPr>
            <w:tcW w:w="2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auto"/>
            </w:tcBorders>
            <w:gridSpan w:val="2"/>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1,193</w:t>
            </w:r>
          </w:p>
        </w:tc>
      </w:tr>
    </w:tbl>
    <w:p>
      <w:pPr>
        <w:spacing w:after="0" w:line="200" w:lineRule="exact"/>
        <w:rPr>
          <w:sz w:val="20"/>
          <w:szCs w:val="20"/>
          <w:color w:val="auto"/>
        </w:rPr>
      </w:pPr>
    </w:p>
    <w:p>
      <w:pPr>
        <w:spacing w:after="0" w:line="24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At December 31, 2024, the provision which represents the projected benefit obligation in accordance with</w:t>
      </w:r>
    </w:p>
    <w:p>
      <w:pPr>
        <w:spacing w:after="0"/>
        <w:rPr>
          <w:sz w:val="20"/>
          <w:szCs w:val="20"/>
          <w:color w:val="auto"/>
        </w:rPr>
      </w:pPr>
      <w:r>
        <w:rPr>
          <w:rFonts w:ascii="Times New Roman" w:cs="Times New Roman" w:eastAsia="Times New Roman" w:hAnsi="Times New Roman"/>
          <w:sz w:val="20"/>
          <w:szCs w:val="20"/>
          <w:color w:val="auto"/>
        </w:rPr>
        <w:t>ASC 718 consists of:</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34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ind w:right="105"/>
              <w:spacing w:after="0"/>
              <w:rPr>
                <w:sz w:val="20"/>
                <w:szCs w:val="20"/>
                <w:color w:val="auto"/>
              </w:rPr>
            </w:pPr>
            <w:r>
              <w:rPr>
                <w:rFonts w:ascii="Times New Roman" w:cs="Times New Roman" w:eastAsia="Times New Roman" w:hAnsi="Times New Roman"/>
                <w:sz w:val="16"/>
                <w:szCs w:val="16"/>
                <w:b w:val="1"/>
                <w:bCs w:val="1"/>
                <w:color w:val="auto"/>
              </w:rPr>
              <w:t>France</w:t>
            </w:r>
          </w:p>
        </w:tc>
        <w:tc>
          <w:tcPr>
            <w:tcW w:w="2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6"/>
                <w:szCs w:val="16"/>
                <w:b w:val="1"/>
                <w:bCs w:val="1"/>
                <w:color w:val="auto"/>
              </w:rPr>
              <w:t>Japan</w:t>
            </w:r>
          </w:p>
        </w:tc>
      </w:tr>
      <w:tr>
        <w:trPr>
          <w:trHeight w:val="222"/>
        </w:trPr>
        <w:tc>
          <w:tcPr>
            <w:tcW w:w="7340" w:type="dxa"/>
            <w:vAlign w:val="bottom"/>
            <w:shd w:val="clear" w:color="auto" w:fill="CCEEFF"/>
          </w:tcPr>
          <w:p>
            <w:pPr>
              <w:spacing w:after="0" w:line="223" w:lineRule="exact"/>
              <w:rPr>
                <w:sz w:val="20"/>
                <w:szCs w:val="20"/>
                <w:color w:val="auto"/>
              </w:rPr>
            </w:pPr>
            <w:r>
              <w:rPr>
                <w:rFonts w:ascii="Times New Roman" w:cs="Times New Roman" w:eastAsia="Times New Roman" w:hAnsi="Times New Roman"/>
                <w:sz w:val="20"/>
                <w:szCs w:val="20"/>
                <w:color w:val="auto"/>
              </w:rPr>
              <w:t>Non-current liabilities</w:t>
            </w:r>
          </w:p>
        </w:tc>
        <w:tc>
          <w:tcPr>
            <w:tcW w:w="90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1,167</w:t>
            </w:r>
          </w:p>
        </w:tc>
        <w:tc>
          <w:tcPr>
            <w:tcW w:w="1140" w:type="dxa"/>
            <w:vAlign w:val="bottom"/>
            <w:gridSpan w:val="3"/>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1,096</w:t>
            </w:r>
          </w:p>
        </w:tc>
      </w:tr>
      <w:tr>
        <w:trPr>
          <w:trHeight w:val="230"/>
        </w:trPr>
        <w:tc>
          <w:tcPr>
            <w:tcW w:w="7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20"/>
                <w:szCs w:val="20"/>
                <w:color w:val="auto"/>
              </w:rPr>
              <w:t>Current liabilities</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Borders>
              <w:bottom w:val="single" w:sz="8" w:color="CCEEFF"/>
            </w:tcBorders>
            <w:gridSpan w:val="2"/>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151</w:t>
            </w:r>
          </w:p>
        </w:tc>
      </w:tr>
      <w:tr>
        <w:trPr>
          <w:trHeight w:val="231"/>
        </w:trPr>
        <w:tc>
          <w:tcPr>
            <w:tcW w:w="7340" w:type="dxa"/>
            <w:vAlign w:val="bottom"/>
            <w:shd w:val="clear" w:color="auto" w:fill="CCEEFF"/>
          </w:tcPr>
          <w:p>
            <w:pPr>
              <w:spacing w:after="0" w:line="220" w:lineRule="exact"/>
              <w:rPr>
                <w:sz w:val="20"/>
                <w:szCs w:val="20"/>
                <w:color w:val="auto"/>
              </w:rPr>
            </w:pPr>
            <w:r>
              <w:rPr>
                <w:rFonts w:ascii="Times New Roman" w:cs="Times New Roman" w:eastAsia="Times New Roman" w:hAnsi="Times New Roman"/>
                <w:sz w:val="20"/>
                <w:szCs w:val="20"/>
                <w:color w:val="auto"/>
              </w:rPr>
              <w:t>Total projected benefit obligation</w:t>
            </w:r>
          </w:p>
        </w:tc>
        <w:tc>
          <w:tcPr>
            <w:tcW w:w="900" w:type="dxa"/>
            <w:vAlign w:val="bottom"/>
            <w:tcBorders>
              <w:bottom w:val="single" w:sz="8" w:color="auto"/>
            </w:tcBorders>
            <w:shd w:val="clear" w:color="auto" w:fill="CCEEFF"/>
          </w:tcPr>
          <w:p>
            <w:pPr>
              <w:jc w:val="right"/>
              <w:spacing w:after="0" w:line="221" w:lineRule="exact"/>
              <w:rPr>
                <w:sz w:val="20"/>
                <w:szCs w:val="20"/>
                <w:color w:val="auto"/>
              </w:rPr>
            </w:pPr>
            <w:r>
              <w:rPr>
                <w:rFonts w:ascii="Times New Roman" w:cs="Times New Roman" w:eastAsia="Times New Roman" w:hAnsi="Times New Roman"/>
                <w:sz w:val="20"/>
                <w:szCs w:val="20"/>
                <w:color w:val="auto"/>
              </w:rPr>
              <w:t>1,167</w:t>
            </w:r>
          </w:p>
        </w:tc>
        <w:tc>
          <w:tcPr>
            <w:tcW w:w="220" w:type="dxa"/>
            <w:vAlign w:val="bottom"/>
            <w:shd w:val="clear" w:color="auto" w:fill="CCEEFF"/>
          </w:tcPr>
          <w:p>
            <w:pPr>
              <w:spacing w:after="0"/>
              <w:rPr>
                <w:sz w:val="20"/>
                <w:szCs w:val="20"/>
                <w:color w:val="auto"/>
              </w:rPr>
            </w:pPr>
          </w:p>
        </w:tc>
        <w:tc>
          <w:tcPr>
            <w:tcW w:w="920" w:type="dxa"/>
            <w:vAlign w:val="bottom"/>
            <w:tcBorders>
              <w:bottom w:val="single" w:sz="8" w:color="auto"/>
            </w:tcBorders>
            <w:gridSpan w:val="2"/>
            <w:shd w:val="clear" w:color="auto" w:fill="CCEEFF"/>
          </w:tcPr>
          <w:p>
            <w:pPr>
              <w:jc w:val="right"/>
              <w:spacing w:after="0" w:line="221" w:lineRule="exact"/>
              <w:rPr>
                <w:sz w:val="20"/>
                <w:szCs w:val="20"/>
                <w:color w:val="auto"/>
              </w:rPr>
            </w:pPr>
            <w:r>
              <w:rPr>
                <w:rFonts w:ascii="Times New Roman" w:cs="Times New Roman" w:eastAsia="Times New Roman" w:hAnsi="Times New Roman"/>
                <w:sz w:val="20"/>
                <w:szCs w:val="20"/>
                <w:color w:val="auto"/>
              </w:rPr>
              <w:t>1,247</w:t>
            </w:r>
          </w:p>
        </w:tc>
      </w:tr>
    </w:tbl>
    <w:p>
      <w:pPr>
        <w:spacing w:after="0" w:line="208" w:lineRule="exact"/>
        <w:rPr>
          <w:sz w:val="20"/>
          <w:szCs w:val="20"/>
          <w:color w:val="auto"/>
        </w:rPr>
      </w:pPr>
    </w:p>
    <w:p>
      <w:pPr>
        <w:jc w:val="both"/>
        <w:ind w:firstLine="720"/>
        <w:spacing w:after="0" w:line="279" w:lineRule="auto"/>
        <w:rPr>
          <w:sz w:val="20"/>
          <w:szCs w:val="20"/>
          <w:color w:val="auto"/>
        </w:rPr>
      </w:pPr>
      <w:r>
        <w:rPr>
          <w:rFonts w:ascii="Times New Roman" w:cs="Times New Roman" w:eastAsia="Times New Roman" w:hAnsi="Times New Roman"/>
          <w:sz w:val="20"/>
          <w:szCs w:val="20"/>
          <w:color w:val="auto"/>
        </w:rPr>
        <w:t>The Company does not have a funded benefit plan. A detailed reconciliation of pension cost components (in thousands of U.S dollar) during fiscal year for each of the three years ending December 31, 2025 is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3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France</w:t>
            </w:r>
          </w:p>
        </w:tc>
        <w:tc>
          <w:tcPr>
            <w:tcW w:w="900" w:type="dxa"/>
            <w:vAlign w:val="bottom"/>
          </w:tcPr>
          <w:p>
            <w:pPr>
              <w:jc w:val="right"/>
              <w:ind w:right="18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2"/>
        </w:trPr>
        <w:tc>
          <w:tcPr>
            <w:tcW w:w="7340" w:type="dxa"/>
            <w:vAlign w:val="bottom"/>
            <w:tcBorders>
              <w:top w:val="single" w:sz="8" w:color="CCEEFF"/>
            </w:tcBorders>
            <w:gridSpan w:val="3"/>
            <w:shd w:val="clear" w:color="auto" w:fill="CCEEFF"/>
          </w:tcPr>
          <w:p>
            <w:pPr>
              <w:spacing w:after="0" w:line="223" w:lineRule="exact"/>
              <w:rPr>
                <w:sz w:val="20"/>
                <w:szCs w:val="20"/>
                <w:color w:val="auto"/>
              </w:rPr>
            </w:pPr>
            <w:r>
              <w:rPr>
                <w:rFonts w:ascii="Times New Roman" w:cs="Times New Roman" w:eastAsia="Times New Roman" w:hAnsi="Times New Roman"/>
                <w:sz w:val="20"/>
                <w:szCs w:val="20"/>
                <w:b w:val="1"/>
                <w:bCs w:val="1"/>
                <w:color w:val="auto"/>
              </w:rPr>
              <w:t>Change in benefit obligations:</w:t>
            </w:r>
          </w:p>
        </w:tc>
        <w:tc>
          <w:tcPr>
            <w:tcW w:w="90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r>
      <w:tr>
        <w:trPr>
          <w:trHeight w:val="230"/>
        </w:trPr>
        <w:tc>
          <w:tcPr>
            <w:tcW w:w="73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Projected Benefit obligations at beginning of year</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1,167</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1,126</w:t>
            </w:r>
          </w:p>
        </w:tc>
      </w:tr>
      <w:tr>
        <w:trPr>
          <w:trHeight w:val="230"/>
        </w:trPr>
        <w:tc>
          <w:tcPr>
            <w:tcW w:w="7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20"/>
                <w:szCs w:val="20"/>
                <w:color w:val="auto"/>
              </w:rPr>
              <w:t>Service cost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89</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78</w:t>
            </w:r>
          </w:p>
        </w:tc>
      </w:tr>
      <w:tr>
        <w:trPr>
          <w:trHeight w:val="233"/>
        </w:trPr>
        <w:tc>
          <w:tcPr>
            <w:tcW w:w="73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Interest cost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36</w:t>
            </w:r>
          </w:p>
        </w:tc>
      </w:tr>
      <w:tr>
        <w:trPr>
          <w:trHeight w:val="230"/>
        </w:trPr>
        <w:tc>
          <w:tcPr>
            <w:tcW w:w="7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20"/>
                <w:szCs w:val="20"/>
                <w:color w:val="auto"/>
              </w:rPr>
              <w:t>Net loss or (gain)</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30"/>
        </w:trPr>
        <w:tc>
          <w:tcPr>
            <w:tcW w:w="73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Actuarial (gain) or loss</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(170)</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(20)</w:t>
            </w:r>
          </w:p>
        </w:tc>
      </w:tr>
      <w:tr>
        <w:trPr>
          <w:trHeight w:val="230"/>
        </w:trPr>
        <w:tc>
          <w:tcPr>
            <w:tcW w:w="7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20"/>
                <w:szCs w:val="20"/>
                <w:color w:val="auto"/>
              </w:rPr>
              <w:t>Amortization of net prior service cost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33"/>
        </w:trPr>
        <w:tc>
          <w:tcPr>
            <w:tcW w:w="73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Benefits paid</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(53)</w:t>
            </w:r>
          </w:p>
        </w:tc>
      </w:tr>
      <w:tr>
        <w:trPr>
          <w:trHeight w:val="250"/>
        </w:trPr>
        <w:tc>
          <w:tcPr>
            <w:tcW w:w="73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20"/>
                <w:szCs w:val="20"/>
                <w:color w:val="auto"/>
              </w:rPr>
              <w:t>Exchange rate impact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153</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00"/>
        </w:trPr>
        <w:tc>
          <w:tcPr>
            <w:tcW w:w="7340" w:type="dxa"/>
            <w:vAlign w:val="bottom"/>
            <w:gridSpan w:val="3"/>
          </w:tcPr>
          <w:p>
            <w:pPr>
              <w:spacing w:after="0" w:line="200" w:lineRule="exact"/>
              <w:rPr>
                <w:sz w:val="20"/>
                <w:szCs w:val="20"/>
                <w:color w:val="auto"/>
              </w:rPr>
            </w:pPr>
            <w:r>
              <w:rPr>
                <w:rFonts w:ascii="Times New Roman" w:cs="Times New Roman" w:eastAsia="Times New Roman" w:hAnsi="Times New Roman"/>
                <w:sz w:val="18"/>
                <w:szCs w:val="18"/>
                <w:color w:val="auto"/>
              </w:rPr>
              <w:t xml:space="preserve">Projected Benefit obligations at end of year </w:t>
            </w:r>
            <w:r>
              <w:rPr>
                <w:rFonts w:ascii="Times New Roman" w:cs="Times New Roman" w:eastAsia="Times New Roman" w:hAnsi="Times New Roman"/>
                <w:sz w:val="23"/>
                <w:szCs w:val="23"/>
                <w:color w:val="auto"/>
                <w:vertAlign w:val="superscript"/>
              </w:rPr>
              <w:t>(1)</w:t>
            </w:r>
          </w:p>
        </w:tc>
        <w:tc>
          <w:tcPr>
            <w:tcW w:w="90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1,195</w:t>
            </w:r>
          </w:p>
        </w:tc>
        <w:tc>
          <w:tcPr>
            <w:tcW w:w="240" w:type="dxa"/>
            <w:vAlign w:val="bottom"/>
          </w:tcPr>
          <w:p>
            <w:pPr>
              <w:spacing w:after="0"/>
              <w:rPr>
                <w:sz w:val="17"/>
                <w:szCs w:val="17"/>
                <w:color w:val="auto"/>
              </w:rPr>
            </w:pPr>
          </w:p>
        </w:tc>
        <w:tc>
          <w:tcPr>
            <w:tcW w:w="90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1,167</w:t>
            </w:r>
          </w:p>
        </w:tc>
      </w:tr>
      <w:tr>
        <w:trPr>
          <w:trHeight w:val="230"/>
        </w:trPr>
        <w:tc>
          <w:tcPr>
            <w:tcW w:w="7340" w:type="dxa"/>
            <w:vAlign w:val="bottom"/>
            <w:gridSpan w:val="3"/>
            <w:shd w:val="clear" w:color="auto" w:fill="CCEEFF"/>
          </w:tcPr>
          <w:p>
            <w:pPr>
              <w:spacing w:after="0" w:line="230" w:lineRule="exact"/>
              <w:rPr>
                <w:sz w:val="20"/>
                <w:szCs w:val="20"/>
                <w:color w:val="auto"/>
              </w:rPr>
            </w:pPr>
            <w:r>
              <w:rPr>
                <w:rFonts w:ascii="Times New Roman" w:cs="Times New Roman" w:eastAsia="Times New Roman" w:hAnsi="Times New Roman"/>
                <w:sz w:val="20"/>
                <w:szCs w:val="20"/>
                <w:color w:val="auto"/>
              </w:rPr>
              <w:t xml:space="preserve">Unrecognized actuarial (gain) loss </w:t>
            </w:r>
            <w:r>
              <w:rPr>
                <w:rFonts w:ascii="Times New Roman" w:cs="Times New Roman" w:eastAsia="Times New Roman" w:hAnsi="Times New Roman"/>
                <w:sz w:val="25"/>
                <w:szCs w:val="25"/>
                <w:color w:val="auto"/>
                <w:vertAlign w:val="superscript"/>
              </w:rPr>
              <w:t>(2)</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(358)</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(170)</w:t>
            </w:r>
          </w:p>
        </w:tc>
      </w:tr>
      <w:tr>
        <w:trPr>
          <w:trHeight w:val="348"/>
        </w:trPr>
        <w:tc>
          <w:tcPr>
            <w:tcW w:w="73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 xml:space="preserve">Unrecognized prior service cost </w:t>
            </w:r>
            <w:r>
              <w:rPr>
                <w:rFonts w:ascii="Times New Roman" w:cs="Times New Roman" w:eastAsia="Times New Roman" w:hAnsi="Times New Roman"/>
                <w:sz w:val="25"/>
                <w:szCs w:val="25"/>
                <w:color w:val="auto"/>
                <w:vertAlign w:val="superscript"/>
              </w:rPr>
              <w:t>(2)</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w:t>
            </w:r>
          </w:p>
        </w:tc>
      </w:tr>
      <w:tr>
        <w:trPr>
          <w:trHeight w:val="43"/>
        </w:trPr>
        <w:tc>
          <w:tcPr>
            <w:tcW w:w="360" w:type="dxa"/>
            <w:vAlign w:val="bottom"/>
          </w:tcPr>
          <w:p>
            <w:pPr>
              <w:spacing w:after="0"/>
              <w:rPr>
                <w:sz w:val="3"/>
                <w:szCs w:val="3"/>
                <w:color w:val="auto"/>
              </w:rPr>
            </w:pPr>
          </w:p>
        </w:tc>
        <w:tc>
          <w:tcPr>
            <w:tcW w:w="2240" w:type="dxa"/>
            <w:vAlign w:val="bottom"/>
            <w:tcBorders>
              <w:bottom w:val="single" w:sz="8" w:color="auto"/>
            </w:tcBorders>
          </w:tcPr>
          <w:p>
            <w:pPr>
              <w:spacing w:after="0"/>
              <w:rPr>
                <w:sz w:val="3"/>
                <w:szCs w:val="3"/>
                <w:color w:val="auto"/>
              </w:rPr>
            </w:pPr>
          </w:p>
        </w:tc>
        <w:tc>
          <w:tcPr>
            <w:tcW w:w="4740" w:type="dxa"/>
            <w:vAlign w:val="bottom"/>
          </w:tcPr>
          <w:p>
            <w:pPr>
              <w:spacing w:after="0"/>
              <w:rPr>
                <w:sz w:val="3"/>
                <w:szCs w:val="3"/>
                <w:color w:val="auto"/>
              </w:rPr>
            </w:pPr>
          </w:p>
        </w:tc>
        <w:tc>
          <w:tcPr>
            <w:tcW w:w="90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r>
    </w:tbl>
    <w:p>
      <w:pPr>
        <w:spacing w:after="0" w:line="200" w:lineRule="exact"/>
        <w:rPr>
          <w:sz w:val="20"/>
          <w:szCs w:val="20"/>
          <w:color w:val="auto"/>
        </w:rPr>
      </w:pPr>
    </w:p>
    <w:p>
      <w:pPr>
        <w:sectPr>
          <w:pgSz w:w="11900" w:h="16838" w:orient="portrait"/>
          <w:cols w:equalWidth="0" w:num="1">
            <w:col w:w="9380"/>
          </w:cols>
          <w:pgMar w:left="1260" w:top="838" w:right="1266" w:bottom="723" w:gutter="0" w:footer="0" w:header="0"/>
        </w:sect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F-34</w:t>
      </w:r>
    </w:p>
    <w:p>
      <w:pPr>
        <w:sectPr>
          <w:pgSz w:w="11900" w:h="16838" w:orient="portrait"/>
          <w:cols w:equalWidth="0" w:num="1">
            <w:col w:w="9380"/>
          </w:cols>
          <w:pgMar w:left="1260" w:top="838" w:right="1266" w:bottom="723" w:gutter="0" w:footer="0" w:header="0"/>
          <w:type w:val="continuous"/>
        </w:sectPr>
      </w:pPr>
    </w:p>
    <w:bookmarkStart w:id="89" w:name="page90"/>
    <w:bookmarkEnd w:id="89"/>
    <w:p>
      <w:pPr>
        <w:ind w:left="3180"/>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795655</wp:posOffset>
            </wp:positionH>
            <wp:positionV relativeFrom="page">
              <wp:posOffset>292735</wp:posOffset>
            </wp:positionV>
            <wp:extent cx="929005" cy="1149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115">
                      <a:extLst>
                        <a:ext uri="{28A0092B-C50C-407E-A947-70E740481C1C}"/>
                      </a:extLst>
                    </a:blip>
                    <a:srcRect/>
                    <a:stretch>
                      <a:fillRect/>
                    </a:stretch>
                  </pic:blipFill>
                  <pic:spPr bwMode="auto">
                    <a:xfrm>
                      <a:off x="0" y="0"/>
                      <a:ext cx="929005" cy="114935"/>
                    </a:xfrm>
                    <a:prstGeom prst="rect">
                      <a:avLst/>
                    </a:prstGeom>
                    <a:noFill/>
                  </pic:spPr>
                </pic:pic>
              </a:graphicData>
            </a:graphic>
          </wp:anchor>
        </w:drawing>
        <w:t>EDAP TMS S.A. AND SUBSIDIARIES</w:t>
      </w:r>
    </w:p>
    <w:p>
      <w:pPr>
        <w:ind w:left="2760"/>
        <w:spacing w:after="0"/>
        <w:rPr>
          <w:sz w:val="20"/>
          <w:szCs w:val="20"/>
          <w:color w:val="auto"/>
        </w:rPr>
      </w:pPr>
      <w:r>
        <w:rPr>
          <w:rFonts w:ascii="Times New Roman" w:cs="Times New Roman" w:eastAsia="Times New Roman" w:hAnsi="Times New Roman"/>
          <w:sz w:val="20"/>
          <w:szCs w:val="20"/>
          <w:b w:val="1"/>
          <w:bCs w:val="1"/>
          <w:color w:val="auto"/>
        </w:rPr>
        <w:t>CONSOLIDATED FINANCIAL STATEMENTS</w:t>
      </w:r>
    </w:p>
    <w:p>
      <w:pPr>
        <w:ind w:left="1500"/>
        <w:spacing w:after="0"/>
        <w:rPr>
          <w:sz w:val="20"/>
          <w:szCs w:val="20"/>
          <w:color w:val="auto"/>
        </w:rPr>
      </w:pPr>
      <w:r>
        <w:rPr>
          <w:rFonts w:ascii="Times New Roman" w:cs="Times New Roman" w:eastAsia="Times New Roman" w:hAnsi="Times New Roman"/>
          <w:sz w:val="20"/>
          <w:szCs w:val="20"/>
          <w:b w:val="1"/>
          <w:bCs w:val="1"/>
          <w:color w:val="auto"/>
        </w:rPr>
        <w:t>(In thousands of U.S. dollars unless otherwise noted, except per share data)</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720" w:hanging="353"/>
        <w:spacing w:after="0"/>
        <w:tabs>
          <w:tab w:leader="none" w:pos="72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accumulated benefit obligation was $969 thousand and $856 thousand at December 31, 2025 and 2024 respectively.</w:t>
      </w:r>
    </w:p>
    <w:p>
      <w:pPr>
        <w:ind w:left="720" w:hanging="353"/>
        <w:spacing w:after="0" w:line="260" w:lineRule="auto"/>
        <w:tabs>
          <w:tab w:leader="none" w:pos="72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 in accumulated other comprehensive loss to be recognized as components of net periodic benefit costs in 2025 is $346 thousand.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3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Japan</w:t>
            </w:r>
          </w:p>
        </w:tc>
        <w:tc>
          <w:tcPr>
            <w:tcW w:w="900" w:type="dxa"/>
            <w:vAlign w:val="bottom"/>
          </w:tcPr>
          <w:p>
            <w:pPr>
              <w:jc w:val="right"/>
              <w:ind w:right="18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0"/>
        </w:trPr>
        <w:tc>
          <w:tcPr>
            <w:tcW w:w="7340" w:type="dxa"/>
            <w:vAlign w:val="bottom"/>
            <w:tcBorders>
              <w:top w:val="single" w:sz="8" w:color="CCEEFF"/>
            </w:tcBorders>
            <w:shd w:val="clear" w:color="auto" w:fill="CCEEFF"/>
          </w:tcPr>
          <w:p>
            <w:pPr>
              <w:spacing w:after="0" w:line="220" w:lineRule="exact"/>
              <w:rPr>
                <w:sz w:val="20"/>
                <w:szCs w:val="20"/>
                <w:color w:val="auto"/>
              </w:rPr>
            </w:pPr>
            <w:r>
              <w:rPr>
                <w:rFonts w:ascii="Times New Roman" w:cs="Times New Roman" w:eastAsia="Times New Roman" w:hAnsi="Times New Roman"/>
                <w:sz w:val="20"/>
                <w:szCs w:val="20"/>
                <w:b w:val="1"/>
                <w:bCs w:val="1"/>
                <w:color w:val="auto"/>
              </w:rPr>
              <w:t>Change in benefit obligations:</w:t>
            </w:r>
          </w:p>
        </w:tc>
        <w:tc>
          <w:tcPr>
            <w:tcW w:w="90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r>
      <w:tr>
        <w:trPr>
          <w:trHeight w:val="233"/>
        </w:trPr>
        <w:tc>
          <w:tcPr>
            <w:tcW w:w="7340" w:type="dxa"/>
            <w:vAlign w:val="bottom"/>
          </w:tcPr>
          <w:p>
            <w:pPr>
              <w:spacing w:after="0"/>
              <w:rPr>
                <w:sz w:val="20"/>
                <w:szCs w:val="20"/>
                <w:color w:val="auto"/>
              </w:rPr>
            </w:pPr>
            <w:r>
              <w:rPr>
                <w:rFonts w:ascii="Times New Roman" w:cs="Times New Roman" w:eastAsia="Times New Roman" w:hAnsi="Times New Roman"/>
                <w:sz w:val="20"/>
                <w:szCs w:val="20"/>
                <w:color w:val="auto"/>
              </w:rPr>
              <w:t>Projected Benefit obligations at beginning of year</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1,247</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1,274</w:t>
            </w:r>
          </w:p>
        </w:tc>
      </w:tr>
      <w:tr>
        <w:trPr>
          <w:trHeight w:val="230"/>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Service cost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112</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114</w:t>
            </w:r>
          </w:p>
        </w:tc>
      </w:tr>
      <w:tr>
        <w:trPr>
          <w:trHeight w:val="230"/>
        </w:trPr>
        <w:tc>
          <w:tcPr>
            <w:tcW w:w="7340" w:type="dxa"/>
            <w:vAlign w:val="bottom"/>
          </w:tcPr>
          <w:p>
            <w:pPr>
              <w:spacing w:after="0"/>
              <w:rPr>
                <w:sz w:val="20"/>
                <w:szCs w:val="20"/>
                <w:color w:val="auto"/>
              </w:rPr>
            </w:pPr>
            <w:r>
              <w:rPr>
                <w:rFonts w:ascii="Times New Roman" w:cs="Times New Roman" w:eastAsia="Times New Roman" w:hAnsi="Times New Roman"/>
                <w:sz w:val="20"/>
                <w:szCs w:val="20"/>
                <w:color w:val="auto"/>
              </w:rPr>
              <w:t>Interest cost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15</w:t>
            </w:r>
          </w:p>
        </w:tc>
      </w:tr>
      <w:tr>
        <w:trPr>
          <w:trHeight w:val="230"/>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Amortization of net loss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33"/>
        </w:trPr>
        <w:tc>
          <w:tcPr>
            <w:tcW w:w="7340" w:type="dxa"/>
            <w:vAlign w:val="bottom"/>
          </w:tcPr>
          <w:p>
            <w:pPr>
              <w:spacing w:after="0"/>
              <w:rPr>
                <w:sz w:val="20"/>
                <w:szCs w:val="20"/>
                <w:color w:val="auto"/>
              </w:rPr>
            </w:pPr>
            <w:r>
              <w:rPr>
                <w:rFonts w:ascii="Times New Roman" w:cs="Times New Roman" w:eastAsia="Times New Roman" w:hAnsi="Times New Roman"/>
                <w:sz w:val="20"/>
                <w:szCs w:val="20"/>
                <w:color w:val="auto"/>
              </w:rPr>
              <w:t>Actuarial (gain) / loss</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(37)</w:t>
            </w:r>
          </w:p>
        </w:tc>
      </w:tr>
      <w:tr>
        <w:trPr>
          <w:trHeight w:val="230"/>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Benefits paid</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(67)</w:t>
            </w:r>
          </w:p>
        </w:tc>
      </w:tr>
      <w:tr>
        <w:trPr>
          <w:trHeight w:val="230"/>
        </w:trPr>
        <w:tc>
          <w:tcPr>
            <w:tcW w:w="7340" w:type="dxa"/>
            <w:vAlign w:val="bottom"/>
          </w:tcPr>
          <w:p>
            <w:pPr>
              <w:spacing w:after="0"/>
              <w:rPr>
                <w:sz w:val="20"/>
                <w:szCs w:val="20"/>
                <w:color w:val="auto"/>
              </w:rPr>
            </w:pPr>
            <w:r>
              <w:rPr>
                <w:rFonts w:ascii="Times New Roman" w:cs="Times New Roman" w:eastAsia="Times New Roman" w:hAnsi="Times New Roman"/>
                <w:sz w:val="20"/>
                <w:szCs w:val="20"/>
                <w:color w:val="auto"/>
              </w:rPr>
              <w:t>Plan Amendments</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30"/>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Settlements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(136)</w:t>
            </w: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33"/>
        </w:trPr>
        <w:tc>
          <w:tcPr>
            <w:tcW w:w="7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20"/>
                <w:szCs w:val="20"/>
                <w:color w:val="auto"/>
              </w:rPr>
              <w:t>Exchange rate impact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24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(53)</w:t>
            </w:r>
          </w:p>
        </w:tc>
      </w:tr>
      <w:tr>
        <w:trPr>
          <w:trHeight w:val="220"/>
        </w:trPr>
        <w:tc>
          <w:tcPr>
            <w:tcW w:w="7340" w:type="dxa"/>
            <w:vAlign w:val="bottom"/>
            <w:shd w:val="clear" w:color="auto" w:fill="CCEEFF"/>
          </w:tcPr>
          <w:p>
            <w:pPr>
              <w:spacing w:after="0" w:line="220" w:lineRule="exact"/>
              <w:rPr>
                <w:sz w:val="20"/>
                <w:szCs w:val="20"/>
                <w:color w:val="auto"/>
              </w:rPr>
            </w:pPr>
            <w:r>
              <w:rPr>
                <w:rFonts w:ascii="Times New Roman" w:cs="Times New Roman" w:eastAsia="Times New Roman" w:hAnsi="Times New Roman"/>
                <w:sz w:val="20"/>
                <w:szCs w:val="20"/>
                <w:color w:val="auto"/>
              </w:rPr>
              <w:t xml:space="preserve">Projected Benefit obligations at end of year </w:t>
            </w:r>
            <w:r>
              <w:rPr>
                <w:rFonts w:ascii="Times New Roman" w:cs="Times New Roman" w:eastAsia="Times New Roman" w:hAnsi="Times New Roman"/>
                <w:sz w:val="25"/>
                <w:szCs w:val="25"/>
                <w:color w:val="auto"/>
                <w:vertAlign w:val="superscript"/>
              </w:rPr>
              <w:t>(1)</w:t>
            </w:r>
          </w:p>
        </w:tc>
        <w:tc>
          <w:tcPr>
            <w:tcW w:w="900" w:type="dxa"/>
            <w:vAlign w:val="bottom"/>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1,193</w:t>
            </w:r>
          </w:p>
        </w:tc>
        <w:tc>
          <w:tcPr>
            <w:tcW w:w="1140" w:type="dxa"/>
            <w:vAlign w:val="bottom"/>
            <w:gridSpan w:val="2"/>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1,247</w:t>
            </w:r>
          </w:p>
        </w:tc>
      </w:tr>
      <w:tr>
        <w:trPr>
          <w:trHeight w:val="230"/>
        </w:trPr>
        <w:tc>
          <w:tcPr>
            <w:tcW w:w="7340" w:type="dxa"/>
            <w:vAlign w:val="bottom"/>
          </w:tcPr>
          <w:p>
            <w:pPr>
              <w:spacing w:after="0" w:line="230" w:lineRule="exact"/>
              <w:rPr>
                <w:sz w:val="20"/>
                <w:szCs w:val="20"/>
                <w:color w:val="auto"/>
              </w:rPr>
            </w:pPr>
            <w:r>
              <w:rPr>
                <w:rFonts w:ascii="Times New Roman" w:cs="Times New Roman" w:eastAsia="Times New Roman" w:hAnsi="Times New Roman"/>
                <w:sz w:val="20"/>
                <w:szCs w:val="20"/>
                <w:color w:val="auto"/>
              </w:rPr>
              <w:t xml:space="preserve">Unrecognized actuarial (gain) loss </w:t>
            </w:r>
            <w:r>
              <w:rPr>
                <w:rFonts w:ascii="Times New Roman" w:cs="Times New Roman" w:eastAsia="Times New Roman" w:hAnsi="Times New Roman"/>
                <w:sz w:val="25"/>
                <w:szCs w:val="25"/>
                <w:color w:val="auto"/>
                <w:vertAlign w:val="superscript"/>
              </w:rPr>
              <w:t>(2)</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44</w:t>
            </w:r>
          </w:p>
        </w:tc>
      </w:tr>
      <w:tr>
        <w:trPr>
          <w:trHeight w:val="233"/>
        </w:trPr>
        <w:tc>
          <w:tcPr>
            <w:tcW w:w="7340" w:type="dxa"/>
            <w:vAlign w:val="bottom"/>
            <w:shd w:val="clear" w:color="auto" w:fill="CCEEFF"/>
          </w:tcPr>
          <w:p>
            <w:pPr>
              <w:spacing w:after="0" w:line="233" w:lineRule="exact"/>
              <w:rPr>
                <w:sz w:val="20"/>
                <w:szCs w:val="20"/>
                <w:color w:val="auto"/>
              </w:rPr>
            </w:pPr>
            <w:r>
              <w:rPr>
                <w:rFonts w:ascii="Times New Roman" w:cs="Times New Roman" w:eastAsia="Times New Roman" w:hAnsi="Times New Roman"/>
                <w:sz w:val="20"/>
                <w:szCs w:val="20"/>
                <w:color w:val="auto"/>
              </w:rPr>
              <w:t xml:space="preserve">Unrecognized prior service cost </w:t>
            </w:r>
            <w:r>
              <w:rPr>
                <w:rFonts w:ascii="Times New Roman" w:cs="Times New Roman" w:eastAsia="Times New Roman" w:hAnsi="Times New Roman"/>
                <w:sz w:val="25"/>
                <w:szCs w:val="25"/>
                <w:color w:val="auto"/>
                <w:vertAlign w:val="superscript"/>
              </w:rPr>
              <w:t>(2)</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58</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66</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232410</wp:posOffset>
                </wp:positionH>
                <wp:positionV relativeFrom="paragraph">
                  <wp:posOffset>106045</wp:posOffset>
                </wp:positionV>
                <wp:extent cx="1431925" cy="0"/>
                <wp:wrapNone/>
                <wp:docPr id="206" name="Shape 2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31925" cy="4763"/>
                        </a:xfrm>
                        <a:prstGeom prst="line">
                          <a:avLst/>
                        </a:prstGeom>
                        <a:solidFill>
                          <a:srgbClr val="FFFFFF"/>
                        </a:solidFill>
                        <a:ln w="12065">
                          <a:solidFill>
                            <a:srgbClr val="000000"/>
                          </a:solidFill>
                          <a:miter lim="800000"/>
                          <a:headEnd/>
                          <a:tailEnd/>
                        </a:ln>
                      </wps:spPr>
                      <wps:bodyPr/>
                    </wps:wsp>
                  </a:graphicData>
                </a:graphic>
              </wp:anchor>
            </w:drawing>
          </mc:Choice>
          <mc:Fallback>
            <w:pict>
              <v:line id="Shape 206" o:spid="_x0000_s12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3pt,8.35pt" to="131.05pt,8.35pt" o:allowincell="f" strokecolor="#000000" strokeweight="0.95pt"/>
            </w:pict>
          </mc:Fallback>
        </mc:AlternateContent>
      </w:r>
    </w:p>
    <w:p>
      <w:pPr>
        <w:spacing w:after="0" w:line="192" w:lineRule="exact"/>
        <w:rPr>
          <w:sz w:val="20"/>
          <w:szCs w:val="20"/>
          <w:color w:val="auto"/>
        </w:rPr>
      </w:pPr>
    </w:p>
    <w:p>
      <w:pPr>
        <w:ind w:left="660" w:hanging="370"/>
        <w:spacing w:after="0"/>
        <w:tabs>
          <w:tab w:leader="none" w:pos="66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accumulated benefit obligation was $1,021 thousand and $1,050 thousand at December 31, 2025 and 2024, respectively.</w:t>
      </w:r>
    </w:p>
    <w:p>
      <w:pPr>
        <w:ind w:left="660" w:hanging="369"/>
        <w:spacing w:after="0" w:line="281" w:lineRule="auto"/>
        <w:tabs>
          <w:tab w:leader="none" w:pos="66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 in accumulated other comprehensive loss to be recognized as components of net periodic benefit costs in 2025 is $52 thousand.</w:t>
      </w:r>
    </w:p>
    <w:p>
      <w:pPr>
        <w:spacing w:after="0" w:line="132" w:lineRule="exact"/>
        <w:rPr>
          <w:sz w:val="20"/>
          <w:szCs w:val="20"/>
          <w:color w:val="auto"/>
        </w:rPr>
      </w:pPr>
    </w:p>
    <w:p>
      <w:pPr>
        <w:jc w:val="both"/>
        <w:ind w:firstLine="720"/>
        <w:spacing w:after="0" w:line="279" w:lineRule="auto"/>
        <w:rPr>
          <w:sz w:val="20"/>
          <w:szCs w:val="20"/>
          <w:color w:val="auto"/>
        </w:rPr>
      </w:pPr>
      <w:r>
        <w:rPr>
          <w:rFonts w:ascii="Times New Roman" w:cs="Times New Roman" w:eastAsia="Times New Roman" w:hAnsi="Times New Roman"/>
          <w:sz w:val="20"/>
          <w:szCs w:val="20"/>
          <w:color w:val="auto"/>
        </w:rPr>
        <w:t>The benefits expected to be paid in each of the next five fiscal years, and in the aggregate for the five fiscal years thereafter, are detailed in the table below:</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34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6"/>
                <w:szCs w:val="16"/>
                <w:b w:val="1"/>
                <w:bCs w:val="1"/>
                <w:color w:val="auto"/>
              </w:rPr>
              <w:t>France</w:t>
            </w:r>
          </w:p>
        </w:tc>
        <w:tc>
          <w:tcPr>
            <w:tcW w:w="2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6"/>
                <w:szCs w:val="16"/>
                <w:b w:val="1"/>
                <w:bCs w:val="1"/>
                <w:color w:val="auto"/>
              </w:rPr>
              <w:t>Japan</w:t>
            </w:r>
          </w:p>
        </w:tc>
      </w:tr>
      <w:tr>
        <w:trPr>
          <w:trHeight w:val="220"/>
        </w:trPr>
        <w:tc>
          <w:tcPr>
            <w:tcW w:w="7340" w:type="dxa"/>
            <w:vAlign w:val="bottom"/>
            <w:shd w:val="clear" w:color="auto" w:fill="CCEEFF"/>
          </w:tcPr>
          <w:p>
            <w:pPr>
              <w:spacing w:after="0" w:line="220" w:lineRule="exact"/>
              <w:rPr>
                <w:sz w:val="20"/>
                <w:szCs w:val="20"/>
                <w:color w:val="auto"/>
              </w:rPr>
            </w:pPr>
            <w:r>
              <w:rPr>
                <w:rFonts w:ascii="Times New Roman" w:cs="Times New Roman" w:eastAsia="Times New Roman" w:hAnsi="Times New Roman"/>
                <w:sz w:val="20"/>
                <w:szCs w:val="20"/>
                <w:color w:val="auto"/>
              </w:rPr>
              <w:t>2026</w:t>
            </w:r>
          </w:p>
        </w:tc>
        <w:tc>
          <w:tcPr>
            <w:tcW w:w="900" w:type="dxa"/>
            <w:vAlign w:val="bottom"/>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140</w:t>
            </w:r>
          </w:p>
        </w:tc>
        <w:tc>
          <w:tcPr>
            <w:tcW w:w="1140" w:type="dxa"/>
            <w:vAlign w:val="bottom"/>
            <w:gridSpan w:val="3"/>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147</w:t>
            </w:r>
          </w:p>
        </w:tc>
      </w:tr>
      <w:tr>
        <w:trPr>
          <w:trHeight w:val="230"/>
        </w:trPr>
        <w:tc>
          <w:tcPr>
            <w:tcW w:w="7340" w:type="dxa"/>
            <w:vAlign w:val="bottom"/>
          </w:tcPr>
          <w:p>
            <w:pPr>
              <w:spacing w:after="0"/>
              <w:rPr>
                <w:sz w:val="20"/>
                <w:szCs w:val="20"/>
                <w:color w:val="auto"/>
              </w:rPr>
            </w:pPr>
            <w:r>
              <w:rPr>
                <w:rFonts w:ascii="Times New Roman" w:cs="Times New Roman" w:eastAsia="Times New Roman" w:hAnsi="Times New Roman"/>
                <w:sz w:val="20"/>
                <w:szCs w:val="20"/>
                <w:color w:val="auto"/>
              </w:rPr>
              <w:t>2027</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138</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68</w:t>
            </w:r>
          </w:p>
        </w:tc>
      </w:tr>
      <w:tr>
        <w:trPr>
          <w:trHeight w:val="230"/>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2028</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82</w:t>
            </w: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46</w:t>
            </w:r>
          </w:p>
        </w:tc>
      </w:tr>
      <w:tr>
        <w:trPr>
          <w:trHeight w:val="233"/>
        </w:trPr>
        <w:tc>
          <w:tcPr>
            <w:tcW w:w="7340" w:type="dxa"/>
            <w:vAlign w:val="bottom"/>
          </w:tcPr>
          <w:p>
            <w:pPr>
              <w:spacing w:after="0"/>
              <w:rPr>
                <w:sz w:val="20"/>
                <w:szCs w:val="20"/>
                <w:color w:val="auto"/>
              </w:rPr>
            </w:pPr>
            <w:r>
              <w:rPr>
                <w:rFonts w:ascii="Times New Roman" w:cs="Times New Roman" w:eastAsia="Times New Roman" w:hAnsi="Times New Roman"/>
                <w:sz w:val="20"/>
                <w:szCs w:val="20"/>
                <w:color w:val="auto"/>
              </w:rPr>
              <w:t>2029</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17</w:t>
            </w:r>
          </w:p>
        </w:tc>
      </w:tr>
      <w:tr>
        <w:trPr>
          <w:trHeight w:val="230"/>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2030</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100</w:t>
            </w: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58</w:t>
            </w:r>
          </w:p>
        </w:tc>
      </w:tr>
      <w:tr>
        <w:trPr>
          <w:trHeight w:val="230"/>
        </w:trPr>
        <w:tc>
          <w:tcPr>
            <w:tcW w:w="7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20"/>
                <w:szCs w:val="20"/>
                <w:color w:val="auto"/>
              </w:rPr>
              <w:t>2031-2035</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597</w:t>
            </w:r>
          </w:p>
        </w:tc>
        <w:tc>
          <w:tcPr>
            <w:tcW w:w="240" w:type="dxa"/>
            <w:vAlign w:val="bottom"/>
            <w:tcBorders>
              <w:bottom w:val="single" w:sz="8" w:color="CCEEFF"/>
            </w:tcBorders>
            <w:gridSpan w:val="2"/>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1,301</w:t>
            </w:r>
          </w:p>
        </w:tc>
      </w:tr>
      <w:tr>
        <w:trPr>
          <w:trHeight w:val="231"/>
        </w:trPr>
        <w:tc>
          <w:tcPr>
            <w:tcW w:w="73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1,058</w:t>
            </w: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auto"/>
            </w:tcBorders>
            <w:gridSpan w:val="2"/>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1,638</w:t>
            </w:r>
          </w:p>
        </w:tc>
      </w:tr>
    </w:tbl>
    <w:p>
      <w:pPr>
        <w:spacing w:after="0" w:line="229" w:lineRule="exact"/>
        <w:rPr>
          <w:sz w:val="20"/>
          <w:szCs w:val="20"/>
          <w:color w:val="auto"/>
        </w:rPr>
      </w:pPr>
    </w:p>
    <w:p>
      <w:pPr>
        <w:ind w:left="20"/>
        <w:spacing w:after="0"/>
        <w:rPr>
          <w:sz w:val="20"/>
          <w:szCs w:val="20"/>
          <w:color w:val="auto"/>
        </w:rPr>
      </w:pPr>
      <w:r>
        <w:rPr>
          <w:sz w:val="1"/>
          <w:szCs w:val="1"/>
          <w:color w:val="auto"/>
        </w:rPr>
        <w:drawing>
          <wp:inline distT="0" distB="0" distL="0" distR="0">
            <wp:extent cx="254635" cy="95885"/>
            <wp:effectExtent l="0" t="0" r="0" b="0"/>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116">
                      <a:extLst>
                        <a:ext uri="{28A0092B-C50C-407E-A947-70E740481C1C}"/>
                      </a:extLst>
                    </a:blip>
                    <a:srcRect/>
                    <a:stretch>
                      <a:fillRect/>
                    </a:stretch>
                  </pic:blipFill>
                  <pic:spPr bwMode="auto">
                    <a:xfrm>
                      <a:off x="0" y="0"/>
                      <a:ext cx="254635" cy="95885"/>
                    </a:xfrm>
                    <a:prstGeom prst="rect">
                      <a:avLst/>
                    </a:prstGeom>
                    <a:noFill/>
                    <a:ln>
                      <a:noFill/>
                    </a:ln>
                  </pic:spPr>
                </pic:pic>
              </a:graphicData>
            </a:graphic>
          </wp:inline>
        </w:drawing>
      </w:r>
      <w:r>
        <w:rPr>
          <w:rFonts w:ascii="Times New Roman" w:cs="Times New Roman" w:eastAsia="Times New Roman" w:hAnsi="Times New Roman"/>
          <w:sz w:val="20"/>
          <w:szCs w:val="20"/>
          <w:b w:val="1"/>
          <w:bCs w:val="1"/>
          <w:color w:val="auto"/>
        </w:rPr>
        <w:t xml:space="preserve"> SHAREHOLDERS’ EQUITY</w:t>
      </w:r>
    </w:p>
    <w:p>
      <w:pPr>
        <w:spacing w:after="0" w:line="207" w:lineRule="exact"/>
        <w:rPr>
          <w:sz w:val="20"/>
          <w:szCs w:val="20"/>
          <w:color w:val="auto"/>
        </w:rPr>
      </w:pPr>
    </w:p>
    <w:p>
      <w:pPr>
        <w:ind w:left="360"/>
        <w:spacing w:after="0"/>
        <w:tabs>
          <w:tab w:leader="none" w:pos="960" w:val="left"/>
        </w:tabs>
        <w:rPr>
          <w:sz w:val="20"/>
          <w:szCs w:val="20"/>
          <w:color w:val="auto"/>
        </w:rPr>
      </w:pPr>
      <w:r>
        <w:rPr>
          <w:rFonts w:ascii="Times New Roman" w:cs="Times New Roman" w:eastAsia="Times New Roman" w:hAnsi="Times New Roman"/>
          <w:sz w:val="20"/>
          <w:szCs w:val="20"/>
          <w:b w:val="1"/>
          <w:bCs w:val="1"/>
          <w:i w:val="1"/>
          <w:iCs w:val="1"/>
          <w:color w:val="auto"/>
        </w:rPr>
        <w:t>18-1</w:t>
        <w:tab/>
        <w:t>Common stock</w:t>
      </w:r>
    </w:p>
    <w:p>
      <w:pPr>
        <w:spacing w:after="0" w:line="198" w:lineRule="exact"/>
        <w:rPr>
          <w:sz w:val="20"/>
          <w:szCs w:val="20"/>
          <w:color w:val="auto"/>
        </w:rPr>
      </w:pPr>
    </w:p>
    <w:p>
      <w:pPr>
        <w:jc w:val="both"/>
        <w:ind w:firstLine="720"/>
        <w:spacing w:after="0" w:line="279" w:lineRule="auto"/>
        <w:rPr>
          <w:sz w:val="20"/>
          <w:szCs w:val="20"/>
          <w:color w:val="auto"/>
        </w:rPr>
      </w:pPr>
      <w:r>
        <w:rPr>
          <w:rFonts w:ascii="Times New Roman" w:cs="Times New Roman" w:eastAsia="Times New Roman" w:hAnsi="Times New Roman"/>
          <w:sz w:val="20"/>
          <w:szCs w:val="20"/>
          <w:color w:val="auto"/>
        </w:rPr>
        <w:t>As of December 31, 2025, EDAP TMS S.A.’s common stock consisted of 37,751,519 issued shares fully paid and with a par value of $0.15 or €0.13 as they are set in euros, each. 37,481,986 of the shares were outstanding.</w:t>
      </w:r>
    </w:p>
    <w:p>
      <w:pPr>
        <w:spacing w:after="0" w:line="127" w:lineRule="exact"/>
        <w:rPr>
          <w:sz w:val="20"/>
          <w:szCs w:val="20"/>
          <w:color w:val="auto"/>
        </w:rPr>
      </w:pPr>
    </w:p>
    <w:p>
      <w:pPr>
        <w:ind w:left="360"/>
        <w:spacing w:after="0"/>
        <w:tabs>
          <w:tab w:leader="none" w:pos="960" w:val="left"/>
        </w:tabs>
        <w:rPr>
          <w:sz w:val="20"/>
          <w:szCs w:val="20"/>
          <w:color w:val="auto"/>
        </w:rPr>
      </w:pPr>
      <w:r>
        <w:rPr>
          <w:rFonts w:ascii="Times New Roman" w:cs="Times New Roman" w:eastAsia="Times New Roman" w:hAnsi="Times New Roman"/>
          <w:sz w:val="20"/>
          <w:szCs w:val="20"/>
          <w:b w:val="1"/>
          <w:bCs w:val="1"/>
          <w:i w:val="1"/>
          <w:iCs w:val="1"/>
          <w:color w:val="auto"/>
        </w:rPr>
        <w:t>18-2</w:t>
        <w:tab/>
        <w:t>Pre-emptive subscription rights</w:t>
      </w:r>
    </w:p>
    <w:p>
      <w:pPr>
        <w:spacing w:after="0" w:line="198"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 xml:space="preserve">Shareholders have preemptive rights to subscribe on a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basis for additional shares issued by the Company for cash. Shareholders may waive such preemptive subscription rights at an extraordinary general meeting of shareholders under certain circumstances. Preemptive subscription rights, if not previously waived, are transferable during the subscription period relating to a particular offer of shares.</w:t>
      </w:r>
    </w:p>
    <w:p>
      <w:pPr>
        <w:spacing w:after="0" w:line="157" w:lineRule="exact"/>
        <w:rPr>
          <w:sz w:val="20"/>
          <w:szCs w:val="20"/>
          <w:color w:val="auto"/>
        </w:rPr>
      </w:pPr>
    </w:p>
    <w:p>
      <w:pPr>
        <w:ind w:left="360"/>
        <w:spacing w:after="0"/>
        <w:tabs>
          <w:tab w:leader="none" w:pos="960" w:val="left"/>
        </w:tabs>
        <w:rPr>
          <w:sz w:val="20"/>
          <w:szCs w:val="20"/>
          <w:color w:val="auto"/>
        </w:rPr>
      </w:pPr>
      <w:r>
        <w:rPr>
          <w:rFonts w:ascii="Times New Roman" w:cs="Times New Roman" w:eastAsia="Times New Roman" w:hAnsi="Times New Roman"/>
          <w:sz w:val="20"/>
          <w:szCs w:val="20"/>
          <w:b w:val="1"/>
          <w:bCs w:val="1"/>
          <w:i w:val="1"/>
          <w:iCs w:val="1"/>
          <w:color w:val="auto"/>
        </w:rPr>
        <w:t>18-3</w:t>
        <w:tab/>
        <w:t>Dividend rights</w:t>
      </w:r>
    </w:p>
    <w:p>
      <w:pPr>
        <w:spacing w:after="0" w:line="198"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Dividends may be distributed from the statutory retained earnings, subject to the requirements of French law and the Company’s by-laws. The Company has not distributed any dividends since its inception as the result of an accumulated statutory deficit of $22,574 thousand. Dividend distributions, if any, will be made in euros. The Company has no plans to distribute dividends in the foreseeable future.</w:t>
      </w:r>
    </w:p>
    <w:p>
      <w:pPr>
        <w:sectPr>
          <w:pgSz w:w="11900" w:h="16838" w:orient="portrait"/>
          <w:cols w:equalWidth="0" w:num="1">
            <w:col w:w="9380"/>
          </w:cols>
          <w:pgMar w:left="1260" w:top="838" w:right="1266" w:bottom="72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F-35</w:t>
      </w:r>
    </w:p>
    <w:p>
      <w:pPr>
        <w:sectPr>
          <w:pgSz w:w="11900" w:h="16838" w:orient="portrait"/>
          <w:cols w:equalWidth="0" w:num="1">
            <w:col w:w="9380"/>
          </w:cols>
          <w:pgMar w:left="1260" w:top="838" w:right="1266" w:bottom="723" w:gutter="0" w:footer="0" w:header="0"/>
          <w:type w:val="continuous"/>
        </w:sectPr>
      </w:pPr>
    </w:p>
    <w:bookmarkStart w:id="90" w:name="page91"/>
    <w:bookmarkEnd w:id="90"/>
    <w:p>
      <w:pPr>
        <w:ind w:left="3180"/>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795655</wp:posOffset>
            </wp:positionH>
            <wp:positionV relativeFrom="page">
              <wp:posOffset>292735</wp:posOffset>
            </wp:positionV>
            <wp:extent cx="929005" cy="1149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117">
                      <a:extLst>
                        <a:ext uri="{28A0092B-C50C-407E-A947-70E740481C1C}"/>
                      </a:extLst>
                    </a:blip>
                    <a:srcRect/>
                    <a:stretch>
                      <a:fillRect/>
                    </a:stretch>
                  </pic:blipFill>
                  <pic:spPr bwMode="auto">
                    <a:xfrm>
                      <a:off x="0" y="0"/>
                      <a:ext cx="929005" cy="114935"/>
                    </a:xfrm>
                    <a:prstGeom prst="rect">
                      <a:avLst/>
                    </a:prstGeom>
                    <a:noFill/>
                  </pic:spPr>
                </pic:pic>
              </a:graphicData>
            </a:graphic>
          </wp:anchor>
        </w:drawing>
        <w:t>EDAP TMS S.A. AND SUBSIDIARIES</w:t>
      </w:r>
    </w:p>
    <w:p>
      <w:pPr>
        <w:ind w:left="2760"/>
        <w:spacing w:after="0"/>
        <w:rPr>
          <w:sz w:val="20"/>
          <w:szCs w:val="20"/>
          <w:color w:val="auto"/>
        </w:rPr>
      </w:pPr>
      <w:r>
        <w:rPr>
          <w:rFonts w:ascii="Times New Roman" w:cs="Times New Roman" w:eastAsia="Times New Roman" w:hAnsi="Times New Roman"/>
          <w:sz w:val="20"/>
          <w:szCs w:val="20"/>
          <w:b w:val="1"/>
          <w:bCs w:val="1"/>
          <w:color w:val="auto"/>
        </w:rPr>
        <w:t>CONSOLIDATED FINANCIAL STATEMENTS</w:t>
      </w:r>
    </w:p>
    <w:p>
      <w:pPr>
        <w:ind w:left="1500"/>
        <w:spacing w:after="0"/>
        <w:rPr>
          <w:sz w:val="20"/>
          <w:szCs w:val="20"/>
          <w:color w:val="auto"/>
        </w:rPr>
      </w:pPr>
      <w:r>
        <w:rPr>
          <w:rFonts w:ascii="Times New Roman" w:cs="Times New Roman" w:eastAsia="Times New Roman" w:hAnsi="Times New Roman"/>
          <w:sz w:val="20"/>
          <w:szCs w:val="20"/>
          <w:b w:val="1"/>
          <w:bCs w:val="1"/>
          <w:color w:val="auto"/>
        </w:rPr>
        <w:t>(In thousands of U.S. dollars unless otherwise noted, except per share data)</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60"/>
        <w:spacing w:after="0"/>
        <w:tabs>
          <w:tab w:leader="none" w:pos="960" w:val="left"/>
        </w:tabs>
        <w:rPr>
          <w:sz w:val="20"/>
          <w:szCs w:val="20"/>
          <w:color w:val="auto"/>
        </w:rPr>
      </w:pPr>
      <w:r>
        <w:rPr>
          <w:rFonts w:ascii="Times New Roman" w:cs="Times New Roman" w:eastAsia="Times New Roman" w:hAnsi="Times New Roman"/>
          <w:sz w:val="20"/>
          <w:szCs w:val="20"/>
          <w:b w:val="1"/>
          <w:bCs w:val="1"/>
          <w:i w:val="1"/>
          <w:iCs w:val="1"/>
          <w:color w:val="auto"/>
        </w:rPr>
        <w:t>18-4</w:t>
        <w:tab/>
        <w:t>Treasury stock</w:t>
      </w:r>
    </w:p>
    <w:p>
      <w:pPr>
        <w:spacing w:after="0" w:line="198"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As of December 31, 2025, all 269,533 shares held as treasury stock consisted of (i), 89,243 shares acquired between August and December 1998 and (ii) 180,290 shares acquired in June and July 2001 for a total of $693 thousand. All treasury stocks have been acquired to cover stock purchase options (see Note 18-5).</w:t>
      </w:r>
    </w:p>
    <w:p>
      <w:pPr>
        <w:spacing w:after="0" w:line="151" w:lineRule="exact"/>
        <w:rPr>
          <w:sz w:val="20"/>
          <w:szCs w:val="20"/>
          <w:color w:val="auto"/>
        </w:rPr>
      </w:pPr>
    </w:p>
    <w:p>
      <w:pPr>
        <w:ind w:left="360"/>
        <w:spacing w:after="0"/>
        <w:tabs>
          <w:tab w:leader="none" w:pos="960" w:val="left"/>
        </w:tabs>
        <w:rPr>
          <w:sz w:val="20"/>
          <w:szCs w:val="20"/>
          <w:color w:val="auto"/>
        </w:rPr>
      </w:pPr>
      <w:r>
        <w:rPr>
          <w:rFonts w:ascii="Times New Roman" w:cs="Times New Roman" w:eastAsia="Times New Roman" w:hAnsi="Times New Roman"/>
          <w:sz w:val="20"/>
          <w:szCs w:val="20"/>
          <w:b w:val="1"/>
          <w:bCs w:val="1"/>
          <w:i w:val="1"/>
          <w:iCs w:val="1"/>
          <w:color w:val="auto"/>
        </w:rPr>
        <w:t>18-5</w:t>
        <w:tab/>
        <w:t>Stock-option and free share plans</w:t>
      </w:r>
    </w:p>
    <w:p>
      <w:pPr>
        <w:spacing w:after="0" w:line="19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u w:val="single" w:color="auto"/>
          <w:color w:val="auto"/>
        </w:rPr>
        <w:t>18-5-1 Stock Option Plans</w:t>
      </w:r>
    </w:p>
    <w:p>
      <w:pPr>
        <w:spacing w:after="0" w:line="199" w:lineRule="exact"/>
        <w:rPr>
          <w:sz w:val="20"/>
          <w:szCs w:val="20"/>
          <w:color w:val="auto"/>
        </w:rPr>
      </w:pPr>
    </w:p>
    <w:p>
      <w:pPr>
        <w:jc w:val="both"/>
        <w:ind w:firstLine="720"/>
        <w:spacing w:after="0" w:line="279" w:lineRule="auto"/>
        <w:rPr>
          <w:sz w:val="20"/>
          <w:szCs w:val="20"/>
          <w:color w:val="auto"/>
        </w:rPr>
      </w:pPr>
      <w:r>
        <w:rPr>
          <w:rFonts w:ascii="Times New Roman" w:cs="Times New Roman" w:eastAsia="Times New Roman" w:hAnsi="Times New Roman"/>
          <w:sz w:val="20"/>
          <w:szCs w:val="20"/>
          <w:color w:val="auto"/>
        </w:rPr>
        <w:t>As of December 31, 2025, EDAP TMS S.A. sponsored five stock purchase and subscription option plans open to employees of EDAP TMS group:</w:t>
      </w:r>
    </w:p>
    <w:p>
      <w:pPr>
        <w:spacing w:after="0" w:line="125" w:lineRule="exact"/>
        <w:rPr>
          <w:sz w:val="20"/>
          <w:szCs w:val="20"/>
          <w:color w:val="auto"/>
        </w:rPr>
      </w:pPr>
    </w:p>
    <w:p>
      <w:pPr>
        <w:jc w:val="both"/>
        <w:ind w:firstLine="720"/>
        <w:spacing w:after="0" w:line="279" w:lineRule="auto"/>
        <w:rPr>
          <w:sz w:val="20"/>
          <w:szCs w:val="20"/>
          <w:color w:val="auto"/>
        </w:rPr>
      </w:pPr>
      <w:r>
        <w:rPr>
          <w:rFonts w:ascii="Times New Roman" w:cs="Times New Roman" w:eastAsia="Times New Roman" w:hAnsi="Times New Roman"/>
          <w:sz w:val="20"/>
          <w:szCs w:val="20"/>
          <w:color w:val="auto"/>
        </w:rPr>
        <w:t>On February 18, 2016, the shareholders authorized the Board of Directors to grant up to 1,000,000 options to subscribe to 1,000,000 new shares at a fixed price to be set by the Board of Directors.</w:t>
      </w:r>
    </w:p>
    <w:p>
      <w:pPr>
        <w:spacing w:after="0" w:line="125" w:lineRule="exact"/>
        <w:rPr>
          <w:sz w:val="20"/>
          <w:szCs w:val="20"/>
          <w:color w:val="auto"/>
        </w:rPr>
      </w:pPr>
    </w:p>
    <w:p>
      <w:pPr>
        <w:jc w:val="both"/>
        <w:ind w:firstLine="720"/>
        <w:spacing w:after="0" w:line="279" w:lineRule="auto"/>
        <w:rPr>
          <w:sz w:val="20"/>
          <w:szCs w:val="20"/>
          <w:color w:val="auto"/>
        </w:rPr>
      </w:pPr>
      <w:r>
        <w:rPr>
          <w:rFonts w:ascii="Times New Roman" w:cs="Times New Roman" w:eastAsia="Times New Roman" w:hAnsi="Times New Roman"/>
          <w:sz w:val="20"/>
          <w:szCs w:val="20"/>
          <w:color w:val="auto"/>
        </w:rPr>
        <w:t>Conforming this February 18, 2016 stock option plan, the Board of Directors granted options to subscribe to new shares to certain employees as follows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7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960" w:type="dxa"/>
            <w:vAlign w:val="bottom"/>
          </w:tcPr>
          <w:p>
            <w:pPr>
              <w:jc w:val="right"/>
              <w:ind w:right="107"/>
              <w:spacing w:after="0"/>
              <w:rPr>
                <w:sz w:val="20"/>
                <w:szCs w:val="20"/>
                <w:color w:val="auto"/>
              </w:rPr>
            </w:pPr>
            <w:r>
              <w:rPr>
                <w:rFonts w:ascii="Times New Roman" w:cs="Times New Roman" w:eastAsia="Times New Roman" w:hAnsi="Times New Roman"/>
                <w:sz w:val="16"/>
                <w:szCs w:val="16"/>
                <w:b w:val="1"/>
                <w:bCs w:val="1"/>
                <w:color w:val="auto"/>
              </w:rPr>
              <w:t>Exercise</w:t>
            </w:r>
          </w:p>
        </w:tc>
        <w:tc>
          <w:tcPr>
            <w:tcW w:w="2840" w:type="dxa"/>
            <w:vAlign w:val="bottom"/>
          </w:tcPr>
          <w:p>
            <w:pPr>
              <w:spacing w:after="0"/>
              <w:rPr>
                <w:sz w:val="16"/>
                <w:szCs w:val="16"/>
                <w:color w:val="auto"/>
              </w:rPr>
            </w:pPr>
          </w:p>
        </w:tc>
        <w:tc>
          <w:tcPr>
            <w:tcW w:w="27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Contractual Fair Value at Grant Date</w:t>
            </w:r>
          </w:p>
        </w:tc>
      </w:tr>
      <w:tr>
        <w:trPr>
          <w:trHeight w:val="212"/>
        </w:trPr>
        <w:tc>
          <w:tcPr>
            <w:tcW w:w="172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6"/>
                <w:szCs w:val="16"/>
                <w:b w:val="1"/>
                <w:bCs w:val="1"/>
                <w:color w:val="auto"/>
              </w:rPr>
              <w:t>Grant Date</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Options Granted</w:t>
            </w:r>
          </w:p>
        </w:tc>
        <w:tc>
          <w:tcPr>
            <w:tcW w:w="960" w:type="dxa"/>
            <w:vAlign w:val="bottom"/>
            <w:tcBorders>
              <w:bottom w:val="single" w:sz="8" w:color="auto"/>
            </w:tcBorders>
          </w:tcPr>
          <w:p>
            <w:pPr>
              <w:jc w:val="right"/>
              <w:ind w:right="87"/>
              <w:spacing w:after="0"/>
              <w:rPr>
                <w:sz w:val="20"/>
                <w:szCs w:val="20"/>
                <w:color w:val="auto"/>
              </w:rPr>
            </w:pPr>
            <w:r>
              <w:rPr>
                <w:rFonts w:ascii="Times New Roman" w:cs="Times New Roman" w:eastAsia="Times New Roman" w:hAnsi="Times New Roman"/>
                <w:sz w:val="16"/>
                <w:szCs w:val="16"/>
                <w:b w:val="1"/>
                <w:bCs w:val="1"/>
                <w:color w:val="auto"/>
              </w:rPr>
              <w:t>Price ($)</w:t>
            </w:r>
          </w:p>
        </w:tc>
        <w:tc>
          <w:tcPr>
            <w:tcW w:w="284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6"/>
                <w:szCs w:val="16"/>
                <w:b w:val="1"/>
                <w:bCs w:val="1"/>
                <w:color w:val="auto"/>
              </w:rPr>
              <w:t>Vesting Terms</w:t>
            </w:r>
          </w:p>
        </w:tc>
        <w:tc>
          <w:tcPr>
            <w:tcW w:w="9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6"/>
                <w:szCs w:val="16"/>
                <w:b w:val="1"/>
                <w:bCs w:val="1"/>
                <w:color w:val="auto"/>
              </w:rPr>
              <w:t>Term</w:t>
            </w:r>
          </w:p>
        </w:tc>
        <w:tc>
          <w:tcPr>
            <w:tcW w:w="1780" w:type="dxa"/>
            <w:vAlign w:val="bottom"/>
            <w:tcBorders>
              <w:bottom w:val="single" w:sz="8" w:color="auto"/>
            </w:tcBorders>
          </w:tcPr>
          <w:p>
            <w:pPr>
              <w:jc w:val="right"/>
              <w:ind w:right="184"/>
              <w:spacing w:after="0" w:line="204" w:lineRule="exact"/>
              <w:rPr>
                <w:sz w:val="20"/>
                <w:szCs w:val="20"/>
                <w:color w:val="auto"/>
              </w:rPr>
            </w:pPr>
            <w:r>
              <w:rPr>
                <w:rFonts w:ascii="Times New Roman" w:cs="Times New Roman" w:eastAsia="Times New Roman" w:hAnsi="Times New Roman"/>
                <w:sz w:val="16"/>
                <w:szCs w:val="16"/>
                <w:b w:val="1"/>
                <w:bCs w:val="1"/>
                <w:color w:val="auto"/>
              </w:rPr>
              <w:t>($ in thousands)</w:t>
            </w:r>
            <w:r>
              <w:rPr>
                <w:rFonts w:ascii="Times New Roman" w:cs="Times New Roman" w:eastAsia="Times New Roman" w:hAnsi="Times New Roman"/>
                <w:sz w:val="20"/>
                <w:szCs w:val="20"/>
                <w:b w:val="1"/>
                <w:bCs w:val="1"/>
                <w:color w:val="auto"/>
                <w:vertAlign w:val="superscript"/>
              </w:rPr>
              <w:t>(1)</w:t>
            </w:r>
          </w:p>
        </w:tc>
      </w:tr>
      <w:tr>
        <w:trPr>
          <w:trHeight w:val="210"/>
        </w:trPr>
        <w:tc>
          <w:tcPr>
            <w:tcW w:w="1720" w:type="dxa"/>
            <w:vAlign w:val="bottom"/>
            <w:shd w:val="clear" w:color="auto" w:fill="CCEEFF"/>
          </w:tcPr>
          <w:p>
            <w:pPr>
              <w:spacing w:after="0" w:line="210" w:lineRule="exact"/>
              <w:rPr>
                <w:sz w:val="20"/>
                <w:szCs w:val="20"/>
                <w:color w:val="auto"/>
              </w:rPr>
            </w:pPr>
            <w:r>
              <w:rPr>
                <w:rFonts w:ascii="Times New Roman" w:cs="Times New Roman" w:eastAsia="Times New Roman" w:hAnsi="Times New Roman"/>
                <w:sz w:val="20"/>
                <w:szCs w:val="20"/>
                <w:color w:val="auto"/>
              </w:rPr>
              <w:t>April 26, 2016</w:t>
            </w:r>
          </w:p>
        </w:tc>
        <w:tc>
          <w:tcPr>
            <w:tcW w:w="1160" w:type="dxa"/>
            <w:vAlign w:val="bottom"/>
            <w:shd w:val="clear" w:color="auto" w:fill="CCEEFF"/>
          </w:tcPr>
          <w:p>
            <w:pPr>
              <w:jc w:val="right"/>
              <w:spacing w:after="0" w:line="210" w:lineRule="exact"/>
              <w:rPr>
                <w:sz w:val="20"/>
                <w:szCs w:val="20"/>
                <w:color w:val="auto"/>
              </w:rPr>
            </w:pPr>
            <w:r>
              <w:rPr>
                <w:rFonts w:ascii="Times New Roman" w:cs="Times New Roman" w:eastAsia="Times New Roman" w:hAnsi="Times New Roman"/>
                <w:sz w:val="20"/>
                <w:szCs w:val="20"/>
                <w:color w:val="auto"/>
              </w:rPr>
              <w:t>575,000</w:t>
            </w:r>
          </w:p>
        </w:tc>
        <w:tc>
          <w:tcPr>
            <w:tcW w:w="960" w:type="dxa"/>
            <w:vAlign w:val="bottom"/>
            <w:shd w:val="clear" w:color="auto" w:fill="CCEEFF"/>
          </w:tcPr>
          <w:p>
            <w:pPr>
              <w:jc w:val="right"/>
              <w:spacing w:after="0" w:line="210" w:lineRule="exact"/>
              <w:rPr>
                <w:sz w:val="20"/>
                <w:szCs w:val="20"/>
                <w:color w:val="auto"/>
              </w:rPr>
            </w:pPr>
            <w:r>
              <w:rPr>
                <w:rFonts w:ascii="Times New Roman" w:cs="Times New Roman" w:eastAsia="Times New Roman" w:hAnsi="Times New Roman"/>
                <w:sz w:val="20"/>
                <w:szCs w:val="20"/>
                <w:color w:val="auto"/>
              </w:rPr>
              <w:t>3.64</w:t>
            </w:r>
          </w:p>
        </w:tc>
        <w:tc>
          <w:tcPr>
            <w:tcW w:w="2840" w:type="dxa"/>
            <w:vAlign w:val="bottom"/>
            <w:shd w:val="clear" w:color="auto" w:fill="CCEEFF"/>
          </w:tcPr>
          <w:p>
            <w:pPr>
              <w:spacing w:after="0" w:line="210" w:lineRule="exact"/>
              <w:rPr>
                <w:sz w:val="20"/>
                <w:szCs w:val="20"/>
                <w:color w:val="auto"/>
              </w:rPr>
            </w:pPr>
            <w:r>
              <w:rPr>
                <w:rFonts w:ascii="Times New Roman" w:cs="Times New Roman" w:eastAsia="Times New Roman" w:hAnsi="Times New Roman"/>
                <w:sz w:val="20"/>
                <w:szCs w:val="20"/>
                <w:color w:val="auto"/>
              </w:rPr>
              <w:t>Vest ratably over four years</w:t>
            </w:r>
          </w:p>
        </w:tc>
        <w:tc>
          <w:tcPr>
            <w:tcW w:w="920" w:type="dxa"/>
            <w:vAlign w:val="bottom"/>
            <w:shd w:val="clear" w:color="auto" w:fill="CCEEFF"/>
          </w:tcPr>
          <w:p>
            <w:pPr>
              <w:ind w:left="180"/>
              <w:spacing w:after="0" w:line="210" w:lineRule="exact"/>
              <w:rPr>
                <w:sz w:val="20"/>
                <w:szCs w:val="20"/>
                <w:color w:val="auto"/>
              </w:rPr>
            </w:pPr>
            <w:r>
              <w:rPr>
                <w:rFonts w:ascii="Times New Roman" w:cs="Times New Roman" w:eastAsia="Times New Roman" w:hAnsi="Times New Roman"/>
                <w:sz w:val="20"/>
                <w:szCs w:val="20"/>
                <w:color w:val="auto"/>
              </w:rPr>
              <w:t>10 years</w:t>
            </w:r>
          </w:p>
        </w:tc>
        <w:tc>
          <w:tcPr>
            <w:tcW w:w="1780" w:type="dxa"/>
            <w:vAlign w:val="bottom"/>
            <w:shd w:val="clear" w:color="auto" w:fill="CCEEFF"/>
          </w:tcPr>
          <w:p>
            <w:pPr>
              <w:jc w:val="right"/>
              <w:spacing w:after="0" w:line="210" w:lineRule="exact"/>
              <w:rPr>
                <w:sz w:val="20"/>
                <w:szCs w:val="20"/>
                <w:color w:val="auto"/>
              </w:rPr>
            </w:pPr>
            <w:r>
              <w:rPr>
                <w:rFonts w:ascii="Times New Roman" w:cs="Times New Roman" w:eastAsia="Times New Roman" w:hAnsi="Times New Roman"/>
                <w:sz w:val="20"/>
                <w:szCs w:val="20"/>
                <w:color w:val="auto"/>
              </w:rPr>
              <w:t>1,083</w:t>
            </w:r>
          </w:p>
        </w:tc>
      </w:tr>
      <w:tr>
        <w:trPr>
          <w:trHeight w:val="230"/>
        </w:trPr>
        <w:tc>
          <w:tcPr>
            <w:tcW w:w="17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w w:val="99"/>
                <w:shd w:val="clear" w:color="auto" w:fill="CCEEFF"/>
              </w:rPr>
              <w:t>beginning one year after the date of</w:t>
            </w:r>
          </w:p>
        </w:tc>
        <w:tc>
          <w:tcPr>
            <w:tcW w:w="92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r>
      <w:tr>
        <w:trPr>
          <w:trHeight w:val="250"/>
        </w:trPr>
        <w:tc>
          <w:tcPr>
            <w:tcW w:w="17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grant</w:t>
            </w:r>
          </w:p>
        </w:tc>
        <w:tc>
          <w:tcPr>
            <w:tcW w:w="920" w:type="dxa"/>
            <w:vAlign w:val="bottom"/>
            <w:shd w:val="clear" w:color="auto" w:fill="CCEEFF"/>
          </w:tcPr>
          <w:p>
            <w:pPr>
              <w:spacing w:after="0"/>
              <w:rPr>
                <w:sz w:val="21"/>
                <w:szCs w:val="21"/>
                <w:color w:val="auto"/>
              </w:rPr>
            </w:pPr>
          </w:p>
        </w:tc>
        <w:tc>
          <w:tcPr>
            <w:tcW w:w="1780" w:type="dxa"/>
            <w:vAlign w:val="bottom"/>
            <w:shd w:val="clear" w:color="auto" w:fill="CCEEFF"/>
          </w:tcPr>
          <w:p>
            <w:pPr>
              <w:spacing w:after="0"/>
              <w:rPr>
                <w:sz w:val="21"/>
                <w:szCs w:val="21"/>
                <w:color w:val="auto"/>
              </w:rPr>
            </w:pPr>
          </w:p>
        </w:tc>
      </w:tr>
      <w:tr>
        <w:trPr>
          <w:trHeight w:val="210"/>
        </w:trPr>
        <w:tc>
          <w:tcPr>
            <w:tcW w:w="1720" w:type="dxa"/>
            <w:vAlign w:val="bottom"/>
          </w:tcPr>
          <w:p>
            <w:pPr>
              <w:spacing w:after="0" w:line="210" w:lineRule="exact"/>
              <w:rPr>
                <w:sz w:val="20"/>
                <w:szCs w:val="20"/>
                <w:color w:val="auto"/>
              </w:rPr>
            </w:pPr>
            <w:r>
              <w:rPr>
                <w:rFonts w:ascii="Times New Roman" w:cs="Times New Roman" w:eastAsia="Times New Roman" w:hAnsi="Times New Roman"/>
                <w:sz w:val="20"/>
                <w:szCs w:val="20"/>
                <w:color w:val="auto"/>
              </w:rPr>
              <w:t>April 25, 2017</w:t>
            </w:r>
          </w:p>
        </w:tc>
        <w:tc>
          <w:tcPr>
            <w:tcW w:w="1160" w:type="dxa"/>
            <w:vAlign w:val="bottom"/>
          </w:tcPr>
          <w:p>
            <w:pPr>
              <w:jc w:val="right"/>
              <w:spacing w:after="0" w:line="210" w:lineRule="exact"/>
              <w:rPr>
                <w:sz w:val="20"/>
                <w:szCs w:val="20"/>
                <w:color w:val="auto"/>
              </w:rPr>
            </w:pPr>
            <w:r>
              <w:rPr>
                <w:rFonts w:ascii="Times New Roman" w:cs="Times New Roman" w:eastAsia="Times New Roman" w:hAnsi="Times New Roman"/>
                <w:sz w:val="20"/>
                <w:szCs w:val="20"/>
                <w:color w:val="auto"/>
              </w:rPr>
              <w:t>260,000</w:t>
            </w:r>
          </w:p>
        </w:tc>
        <w:tc>
          <w:tcPr>
            <w:tcW w:w="960" w:type="dxa"/>
            <w:vAlign w:val="bottom"/>
          </w:tcPr>
          <w:p>
            <w:pPr>
              <w:jc w:val="right"/>
              <w:spacing w:after="0" w:line="210" w:lineRule="exact"/>
              <w:rPr>
                <w:sz w:val="20"/>
                <w:szCs w:val="20"/>
                <w:color w:val="auto"/>
              </w:rPr>
            </w:pPr>
            <w:r>
              <w:rPr>
                <w:rFonts w:ascii="Times New Roman" w:cs="Times New Roman" w:eastAsia="Times New Roman" w:hAnsi="Times New Roman"/>
                <w:sz w:val="20"/>
                <w:szCs w:val="20"/>
                <w:color w:val="auto"/>
              </w:rPr>
              <w:t>2.59</w:t>
            </w:r>
          </w:p>
        </w:tc>
        <w:tc>
          <w:tcPr>
            <w:tcW w:w="2840" w:type="dxa"/>
            <w:vAlign w:val="bottom"/>
          </w:tcPr>
          <w:p>
            <w:pPr>
              <w:spacing w:after="0" w:line="210" w:lineRule="exact"/>
              <w:rPr>
                <w:sz w:val="20"/>
                <w:szCs w:val="20"/>
                <w:color w:val="auto"/>
              </w:rPr>
            </w:pPr>
            <w:r>
              <w:rPr>
                <w:rFonts w:ascii="Times New Roman" w:cs="Times New Roman" w:eastAsia="Times New Roman" w:hAnsi="Times New Roman"/>
                <w:sz w:val="20"/>
                <w:szCs w:val="20"/>
                <w:color w:val="auto"/>
              </w:rPr>
              <w:t>Vest ratably over four years</w:t>
            </w:r>
          </w:p>
        </w:tc>
        <w:tc>
          <w:tcPr>
            <w:tcW w:w="920" w:type="dxa"/>
            <w:vAlign w:val="bottom"/>
          </w:tcPr>
          <w:p>
            <w:pPr>
              <w:ind w:left="180"/>
              <w:spacing w:after="0" w:line="210" w:lineRule="exact"/>
              <w:rPr>
                <w:sz w:val="20"/>
                <w:szCs w:val="20"/>
                <w:color w:val="auto"/>
              </w:rPr>
            </w:pPr>
            <w:r>
              <w:rPr>
                <w:rFonts w:ascii="Times New Roman" w:cs="Times New Roman" w:eastAsia="Times New Roman" w:hAnsi="Times New Roman"/>
                <w:sz w:val="20"/>
                <w:szCs w:val="20"/>
                <w:color w:val="auto"/>
              </w:rPr>
              <w:t>10 years</w:t>
            </w:r>
          </w:p>
        </w:tc>
        <w:tc>
          <w:tcPr>
            <w:tcW w:w="1780" w:type="dxa"/>
            <w:vAlign w:val="bottom"/>
          </w:tcPr>
          <w:p>
            <w:pPr>
              <w:jc w:val="right"/>
              <w:spacing w:after="0" w:line="210" w:lineRule="exact"/>
              <w:rPr>
                <w:sz w:val="20"/>
                <w:szCs w:val="20"/>
                <w:color w:val="auto"/>
              </w:rPr>
            </w:pPr>
            <w:r>
              <w:rPr>
                <w:rFonts w:ascii="Times New Roman" w:cs="Times New Roman" w:eastAsia="Times New Roman" w:hAnsi="Times New Roman"/>
                <w:sz w:val="20"/>
                <w:szCs w:val="20"/>
                <w:color w:val="auto"/>
              </w:rPr>
              <w:t>363</w:t>
            </w:r>
          </w:p>
        </w:tc>
      </w:tr>
      <w:tr>
        <w:trPr>
          <w:trHeight w:val="230"/>
        </w:trPr>
        <w:tc>
          <w:tcPr>
            <w:tcW w:w="17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40" w:type="dxa"/>
            <w:vAlign w:val="bottom"/>
          </w:tcPr>
          <w:p>
            <w:pPr>
              <w:spacing w:after="0"/>
              <w:rPr>
                <w:sz w:val="20"/>
                <w:szCs w:val="20"/>
                <w:color w:val="auto"/>
              </w:rPr>
            </w:pPr>
            <w:r>
              <w:rPr>
                <w:rFonts w:ascii="Times New Roman" w:cs="Times New Roman" w:eastAsia="Times New Roman" w:hAnsi="Times New Roman"/>
                <w:sz w:val="20"/>
                <w:szCs w:val="20"/>
                <w:color w:val="auto"/>
                <w:w w:val="99"/>
              </w:rPr>
              <w:t>beginning one year after the date of</w:t>
            </w:r>
          </w:p>
        </w:tc>
        <w:tc>
          <w:tcPr>
            <w:tcW w:w="92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250"/>
        </w:trPr>
        <w:tc>
          <w:tcPr>
            <w:tcW w:w="17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40" w:type="dxa"/>
            <w:vAlign w:val="bottom"/>
          </w:tcPr>
          <w:p>
            <w:pPr>
              <w:spacing w:after="0"/>
              <w:rPr>
                <w:sz w:val="20"/>
                <w:szCs w:val="20"/>
                <w:color w:val="auto"/>
              </w:rPr>
            </w:pPr>
            <w:r>
              <w:rPr>
                <w:rFonts w:ascii="Times New Roman" w:cs="Times New Roman" w:eastAsia="Times New Roman" w:hAnsi="Times New Roman"/>
                <w:sz w:val="20"/>
                <w:szCs w:val="20"/>
                <w:color w:val="auto"/>
              </w:rPr>
              <w:t>grant</w:t>
            </w:r>
          </w:p>
        </w:tc>
        <w:tc>
          <w:tcPr>
            <w:tcW w:w="920" w:type="dxa"/>
            <w:vAlign w:val="bottom"/>
          </w:tcPr>
          <w:p>
            <w:pPr>
              <w:spacing w:after="0"/>
              <w:rPr>
                <w:sz w:val="21"/>
                <w:szCs w:val="21"/>
                <w:color w:val="auto"/>
              </w:rPr>
            </w:pPr>
          </w:p>
        </w:tc>
        <w:tc>
          <w:tcPr>
            <w:tcW w:w="1780" w:type="dxa"/>
            <w:vAlign w:val="bottom"/>
          </w:tcPr>
          <w:p>
            <w:pPr>
              <w:spacing w:after="0"/>
              <w:rPr>
                <w:sz w:val="21"/>
                <w:szCs w:val="21"/>
                <w:color w:val="auto"/>
              </w:rPr>
            </w:pPr>
          </w:p>
        </w:tc>
      </w:tr>
      <w:tr>
        <w:trPr>
          <w:trHeight w:val="210"/>
        </w:trPr>
        <w:tc>
          <w:tcPr>
            <w:tcW w:w="1720" w:type="dxa"/>
            <w:vAlign w:val="bottom"/>
            <w:shd w:val="clear" w:color="auto" w:fill="CCEEFF"/>
          </w:tcPr>
          <w:p>
            <w:pPr>
              <w:spacing w:after="0" w:line="210" w:lineRule="exact"/>
              <w:rPr>
                <w:sz w:val="20"/>
                <w:szCs w:val="20"/>
                <w:color w:val="auto"/>
              </w:rPr>
            </w:pPr>
            <w:r>
              <w:rPr>
                <w:rFonts w:ascii="Times New Roman" w:cs="Times New Roman" w:eastAsia="Times New Roman" w:hAnsi="Times New Roman"/>
                <w:sz w:val="20"/>
                <w:szCs w:val="20"/>
                <w:color w:val="auto"/>
              </w:rPr>
              <w:t>August 29, 2018</w:t>
            </w:r>
          </w:p>
        </w:tc>
        <w:tc>
          <w:tcPr>
            <w:tcW w:w="1160" w:type="dxa"/>
            <w:vAlign w:val="bottom"/>
            <w:shd w:val="clear" w:color="auto" w:fill="CCEEFF"/>
          </w:tcPr>
          <w:p>
            <w:pPr>
              <w:jc w:val="right"/>
              <w:spacing w:after="0" w:line="210" w:lineRule="exact"/>
              <w:rPr>
                <w:sz w:val="20"/>
                <w:szCs w:val="20"/>
                <w:color w:val="auto"/>
              </w:rPr>
            </w:pPr>
            <w:r>
              <w:rPr>
                <w:rFonts w:ascii="Times New Roman" w:cs="Times New Roman" w:eastAsia="Times New Roman" w:hAnsi="Times New Roman"/>
                <w:sz w:val="20"/>
                <w:szCs w:val="20"/>
                <w:color w:val="auto"/>
              </w:rPr>
              <w:t>165,000</w:t>
            </w:r>
          </w:p>
        </w:tc>
        <w:tc>
          <w:tcPr>
            <w:tcW w:w="960" w:type="dxa"/>
            <w:vAlign w:val="bottom"/>
            <w:shd w:val="clear" w:color="auto" w:fill="CCEEFF"/>
          </w:tcPr>
          <w:p>
            <w:pPr>
              <w:jc w:val="right"/>
              <w:spacing w:after="0" w:line="210" w:lineRule="exact"/>
              <w:rPr>
                <w:sz w:val="20"/>
                <w:szCs w:val="20"/>
                <w:color w:val="auto"/>
              </w:rPr>
            </w:pPr>
            <w:r>
              <w:rPr>
                <w:rFonts w:ascii="Times New Roman" w:cs="Times New Roman" w:eastAsia="Times New Roman" w:hAnsi="Times New Roman"/>
                <w:sz w:val="20"/>
                <w:szCs w:val="20"/>
                <w:color w:val="auto"/>
              </w:rPr>
              <w:t>3.10</w:t>
            </w:r>
          </w:p>
        </w:tc>
        <w:tc>
          <w:tcPr>
            <w:tcW w:w="2840" w:type="dxa"/>
            <w:vAlign w:val="bottom"/>
            <w:shd w:val="clear" w:color="auto" w:fill="CCEEFF"/>
          </w:tcPr>
          <w:p>
            <w:pPr>
              <w:spacing w:after="0" w:line="210" w:lineRule="exact"/>
              <w:rPr>
                <w:sz w:val="20"/>
                <w:szCs w:val="20"/>
                <w:color w:val="auto"/>
              </w:rPr>
            </w:pPr>
            <w:r>
              <w:rPr>
                <w:rFonts w:ascii="Times New Roman" w:cs="Times New Roman" w:eastAsia="Times New Roman" w:hAnsi="Times New Roman"/>
                <w:sz w:val="20"/>
                <w:szCs w:val="20"/>
                <w:color w:val="auto"/>
              </w:rPr>
              <w:t>Vest ratably over four years</w:t>
            </w:r>
          </w:p>
        </w:tc>
        <w:tc>
          <w:tcPr>
            <w:tcW w:w="920" w:type="dxa"/>
            <w:vAlign w:val="bottom"/>
            <w:shd w:val="clear" w:color="auto" w:fill="CCEEFF"/>
          </w:tcPr>
          <w:p>
            <w:pPr>
              <w:ind w:left="180"/>
              <w:spacing w:after="0" w:line="210" w:lineRule="exact"/>
              <w:rPr>
                <w:sz w:val="20"/>
                <w:szCs w:val="20"/>
                <w:color w:val="auto"/>
              </w:rPr>
            </w:pPr>
            <w:r>
              <w:rPr>
                <w:rFonts w:ascii="Times New Roman" w:cs="Times New Roman" w:eastAsia="Times New Roman" w:hAnsi="Times New Roman"/>
                <w:sz w:val="20"/>
                <w:szCs w:val="20"/>
                <w:color w:val="auto"/>
              </w:rPr>
              <w:t>10 years</w:t>
            </w:r>
          </w:p>
        </w:tc>
        <w:tc>
          <w:tcPr>
            <w:tcW w:w="1780" w:type="dxa"/>
            <w:vAlign w:val="bottom"/>
            <w:shd w:val="clear" w:color="auto" w:fill="CCEEFF"/>
          </w:tcPr>
          <w:p>
            <w:pPr>
              <w:jc w:val="right"/>
              <w:spacing w:after="0" w:line="210" w:lineRule="exact"/>
              <w:rPr>
                <w:sz w:val="20"/>
                <w:szCs w:val="20"/>
                <w:color w:val="auto"/>
              </w:rPr>
            </w:pPr>
            <w:r>
              <w:rPr>
                <w:rFonts w:ascii="Times New Roman" w:cs="Times New Roman" w:eastAsia="Times New Roman" w:hAnsi="Times New Roman"/>
                <w:sz w:val="20"/>
                <w:szCs w:val="20"/>
                <w:color w:val="auto"/>
              </w:rPr>
              <w:t>257</w:t>
            </w:r>
          </w:p>
        </w:tc>
      </w:tr>
      <w:tr>
        <w:trPr>
          <w:trHeight w:val="230"/>
        </w:trPr>
        <w:tc>
          <w:tcPr>
            <w:tcW w:w="17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w w:val="99"/>
                <w:shd w:val="clear" w:color="auto" w:fill="CCEEFF"/>
              </w:rPr>
              <w:t>beginning one year after the date of</w:t>
            </w:r>
          </w:p>
        </w:tc>
        <w:tc>
          <w:tcPr>
            <w:tcW w:w="92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r>
      <w:tr>
        <w:trPr>
          <w:trHeight w:val="250"/>
        </w:trPr>
        <w:tc>
          <w:tcPr>
            <w:tcW w:w="17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grant</w:t>
            </w:r>
          </w:p>
        </w:tc>
        <w:tc>
          <w:tcPr>
            <w:tcW w:w="920" w:type="dxa"/>
            <w:vAlign w:val="bottom"/>
            <w:shd w:val="clear" w:color="auto" w:fill="CCEEFF"/>
          </w:tcPr>
          <w:p>
            <w:pPr>
              <w:spacing w:after="0"/>
              <w:rPr>
                <w:sz w:val="21"/>
                <w:szCs w:val="21"/>
                <w:color w:val="auto"/>
              </w:rPr>
            </w:pPr>
          </w:p>
        </w:tc>
        <w:tc>
          <w:tcPr>
            <w:tcW w:w="1780" w:type="dxa"/>
            <w:vAlign w:val="bottom"/>
            <w:shd w:val="clear" w:color="auto" w:fill="CCEEFF"/>
          </w:tcPr>
          <w:p>
            <w:pPr>
              <w:spacing w:after="0"/>
              <w:rPr>
                <w:sz w:val="21"/>
                <w:szCs w:val="21"/>
                <w:color w:val="auto"/>
              </w:rPr>
            </w:pPr>
          </w:p>
        </w:tc>
      </w:tr>
      <w:tr>
        <w:trPr>
          <w:trHeight w:val="210"/>
        </w:trPr>
        <w:tc>
          <w:tcPr>
            <w:tcW w:w="1720" w:type="dxa"/>
            <w:vAlign w:val="bottom"/>
          </w:tcPr>
          <w:p>
            <w:pPr>
              <w:spacing w:after="0" w:line="210" w:lineRule="exact"/>
              <w:rPr>
                <w:sz w:val="20"/>
                <w:szCs w:val="20"/>
                <w:color w:val="auto"/>
              </w:rPr>
            </w:pPr>
            <w:r>
              <w:rPr>
                <w:rFonts w:ascii="Times New Roman" w:cs="Times New Roman" w:eastAsia="Times New Roman" w:hAnsi="Times New Roman"/>
                <w:sz w:val="20"/>
                <w:szCs w:val="20"/>
                <w:color w:val="auto"/>
              </w:rPr>
              <w:t>April 4, 2019</w:t>
            </w:r>
          </w:p>
        </w:tc>
        <w:tc>
          <w:tcPr>
            <w:tcW w:w="1160" w:type="dxa"/>
            <w:vAlign w:val="bottom"/>
          </w:tcPr>
          <w:p>
            <w:pPr>
              <w:jc w:val="right"/>
              <w:spacing w:after="0" w:line="210" w:lineRule="exact"/>
              <w:rPr>
                <w:sz w:val="20"/>
                <w:szCs w:val="20"/>
                <w:color w:val="auto"/>
              </w:rPr>
            </w:pPr>
            <w:r>
              <w:rPr>
                <w:rFonts w:ascii="Times New Roman" w:cs="Times New Roman" w:eastAsia="Times New Roman" w:hAnsi="Times New Roman"/>
                <w:sz w:val="20"/>
                <w:szCs w:val="20"/>
                <w:color w:val="auto"/>
              </w:rPr>
              <w:t>155,000</w:t>
            </w:r>
          </w:p>
        </w:tc>
        <w:tc>
          <w:tcPr>
            <w:tcW w:w="960" w:type="dxa"/>
            <w:vAlign w:val="bottom"/>
          </w:tcPr>
          <w:p>
            <w:pPr>
              <w:jc w:val="right"/>
              <w:spacing w:after="0" w:line="210" w:lineRule="exact"/>
              <w:rPr>
                <w:sz w:val="20"/>
                <w:szCs w:val="20"/>
                <w:color w:val="auto"/>
              </w:rPr>
            </w:pPr>
            <w:r>
              <w:rPr>
                <w:rFonts w:ascii="Times New Roman" w:cs="Times New Roman" w:eastAsia="Times New Roman" w:hAnsi="Times New Roman"/>
                <w:sz w:val="20"/>
                <w:szCs w:val="20"/>
                <w:color w:val="auto"/>
              </w:rPr>
              <w:t>4.38</w:t>
            </w:r>
          </w:p>
        </w:tc>
        <w:tc>
          <w:tcPr>
            <w:tcW w:w="2840" w:type="dxa"/>
            <w:vAlign w:val="bottom"/>
          </w:tcPr>
          <w:p>
            <w:pPr>
              <w:spacing w:after="0" w:line="210" w:lineRule="exact"/>
              <w:rPr>
                <w:sz w:val="20"/>
                <w:szCs w:val="20"/>
                <w:color w:val="auto"/>
              </w:rPr>
            </w:pPr>
            <w:r>
              <w:rPr>
                <w:rFonts w:ascii="Times New Roman" w:cs="Times New Roman" w:eastAsia="Times New Roman" w:hAnsi="Times New Roman"/>
                <w:sz w:val="20"/>
                <w:szCs w:val="20"/>
                <w:color w:val="auto"/>
              </w:rPr>
              <w:t>Vest ratably over four years</w:t>
            </w:r>
          </w:p>
        </w:tc>
        <w:tc>
          <w:tcPr>
            <w:tcW w:w="920" w:type="dxa"/>
            <w:vAlign w:val="bottom"/>
          </w:tcPr>
          <w:p>
            <w:pPr>
              <w:ind w:left="180"/>
              <w:spacing w:after="0" w:line="210" w:lineRule="exact"/>
              <w:rPr>
                <w:sz w:val="20"/>
                <w:szCs w:val="20"/>
                <w:color w:val="auto"/>
              </w:rPr>
            </w:pPr>
            <w:r>
              <w:rPr>
                <w:rFonts w:ascii="Times New Roman" w:cs="Times New Roman" w:eastAsia="Times New Roman" w:hAnsi="Times New Roman"/>
                <w:sz w:val="20"/>
                <w:szCs w:val="20"/>
                <w:color w:val="auto"/>
              </w:rPr>
              <w:t>10 years</w:t>
            </w:r>
          </w:p>
        </w:tc>
        <w:tc>
          <w:tcPr>
            <w:tcW w:w="1780" w:type="dxa"/>
            <w:vAlign w:val="bottom"/>
          </w:tcPr>
          <w:p>
            <w:pPr>
              <w:jc w:val="right"/>
              <w:spacing w:after="0" w:line="210" w:lineRule="exact"/>
              <w:rPr>
                <w:sz w:val="20"/>
                <w:szCs w:val="20"/>
                <w:color w:val="auto"/>
              </w:rPr>
            </w:pPr>
            <w:r>
              <w:rPr>
                <w:rFonts w:ascii="Times New Roman" w:cs="Times New Roman" w:eastAsia="Times New Roman" w:hAnsi="Times New Roman"/>
                <w:sz w:val="20"/>
                <w:szCs w:val="20"/>
                <w:color w:val="auto"/>
              </w:rPr>
              <w:t>337</w:t>
            </w:r>
          </w:p>
        </w:tc>
      </w:tr>
      <w:tr>
        <w:trPr>
          <w:trHeight w:val="230"/>
        </w:trPr>
        <w:tc>
          <w:tcPr>
            <w:tcW w:w="17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40" w:type="dxa"/>
            <w:vAlign w:val="bottom"/>
          </w:tcPr>
          <w:p>
            <w:pPr>
              <w:spacing w:after="0"/>
              <w:rPr>
                <w:sz w:val="20"/>
                <w:szCs w:val="20"/>
                <w:color w:val="auto"/>
              </w:rPr>
            </w:pPr>
            <w:r>
              <w:rPr>
                <w:rFonts w:ascii="Times New Roman" w:cs="Times New Roman" w:eastAsia="Times New Roman" w:hAnsi="Times New Roman"/>
                <w:sz w:val="20"/>
                <w:szCs w:val="20"/>
                <w:color w:val="auto"/>
                <w:w w:val="99"/>
              </w:rPr>
              <w:t>beginning one year after the date of</w:t>
            </w:r>
          </w:p>
        </w:tc>
        <w:tc>
          <w:tcPr>
            <w:tcW w:w="92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234"/>
        </w:trPr>
        <w:tc>
          <w:tcPr>
            <w:tcW w:w="17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40" w:type="dxa"/>
            <w:vAlign w:val="bottom"/>
          </w:tcPr>
          <w:p>
            <w:pPr>
              <w:spacing w:after="0"/>
              <w:rPr>
                <w:sz w:val="20"/>
                <w:szCs w:val="20"/>
                <w:color w:val="auto"/>
              </w:rPr>
            </w:pPr>
            <w:r>
              <w:rPr>
                <w:rFonts w:ascii="Times New Roman" w:cs="Times New Roman" w:eastAsia="Times New Roman" w:hAnsi="Times New Roman"/>
                <w:sz w:val="20"/>
                <w:szCs w:val="20"/>
                <w:color w:val="auto"/>
              </w:rPr>
              <w:t>grant</w:t>
            </w:r>
          </w:p>
        </w:tc>
        <w:tc>
          <w:tcPr>
            <w:tcW w:w="920" w:type="dxa"/>
            <w:vAlign w:val="bottom"/>
          </w:tcPr>
          <w:p>
            <w:pPr>
              <w:spacing w:after="0"/>
              <w:rPr>
                <w:sz w:val="20"/>
                <w:szCs w:val="20"/>
                <w:color w:val="auto"/>
              </w:rPr>
            </w:pPr>
          </w:p>
        </w:tc>
        <w:tc>
          <w:tcPr>
            <w:tcW w:w="1780" w:type="dxa"/>
            <w:vAlign w:val="bottom"/>
          </w:tcPr>
          <w:p>
            <w:pPr>
              <w:spacing w:after="0"/>
              <w:rPr>
                <w:sz w:val="20"/>
                <w:szCs w:val="20"/>
                <w:color w:val="auto"/>
              </w:rPr>
            </w:pPr>
          </w:p>
        </w:tc>
      </w:tr>
    </w:tbl>
    <w:p>
      <w:pPr>
        <w:jc w:val="both"/>
        <w:ind w:firstLine="720"/>
        <w:spacing w:after="0" w:line="231" w:lineRule="auto"/>
        <w:rPr>
          <w:sz w:val="20"/>
          <w:szCs w:val="20"/>
          <w:color w:val="auto"/>
        </w:rPr>
      </w:pPr>
      <w:r>
        <w:rPr>
          <w:rFonts w:ascii="Times New Roman" w:cs="Times New Roman" w:eastAsia="Times New Roman" w:hAnsi="Times New Roman"/>
          <w:sz w:val="20"/>
          <w:szCs w:val="20"/>
          <w:color w:val="auto"/>
          <w:vertAlign w:val="superscript"/>
        </w:rPr>
        <w:t>(1)</w:t>
      </w:r>
      <w:r>
        <w:rPr>
          <w:rFonts w:ascii="Times New Roman" w:cs="Times New Roman" w:eastAsia="Times New Roman" w:hAnsi="Times New Roman"/>
          <w:sz w:val="16"/>
          <w:szCs w:val="16"/>
          <w:color w:val="auto"/>
        </w:rPr>
        <w:t>This non-cash compensation expense was recognized in the Company’s operating expenses over a period of 48 months (using the graded vesting method).</w:t>
      </w:r>
    </w:p>
    <w:p>
      <w:pPr>
        <w:spacing w:after="0" w:line="16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9"/>
          <w:szCs w:val="19"/>
          <w:color w:val="auto"/>
        </w:rPr>
        <w:t>The Company did not record any compensation expense in 2025, for this February 18, 2016 Plan (the “2016</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Plan”).</w:t>
      </w:r>
    </w:p>
    <w:p>
      <w:pPr>
        <w:spacing w:after="0" w:line="20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Under the 2016 Plan, 281,080 options are outstanding and are exercisable at December 31, 2025.</w:t>
      </w:r>
    </w:p>
    <w:p>
      <w:pPr>
        <w:spacing w:after="0" w:line="200" w:lineRule="exact"/>
        <w:rPr>
          <w:sz w:val="20"/>
          <w:szCs w:val="20"/>
          <w:color w:val="auto"/>
        </w:rPr>
      </w:pPr>
    </w:p>
    <w:p>
      <w:pPr>
        <w:jc w:val="both"/>
        <w:ind w:firstLine="720"/>
        <w:spacing w:after="0" w:line="270" w:lineRule="auto"/>
        <w:rPr>
          <w:sz w:val="20"/>
          <w:szCs w:val="20"/>
          <w:color w:val="auto"/>
        </w:rPr>
      </w:pPr>
      <w:r>
        <w:rPr>
          <w:rFonts w:ascii="Times New Roman" w:cs="Times New Roman" w:eastAsia="Times New Roman" w:hAnsi="Times New Roman"/>
          <w:sz w:val="19"/>
          <w:szCs w:val="19"/>
          <w:color w:val="auto"/>
        </w:rPr>
        <w:t>On June 28, 2019, the shareholders authorized the Board of Directors to grant up to a maximum of 358,528 options to purchase pre-existing shares and to grant 1,000,000 options to subscribe to 1,000,000 new shares at a fixed price to be set by the Board of Directors. Conforming to this June 28, 2019 stock option plan, the Board of Directors granted options to purchase pre-existing shares and to subscribe to new shares to certain employees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6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6"/>
                <w:szCs w:val="16"/>
                <w:b w:val="1"/>
                <w:bCs w:val="1"/>
                <w:color w:val="auto"/>
              </w:rPr>
              <w:t>Exercise</w:t>
            </w:r>
          </w:p>
        </w:tc>
        <w:tc>
          <w:tcPr>
            <w:tcW w:w="284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Contractual</w:t>
            </w:r>
          </w:p>
        </w:tc>
        <w:tc>
          <w:tcPr>
            <w:tcW w:w="1640" w:type="dxa"/>
            <w:vAlign w:val="bottom"/>
          </w:tcPr>
          <w:p>
            <w:pPr>
              <w:jc w:val="right"/>
              <w:ind w:right="50"/>
              <w:spacing w:after="0"/>
              <w:rPr>
                <w:sz w:val="20"/>
                <w:szCs w:val="20"/>
                <w:color w:val="auto"/>
              </w:rPr>
            </w:pPr>
            <w:r>
              <w:rPr>
                <w:rFonts w:ascii="Times New Roman" w:cs="Times New Roman" w:eastAsia="Times New Roman" w:hAnsi="Times New Roman"/>
                <w:sz w:val="16"/>
                <w:szCs w:val="16"/>
                <w:b w:val="1"/>
                <w:bCs w:val="1"/>
                <w:color w:val="auto"/>
              </w:rPr>
              <w:t>Fair Value at Grant</w:t>
            </w:r>
          </w:p>
        </w:tc>
      </w:tr>
      <w:tr>
        <w:trPr>
          <w:trHeight w:val="206"/>
        </w:trPr>
        <w:tc>
          <w:tcPr>
            <w:tcW w:w="160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6"/>
                <w:szCs w:val="16"/>
                <w:b w:val="1"/>
                <w:bCs w:val="1"/>
                <w:color w:val="auto"/>
              </w:rPr>
              <w:t>Grant Date</w:t>
            </w:r>
          </w:p>
        </w:tc>
        <w:tc>
          <w:tcPr>
            <w:tcW w:w="15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6"/>
                <w:szCs w:val="16"/>
                <w:b w:val="1"/>
                <w:bCs w:val="1"/>
                <w:color w:val="auto"/>
              </w:rPr>
              <w:t>Options Granted</w:t>
            </w:r>
          </w:p>
        </w:tc>
        <w:tc>
          <w:tcPr>
            <w:tcW w:w="9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6"/>
                <w:szCs w:val="16"/>
                <w:b w:val="1"/>
                <w:bCs w:val="1"/>
                <w:color w:val="auto"/>
              </w:rPr>
              <w:t>Price ($)</w:t>
            </w:r>
          </w:p>
        </w:tc>
        <w:tc>
          <w:tcPr>
            <w:tcW w:w="284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6"/>
                <w:szCs w:val="16"/>
                <w:b w:val="1"/>
                <w:bCs w:val="1"/>
                <w:color w:val="auto"/>
              </w:rPr>
              <w:t>Vesting Terms</w:t>
            </w: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Term</w:t>
            </w:r>
          </w:p>
        </w:tc>
        <w:tc>
          <w:tcPr>
            <w:tcW w:w="1640" w:type="dxa"/>
            <w:vAlign w:val="bottom"/>
            <w:tcBorders>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6"/>
                <w:szCs w:val="16"/>
                <w:b w:val="1"/>
                <w:bCs w:val="1"/>
                <w:color w:val="auto"/>
                <w:w w:val="98"/>
              </w:rPr>
              <w:t>Date ($ in thousands)</w:t>
            </w:r>
            <w:r>
              <w:rPr>
                <w:rFonts w:ascii="Times New Roman" w:cs="Times New Roman" w:eastAsia="Times New Roman" w:hAnsi="Times New Roman"/>
                <w:sz w:val="20"/>
                <w:szCs w:val="20"/>
                <w:b w:val="1"/>
                <w:bCs w:val="1"/>
                <w:color w:val="auto"/>
                <w:w w:val="98"/>
                <w:vertAlign w:val="superscript"/>
              </w:rPr>
              <w:t>(4)</w:t>
            </w:r>
          </w:p>
        </w:tc>
      </w:tr>
      <w:tr>
        <w:trPr>
          <w:trHeight w:val="198"/>
        </w:trPr>
        <w:tc>
          <w:tcPr>
            <w:tcW w:w="16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20"/>
                <w:szCs w:val="20"/>
                <w:color w:val="auto"/>
              </w:rPr>
              <w:t>June 11, 2021</w:t>
            </w:r>
          </w:p>
        </w:tc>
        <w:tc>
          <w:tcPr>
            <w:tcW w:w="152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1,000,000</w:t>
            </w:r>
            <w:r>
              <w:rPr>
                <w:rFonts w:ascii="Times New Roman" w:cs="Times New Roman" w:eastAsia="Times New Roman" w:hAnsi="Times New Roman"/>
                <w:sz w:val="22"/>
                <w:szCs w:val="22"/>
                <w:color w:val="auto"/>
                <w:vertAlign w:val="superscript"/>
              </w:rPr>
              <w:t>(1)(3)</w:t>
            </w:r>
          </w:p>
        </w:tc>
        <w:tc>
          <w:tcPr>
            <w:tcW w:w="90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20"/>
                <w:szCs w:val="20"/>
                <w:color w:val="auto"/>
              </w:rPr>
              <w:t>6.81</w:t>
            </w:r>
          </w:p>
        </w:tc>
        <w:tc>
          <w:tcPr>
            <w:tcW w:w="28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20"/>
                <w:szCs w:val="20"/>
                <w:color w:val="auto"/>
              </w:rPr>
              <w:t>Vest ratably over three years</w:t>
            </w:r>
          </w:p>
        </w:tc>
        <w:tc>
          <w:tcPr>
            <w:tcW w:w="88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20"/>
                <w:szCs w:val="20"/>
                <w:color w:val="auto"/>
              </w:rPr>
              <w:t>10 years</w:t>
            </w:r>
          </w:p>
        </w:tc>
        <w:tc>
          <w:tcPr>
            <w:tcW w:w="164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20"/>
                <w:szCs w:val="20"/>
                <w:color w:val="auto"/>
              </w:rPr>
              <w:t>2,886</w:t>
            </w:r>
          </w:p>
        </w:tc>
      </w:tr>
      <w:tr>
        <w:trPr>
          <w:trHeight w:val="230"/>
        </w:trPr>
        <w:tc>
          <w:tcPr>
            <w:tcW w:w="160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shd w:val="clear" w:color="auto" w:fill="CCEEFF"/>
              </w:rPr>
              <w:t>beginning six months after the date</w:t>
            </w:r>
          </w:p>
        </w:tc>
        <w:tc>
          <w:tcPr>
            <w:tcW w:w="88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r>
      <w:tr>
        <w:trPr>
          <w:trHeight w:val="253"/>
        </w:trPr>
        <w:tc>
          <w:tcPr>
            <w:tcW w:w="160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of grant</w:t>
            </w:r>
          </w:p>
        </w:tc>
        <w:tc>
          <w:tcPr>
            <w:tcW w:w="88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r>
      <w:tr>
        <w:trPr>
          <w:trHeight w:val="208"/>
        </w:trPr>
        <w:tc>
          <w:tcPr>
            <w:tcW w:w="1600" w:type="dxa"/>
            <w:vAlign w:val="bottom"/>
          </w:tcPr>
          <w:p>
            <w:pPr>
              <w:spacing w:after="0" w:line="208" w:lineRule="exact"/>
              <w:rPr>
                <w:sz w:val="20"/>
                <w:szCs w:val="20"/>
                <w:color w:val="auto"/>
              </w:rPr>
            </w:pPr>
            <w:r>
              <w:rPr>
                <w:rFonts w:ascii="Times New Roman" w:cs="Times New Roman" w:eastAsia="Times New Roman" w:hAnsi="Times New Roman"/>
                <w:sz w:val="20"/>
                <w:szCs w:val="20"/>
                <w:color w:val="auto"/>
              </w:rPr>
              <w:t>June 11, 2021</w:t>
            </w:r>
          </w:p>
        </w:tc>
        <w:tc>
          <w:tcPr>
            <w:tcW w:w="1520" w:type="dxa"/>
            <w:vAlign w:val="bottom"/>
          </w:tcPr>
          <w:p>
            <w:pPr>
              <w:jc w:val="right"/>
              <w:spacing w:after="0" w:line="207" w:lineRule="exact"/>
              <w:rPr>
                <w:sz w:val="20"/>
                <w:szCs w:val="20"/>
                <w:color w:val="auto"/>
              </w:rPr>
            </w:pPr>
            <w:r>
              <w:rPr>
                <w:rFonts w:ascii="Times New Roman" w:cs="Times New Roman" w:eastAsia="Times New Roman" w:hAnsi="Times New Roman"/>
                <w:sz w:val="19"/>
                <w:szCs w:val="19"/>
                <w:color w:val="auto"/>
              </w:rPr>
              <w:t>292,428</w:t>
            </w:r>
            <w:r>
              <w:rPr>
                <w:rFonts w:ascii="Times New Roman" w:cs="Times New Roman" w:eastAsia="Times New Roman" w:hAnsi="Times New Roman"/>
                <w:sz w:val="24"/>
                <w:szCs w:val="24"/>
                <w:color w:val="auto"/>
                <w:vertAlign w:val="superscript"/>
              </w:rPr>
              <w:t>(2)</w:t>
            </w:r>
          </w:p>
        </w:tc>
        <w:tc>
          <w:tcPr>
            <w:tcW w:w="900" w:type="dxa"/>
            <w:vAlign w:val="bottom"/>
          </w:tcPr>
          <w:p>
            <w:pPr>
              <w:jc w:val="right"/>
              <w:spacing w:after="0" w:line="208" w:lineRule="exact"/>
              <w:rPr>
                <w:sz w:val="20"/>
                <w:szCs w:val="20"/>
                <w:color w:val="auto"/>
              </w:rPr>
            </w:pPr>
            <w:r>
              <w:rPr>
                <w:rFonts w:ascii="Times New Roman" w:cs="Times New Roman" w:eastAsia="Times New Roman" w:hAnsi="Times New Roman"/>
                <w:sz w:val="20"/>
                <w:szCs w:val="20"/>
                <w:color w:val="auto"/>
              </w:rPr>
              <w:t>6.81</w:t>
            </w:r>
          </w:p>
        </w:tc>
        <w:tc>
          <w:tcPr>
            <w:tcW w:w="2840" w:type="dxa"/>
            <w:vAlign w:val="bottom"/>
          </w:tcPr>
          <w:p>
            <w:pPr>
              <w:spacing w:after="0" w:line="208" w:lineRule="exact"/>
              <w:rPr>
                <w:sz w:val="20"/>
                <w:szCs w:val="20"/>
                <w:color w:val="auto"/>
              </w:rPr>
            </w:pPr>
            <w:r>
              <w:rPr>
                <w:rFonts w:ascii="Times New Roman" w:cs="Times New Roman" w:eastAsia="Times New Roman" w:hAnsi="Times New Roman"/>
                <w:sz w:val="20"/>
                <w:szCs w:val="20"/>
                <w:color w:val="auto"/>
              </w:rPr>
              <w:t>Vest ratably over three years</w:t>
            </w:r>
          </w:p>
        </w:tc>
        <w:tc>
          <w:tcPr>
            <w:tcW w:w="880" w:type="dxa"/>
            <w:vAlign w:val="bottom"/>
          </w:tcPr>
          <w:p>
            <w:pPr>
              <w:ind w:left="120"/>
              <w:spacing w:after="0" w:line="208" w:lineRule="exact"/>
              <w:rPr>
                <w:sz w:val="20"/>
                <w:szCs w:val="20"/>
                <w:color w:val="auto"/>
              </w:rPr>
            </w:pPr>
            <w:r>
              <w:rPr>
                <w:rFonts w:ascii="Times New Roman" w:cs="Times New Roman" w:eastAsia="Times New Roman" w:hAnsi="Times New Roman"/>
                <w:sz w:val="20"/>
                <w:szCs w:val="20"/>
                <w:color w:val="auto"/>
              </w:rPr>
              <w:t>10 years</w:t>
            </w:r>
          </w:p>
        </w:tc>
        <w:tc>
          <w:tcPr>
            <w:tcW w:w="1640" w:type="dxa"/>
            <w:vAlign w:val="bottom"/>
          </w:tcPr>
          <w:p>
            <w:pPr>
              <w:jc w:val="right"/>
              <w:spacing w:after="0" w:line="208" w:lineRule="exact"/>
              <w:rPr>
                <w:sz w:val="20"/>
                <w:szCs w:val="20"/>
                <w:color w:val="auto"/>
              </w:rPr>
            </w:pPr>
            <w:r>
              <w:rPr>
                <w:rFonts w:ascii="Times New Roman" w:cs="Times New Roman" w:eastAsia="Times New Roman" w:hAnsi="Times New Roman"/>
                <w:sz w:val="20"/>
                <w:szCs w:val="20"/>
                <w:color w:val="auto"/>
              </w:rPr>
              <w:t>844</w:t>
            </w:r>
          </w:p>
        </w:tc>
      </w:tr>
      <w:tr>
        <w:trPr>
          <w:trHeight w:val="230"/>
        </w:trPr>
        <w:tc>
          <w:tcPr>
            <w:tcW w:w="16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40" w:type="dxa"/>
            <w:vAlign w:val="bottom"/>
          </w:tcPr>
          <w:p>
            <w:pPr>
              <w:spacing w:after="0"/>
              <w:rPr>
                <w:sz w:val="20"/>
                <w:szCs w:val="20"/>
                <w:color w:val="auto"/>
              </w:rPr>
            </w:pPr>
            <w:r>
              <w:rPr>
                <w:rFonts w:ascii="Times New Roman" w:cs="Times New Roman" w:eastAsia="Times New Roman" w:hAnsi="Times New Roman"/>
                <w:sz w:val="20"/>
                <w:szCs w:val="20"/>
                <w:color w:val="auto"/>
              </w:rPr>
              <w:t>beginning six months after the date</w:t>
            </w:r>
          </w:p>
        </w:tc>
        <w:tc>
          <w:tcPr>
            <w:tcW w:w="88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34"/>
        </w:trPr>
        <w:tc>
          <w:tcPr>
            <w:tcW w:w="16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40" w:type="dxa"/>
            <w:vAlign w:val="bottom"/>
          </w:tcPr>
          <w:p>
            <w:pPr>
              <w:spacing w:after="0"/>
              <w:rPr>
                <w:sz w:val="20"/>
                <w:szCs w:val="20"/>
                <w:color w:val="auto"/>
              </w:rPr>
            </w:pPr>
            <w:r>
              <w:rPr>
                <w:rFonts w:ascii="Times New Roman" w:cs="Times New Roman" w:eastAsia="Times New Roman" w:hAnsi="Times New Roman"/>
                <w:sz w:val="20"/>
                <w:szCs w:val="20"/>
                <w:color w:val="auto"/>
              </w:rPr>
              <w:t>of grant</w:t>
            </w:r>
          </w:p>
        </w:tc>
        <w:tc>
          <w:tcPr>
            <w:tcW w:w="880" w:type="dxa"/>
            <w:vAlign w:val="bottom"/>
          </w:tcPr>
          <w:p>
            <w:pPr>
              <w:spacing w:after="0"/>
              <w:rPr>
                <w:sz w:val="20"/>
                <w:szCs w:val="20"/>
                <w:color w:val="auto"/>
              </w:rPr>
            </w:pPr>
          </w:p>
        </w:tc>
        <w:tc>
          <w:tcPr>
            <w:tcW w:w="1640" w:type="dxa"/>
            <w:vAlign w:val="bottom"/>
          </w:tcPr>
          <w:p>
            <w:pPr>
              <w:spacing w:after="0"/>
              <w:rPr>
                <w:sz w:val="20"/>
                <w:szCs w:val="20"/>
                <w:color w:val="auto"/>
              </w:rPr>
            </w:pPr>
          </w:p>
        </w:tc>
      </w:tr>
    </w:tbl>
    <w:p>
      <w:pPr>
        <w:ind w:left="880" w:hanging="153"/>
        <w:spacing w:after="0" w:line="203" w:lineRule="auto"/>
        <w:tabs>
          <w:tab w:leader="none" w:pos="880" w:val="left"/>
        </w:tabs>
        <w:numPr>
          <w:ilvl w:val="0"/>
          <w:numId w:val="5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Options to subscribe to new shares</w:t>
      </w:r>
    </w:p>
    <w:p>
      <w:pPr>
        <w:ind w:left="880" w:hanging="153"/>
        <w:spacing w:after="0" w:line="200" w:lineRule="auto"/>
        <w:tabs>
          <w:tab w:leader="none" w:pos="880" w:val="left"/>
        </w:tabs>
        <w:numPr>
          <w:ilvl w:val="0"/>
          <w:numId w:val="5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Options to purchase pre-existing shares</w:t>
      </w:r>
    </w:p>
    <w:p>
      <w:pPr>
        <w:ind w:left="900" w:hanging="173"/>
        <w:spacing w:after="0" w:line="224" w:lineRule="auto"/>
        <w:tabs>
          <w:tab w:leader="none" w:pos="900" w:val="left"/>
        </w:tabs>
        <w:numPr>
          <w:ilvl w:val="0"/>
          <w:numId w:val="52"/>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On March 29, 2023, the vesting of 270,000 of these options was accelerated and such options may vest immediately.</w:t>
      </w:r>
    </w:p>
    <w:p>
      <w:pPr>
        <w:sectPr>
          <w:pgSz w:w="11900" w:h="16838" w:orient="portrait"/>
          <w:cols w:equalWidth="0" w:num="1">
            <w:col w:w="9380"/>
          </w:cols>
          <w:pgMar w:left="1260" w:top="838" w:right="1266" w:bottom="72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F-36</w:t>
      </w:r>
    </w:p>
    <w:p>
      <w:pPr>
        <w:sectPr>
          <w:pgSz w:w="11900" w:h="16838" w:orient="portrait"/>
          <w:cols w:equalWidth="0" w:num="1">
            <w:col w:w="9380"/>
          </w:cols>
          <w:pgMar w:left="1260" w:top="838" w:right="1266" w:bottom="723" w:gutter="0" w:footer="0" w:header="0"/>
          <w:type w:val="continuous"/>
        </w:sectPr>
      </w:pPr>
    </w:p>
    <w:bookmarkStart w:id="91" w:name="page92"/>
    <w:bookmarkEnd w:id="91"/>
    <w:p>
      <w:pPr>
        <w:ind w:left="3180"/>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795655</wp:posOffset>
            </wp:positionH>
            <wp:positionV relativeFrom="page">
              <wp:posOffset>292735</wp:posOffset>
            </wp:positionV>
            <wp:extent cx="929005" cy="1149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118">
                      <a:extLst>
                        <a:ext uri="{28A0092B-C50C-407E-A947-70E740481C1C}"/>
                      </a:extLst>
                    </a:blip>
                    <a:srcRect/>
                    <a:stretch>
                      <a:fillRect/>
                    </a:stretch>
                  </pic:blipFill>
                  <pic:spPr bwMode="auto">
                    <a:xfrm>
                      <a:off x="0" y="0"/>
                      <a:ext cx="929005" cy="114935"/>
                    </a:xfrm>
                    <a:prstGeom prst="rect">
                      <a:avLst/>
                    </a:prstGeom>
                    <a:noFill/>
                  </pic:spPr>
                </pic:pic>
              </a:graphicData>
            </a:graphic>
          </wp:anchor>
        </w:drawing>
        <w:t>EDAP TMS S.A. AND SUBSIDIARIES</w:t>
      </w:r>
    </w:p>
    <w:p>
      <w:pPr>
        <w:ind w:left="2760"/>
        <w:spacing w:after="0"/>
        <w:rPr>
          <w:sz w:val="20"/>
          <w:szCs w:val="20"/>
          <w:color w:val="auto"/>
        </w:rPr>
      </w:pPr>
      <w:r>
        <w:rPr>
          <w:rFonts w:ascii="Times New Roman" w:cs="Times New Roman" w:eastAsia="Times New Roman" w:hAnsi="Times New Roman"/>
          <w:sz w:val="20"/>
          <w:szCs w:val="20"/>
          <w:b w:val="1"/>
          <w:bCs w:val="1"/>
          <w:color w:val="auto"/>
        </w:rPr>
        <w:t>CONSOLIDATED FINANCIAL STATEMENTS</w:t>
      </w:r>
    </w:p>
    <w:p>
      <w:pPr>
        <w:ind w:left="1500"/>
        <w:spacing w:after="0"/>
        <w:rPr>
          <w:sz w:val="20"/>
          <w:szCs w:val="20"/>
          <w:color w:val="auto"/>
        </w:rPr>
      </w:pPr>
      <w:r>
        <w:rPr>
          <w:rFonts w:ascii="Times New Roman" w:cs="Times New Roman" w:eastAsia="Times New Roman" w:hAnsi="Times New Roman"/>
          <w:sz w:val="20"/>
          <w:szCs w:val="20"/>
          <w:b w:val="1"/>
          <w:bCs w:val="1"/>
          <w:color w:val="auto"/>
        </w:rPr>
        <w:t>(In thousands of U.S. dollars unless otherwise noted, except per share data)</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340" w:firstLine="727"/>
        <w:spacing w:after="0" w:line="246" w:lineRule="auto"/>
        <w:tabs>
          <w:tab w:leader="none" w:pos="864" w:val="left"/>
        </w:tabs>
        <w:numPr>
          <w:ilvl w:val="0"/>
          <w:numId w:val="53"/>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4"/>
          <w:szCs w:val="14"/>
          <w:color w:val="auto"/>
        </w:rPr>
        <w:t>This non-cash compensation expense is recognized in the Company’s operating expenses over a period of 36 months (using the graded vesting method).</w:t>
      </w:r>
    </w:p>
    <w:p>
      <w:pPr>
        <w:ind w:left="720"/>
        <w:spacing w:after="0"/>
        <w:rPr>
          <w:sz w:val="20"/>
          <w:szCs w:val="20"/>
          <w:color w:val="auto"/>
        </w:rPr>
      </w:pPr>
      <w:r>
        <w:rPr>
          <w:rFonts w:ascii="Times New Roman" w:cs="Times New Roman" w:eastAsia="Times New Roman" w:hAnsi="Times New Roman"/>
          <w:sz w:val="20"/>
          <w:szCs w:val="20"/>
          <w:color w:val="auto"/>
        </w:rPr>
        <w:t>The Company did not record compensation expense in 2025, for this June 28, 2019 Plan (the “2019 Plan”).</w:t>
      </w:r>
    </w:p>
    <w:p>
      <w:pPr>
        <w:spacing w:after="0" w:line="20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Under the 2019 Plan, 810,000 options are outstanding and are exercisable at December 31, 2025.</w:t>
      </w:r>
    </w:p>
    <w:p>
      <w:pPr>
        <w:spacing w:after="0" w:line="200" w:lineRule="exact"/>
        <w:rPr>
          <w:sz w:val="20"/>
          <w:szCs w:val="20"/>
          <w:color w:val="auto"/>
        </w:rPr>
      </w:pPr>
    </w:p>
    <w:p>
      <w:pPr>
        <w:jc w:val="both"/>
        <w:ind w:firstLine="720"/>
        <w:spacing w:after="0" w:line="279" w:lineRule="auto"/>
        <w:rPr>
          <w:sz w:val="20"/>
          <w:szCs w:val="20"/>
          <w:color w:val="auto"/>
        </w:rPr>
      </w:pPr>
      <w:r>
        <w:rPr>
          <w:rFonts w:ascii="Times New Roman" w:cs="Times New Roman" w:eastAsia="Times New Roman" w:hAnsi="Times New Roman"/>
          <w:sz w:val="19"/>
          <w:szCs w:val="19"/>
          <w:color w:val="auto"/>
        </w:rPr>
        <w:t>On June 30, 2021, the shareholders authorized the Board of Directors to grant up to a maximum of 2,000,000 options to subscribe to 2,000,000 new shares at a fixed price to be set by the Board of Directors. Conforming to this June 30, 2021 stock-option plan, the Board of Directors granted options to subscribe to new shares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9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Exercise</w:t>
            </w:r>
          </w:p>
        </w:tc>
        <w:tc>
          <w:tcPr>
            <w:tcW w:w="2580" w:type="dxa"/>
            <w:vAlign w:val="bottom"/>
          </w:tcPr>
          <w:p>
            <w:pPr>
              <w:spacing w:after="0"/>
              <w:rPr>
                <w:sz w:val="16"/>
                <w:szCs w:val="16"/>
                <w:color w:val="auto"/>
              </w:rPr>
            </w:pPr>
          </w:p>
        </w:tc>
        <w:tc>
          <w:tcPr>
            <w:tcW w:w="108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Contractual</w:t>
            </w: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Fair Value at Grant Date</w:t>
            </w:r>
          </w:p>
        </w:tc>
      </w:tr>
      <w:tr>
        <w:trPr>
          <w:trHeight w:val="203"/>
        </w:trPr>
        <w:tc>
          <w:tcPr>
            <w:tcW w:w="19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6"/>
                <w:szCs w:val="16"/>
                <w:b w:val="1"/>
                <w:bCs w:val="1"/>
                <w:color w:val="auto"/>
              </w:rPr>
              <w:t>Grant Date</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Options Granted</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Price ($)</w:t>
            </w:r>
          </w:p>
        </w:tc>
        <w:tc>
          <w:tcPr>
            <w:tcW w:w="258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6"/>
                <w:szCs w:val="16"/>
                <w:b w:val="1"/>
                <w:bCs w:val="1"/>
                <w:color w:val="auto"/>
              </w:rPr>
              <w:t>Vesting Terms</w:t>
            </w:r>
          </w:p>
        </w:tc>
        <w:tc>
          <w:tcPr>
            <w:tcW w:w="108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6"/>
                <w:szCs w:val="16"/>
                <w:b w:val="1"/>
                <w:bCs w:val="1"/>
                <w:color w:val="auto"/>
              </w:rPr>
              <w:t>Term</w:t>
            </w:r>
          </w:p>
        </w:tc>
        <w:tc>
          <w:tcPr>
            <w:tcW w:w="1860" w:type="dxa"/>
            <w:vAlign w:val="bottom"/>
            <w:tcBorders>
              <w:bottom w:val="single" w:sz="8" w:color="auto"/>
            </w:tcBorders>
          </w:tcPr>
          <w:p>
            <w:pPr>
              <w:jc w:val="right"/>
              <w:ind w:right="223"/>
              <w:spacing w:after="0" w:line="204" w:lineRule="exact"/>
              <w:rPr>
                <w:sz w:val="20"/>
                <w:szCs w:val="20"/>
                <w:color w:val="auto"/>
              </w:rPr>
            </w:pPr>
            <w:r>
              <w:rPr>
                <w:rFonts w:ascii="Times New Roman" w:cs="Times New Roman" w:eastAsia="Times New Roman" w:hAnsi="Times New Roman"/>
                <w:sz w:val="16"/>
                <w:szCs w:val="16"/>
                <w:b w:val="1"/>
                <w:bCs w:val="1"/>
                <w:color w:val="auto"/>
              </w:rPr>
              <w:t>($ in thousands)</w:t>
            </w:r>
            <w:r>
              <w:rPr>
                <w:rFonts w:ascii="Times New Roman" w:cs="Times New Roman" w:eastAsia="Times New Roman" w:hAnsi="Times New Roman"/>
                <w:sz w:val="20"/>
                <w:szCs w:val="20"/>
                <w:b w:val="1"/>
                <w:bCs w:val="1"/>
                <w:color w:val="auto"/>
                <w:vertAlign w:val="superscript"/>
              </w:rPr>
              <w:t>(1)</w:t>
            </w:r>
          </w:p>
        </w:tc>
      </w:tr>
      <w:tr>
        <w:trPr>
          <w:trHeight w:val="200"/>
        </w:trPr>
        <w:tc>
          <w:tcPr>
            <w:tcW w:w="1900" w:type="dxa"/>
            <w:vAlign w:val="bottom"/>
            <w:shd w:val="clear" w:color="auto" w:fill="CCEEFF"/>
          </w:tcPr>
          <w:p>
            <w:pPr>
              <w:spacing w:after="0" w:line="200" w:lineRule="exact"/>
              <w:rPr>
                <w:sz w:val="20"/>
                <w:szCs w:val="20"/>
                <w:color w:val="auto"/>
              </w:rPr>
            </w:pPr>
            <w:r>
              <w:rPr>
                <w:rFonts w:ascii="Times New Roman" w:cs="Times New Roman" w:eastAsia="Times New Roman" w:hAnsi="Times New Roman"/>
                <w:sz w:val="20"/>
                <w:szCs w:val="20"/>
                <w:color w:val="auto"/>
              </w:rPr>
              <w:t>November 17, 2021</w:t>
            </w:r>
          </w:p>
        </w:tc>
        <w:tc>
          <w:tcPr>
            <w:tcW w:w="1220" w:type="dxa"/>
            <w:vAlign w:val="bottom"/>
            <w:shd w:val="clear" w:color="auto" w:fill="CCEEFF"/>
          </w:tcPr>
          <w:p>
            <w:pPr>
              <w:jc w:val="right"/>
              <w:spacing w:after="0" w:line="200" w:lineRule="exact"/>
              <w:rPr>
                <w:sz w:val="20"/>
                <w:szCs w:val="20"/>
                <w:color w:val="auto"/>
              </w:rPr>
            </w:pPr>
            <w:r>
              <w:rPr>
                <w:rFonts w:ascii="Times New Roman" w:cs="Times New Roman" w:eastAsia="Times New Roman" w:hAnsi="Times New Roman"/>
                <w:sz w:val="20"/>
                <w:szCs w:val="20"/>
                <w:color w:val="auto"/>
              </w:rPr>
              <w:t>100,000</w:t>
            </w:r>
          </w:p>
        </w:tc>
        <w:tc>
          <w:tcPr>
            <w:tcW w:w="740" w:type="dxa"/>
            <w:vAlign w:val="bottom"/>
            <w:shd w:val="clear" w:color="auto" w:fill="CCEEFF"/>
          </w:tcPr>
          <w:p>
            <w:pPr>
              <w:jc w:val="right"/>
              <w:spacing w:after="0" w:line="200" w:lineRule="exact"/>
              <w:rPr>
                <w:sz w:val="20"/>
                <w:szCs w:val="20"/>
                <w:color w:val="auto"/>
              </w:rPr>
            </w:pPr>
            <w:r>
              <w:rPr>
                <w:rFonts w:ascii="Times New Roman" w:cs="Times New Roman" w:eastAsia="Times New Roman" w:hAnsi="Times New Roman"/>
                <w:sz w:val="20"/>
                <w:szCs w:val="20"/>
                <w:color w:val="auto"/>
              </w:rPr>
              <w:t>5.88</w:t>
            </w:r>
          </w:p>
        </w:tc>
        <w:tc>
          <w:tcPr>
            <w:tcW w:w="2580" w:type="dxa"/>
            <w:vAlign w:val="bottom"/>
            <w:shd w:val="clear" w:color="auto" w:fill="CCEEFF"/>
          </w:tcPr>
          <w:p>
            <w:pPr>
              <w:spacing w:after="0" w:line="200" w:lineRule="exact"/>
              <w:rPr>
                <w:sz w:val="20"/>
                <w:szCs w:val="20"/>
                <w:color w:val="auto"/>
              </w:rPr>
            </w:pPr>
            <w:r>
              <w:rPr>
                <w:rFonts w:ascii="Times New Roman" w:cs="Times New Roman" w:eastAsia="Times New Roman" w:hAnsi="Times New Roman"/>
                <w:sz w:val="20"/>
                <w:szCs w:val="20"/>
                <w:color w:val="auto"/>
              </w:rPr>
              <w:t>Vest ratably over three years</w:t>
            </w:r>
          </w:p>
        </w:tc>
        <w:tc>
          <w:tcPr>
            <w:tcW w:w="1080" w:type="dxa"/>
            <w:vAlign w:val="bottom"/>
            <w:shd w:val="clear" w:color="auto" w:fill="CCEEFF"/>
          </w:tcPr>
          <w:p>
            <w:pPr>
              <w:ind w:left="340"/>
              <w:spacing w:after="0" w:line="200" w:lineRule="exact"/>
              <w:rPr>
                <w:sz w:val="20"/>
                <w:szCs w:val="20"/>
                <w:color w:val="auto"/>
              </w:rPr>
            </w:pPr>
            <w:r>
              <w:rPr>
                <w:rFonts w:ascii="Times New Roman" w:cs="Times New Roman" w:eastAsia="Times New Roman" w:hAnsi="Times New Roman"/>
                <w:sz w:val="20"/>
                <w:szCs w:val="20"/>
                <w:color w:val="auto"/>
              </w:rPr>
              <w:t>10 years</w:t>
            </w:r>
          </w:p>
        </w:tc>
        <w:tc>
          <w:tcPr>
            <w:tcW w:w="1860" w:type="dxa"/>
            <w:vAlign w:val="bottom"/>
            <w:shd w:val="clear" w:color="auto" w:fill="CCEEFF"/>
          </w:tcPr>
          <w:p>
            <w:pPr>
              <w:jc w:val="right"/>
              <w:spacing w:after="0" w:line="200" w:lineRule="exact"/>
              <w:rPr>
                <w:sz w:val="20"/>
                <w:szCs w:val="20"/>
                <w:color w:val="auto"/>
              </w:rPr>
            </w:pPr>
            <w:r>
              <w:rPr>
                <w:rFonts w:ascii="Times New Roman" w:cs="Times New Roman" w:eastAsia="Times New Roman" w:hAnsi="Times New Roman"/>
                <w:sz w:val="20"/>
                <w:szCs w:val="20"/>
                <w:color w:val="auto"/>
              </w:rPr>
              <w:t>261</w:t>
            </w:r>
          </w:p>
        </w:tc>
      </w:tr>
      <w:tr>
        <w:trPr>
          <w:trHeight w:val="228"/>
        </w:trPr>
        <w:tc>
          <w:tcPr>
            <w:tcW w:w="19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580" w:type="dxa"/>
            <w:vAlign w:val="bottom"/>
            <w:shd w:val="clear" w:color="auto" w:fill="CCEEFF"/>
          </w:tcPr>
          <w:p>
            <w:pPr>
              <w:spacing w:after="0" w:line="228" w:lineRule="exact"/>
              <w:rPr>
                <w:sz w:val="20"/>
                <w:szCs w:val="20"/>
                <w:color w:val="auto"/>
              </w:rPr>
            </w:pPr>
            <w:r>
              <w:rPr>
                <w:rFonts w:ascii="Times New Roman" w:cs="Times New Roman" w:eastAsia="Times New Roman" w:hAnsi="Times New Roman"/>
                <w:sz w:val="20"/>
                <w:szCs w:val="20"/>
                <w:color w:val="auto"/>
                <w:shd w:val="clear" w:color="auto" w:fill="CCEEFF"/>
              </w:rPr>
              <w:t>beginning six months after the</w:t>
            </w:r>
          </w:p>
        </w:tc>
        <w:tc>
          <w:tcPr>
            <w:tcW w:w="108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r>
      <w:tr>
        <w:trPr>
          <w:trHeight w:val="250"/>
        </w:trPr>
        <w:tc>
          <w:tcPr>
            <w:tcW w:w="190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date of grant</w:t>
            </w:r>
          </w:p>
        </w:tc>
        <w:tc>
          <w:tcPr>
            <w:tcW w:w="1080" w:type="dxa"/>
            <w:vAlign w:val="bottom"/>
            <w:shd w:val="clear" w:color="auto" w:fill="CCEEFF"/>
          </w:tcPr>
          <w:p>
            <w:pPr>
              <w:spacing w:after="0"/>
              <w:rPr>
                <w:sz w:val="21"/>
                <w:szCs w:val="21"/>
                <w:color w:val="auto"/>
              </w:rPr>
            </w:pPr>
          </w:p>
        </w:tc>
        <w:tc>
          <w:tcPr>
            <w:tcW w:w="1860" w:type="dxa"/>
            <w:vAlign w:val="bottom"/>
            <w:shd w:val="clear" w:color="auto" w:fill="CCEEFF"/>
          </w:tcPr>
          <w:p>
            <w:pPr>
              <w:spacing w:after="0"/>
              <w:rPr>
                <w:sz w:val="21"/>
                <w:szCs w:val="21"/>
                <w:color w:val="auto"/>
              </w:rPr>
            </w:pPr>
          </w:p>
        </w:tc>
      </w:tr>
      <w:tr>
        <w:trPr>
          <w:trHeight w:val="210"/>
        </w:trPr>
        <w:tc>
          <w:tcPr>
            <w:tcW w:w="1900" w:type="dxa"/>
            <w:vAlign w:val="bottom"/>
          </w:tcPr>
          <w:p>
            <w:pPr>
              <w:spacing w:after="0" w:line="210" w:lineRule="exact"/>
              <w:rPr>
                <w:sz w:val="20"/>
                <w:szCs w:val="20"/>
                <w:color w:val="auto"/>
              </w:rPr>
            </w:pPr>
            <w:r>
              <w:rPr>
                <w:rFonts w:ascii="Times New Roman" w:cs="Times New Roman" w:eastAsia="Times New Roman" w:hAnsi="Times New Roman"/>
                <w:sz w:val="20"/>
                <w:szCs w:val="20"/>
                <w:color w:val="auto"/>
              </w:rPr>
              <w:t>May 17, 2022</w:t>
            </w:r>
          </w:p>
        </w:tc>
        <w:tc>
          <w:tcPr>
            <w:tcW w:w="1220" w:type="dxa"/>
            <w:vAlign w:val="bottom"/>
          </w:tcPr>
          <w:p>
            <w:pPr>
              <w:jc w:val="right"/>
              <w:spacing w:after="0" w:line="210" w:lineRule="exact"/>
              <w:rPr>
                <w:sz w:val="20"/>
                <w:szCs w:val="20"/>
                <w:color w:val="auto"/>
              </w:rPr>
            </w:pPr>
            <w:r>
              <w:rPr>
                <w:rFonts w:ascii="Times New Roman" w:cs="Times New Roman" w:eastAsia="Times New Roman" w:hAnsi="Times New Roman"/>
                <w:sz w:val="20"/>
                <w:szCs w:val="20"/>
                <w:color w:val="auto"/>
              </w:rPr>
              <w:t>144,000</w:t>
            </w:r>
          </w:p>
        </w:tc>
        <w:tc>
          <w:tcPr>
            <w:tcW w:w="740" w:type="dxa"/>
            <w:vAlign w:val="bottom"/>
          </w:tcPr>
          <w:p>
            <w:pPr>
              <w:jc w:val="right"/>
              <w:spacing w:after="0" w:line="210" w:lineRule="exact"/>
              <w:rPr>
                <w:sz w:val="20"/>
                <w:szCs w:val="20"/>
                <w:color w:val="auto"/>
              </w:rPr>
            </w:pPr>
            <w:r>
              <w:rPr>
                <w:rFonts w:ascii="Times New Roman" w:cs="Times New Roman" w:eastAsia="Times New Roman" w:hAnsi="Times New Roman"/>
                <w:sz w:val="20"/>
                <w:szCs w:val="20"/>
                <w:color w:val="auto"/>
              </w:rPr>
              <w:t>6.68</w:t>
            </w:r>
          </w:p>
        </w:tc>
        <w:tc>
          <w:tcPr>
            <w:tcW w:w="2580" w:type="dxa"/>
            <w:vAlign w:val="bottom"/>
          </w:tcPr>
          <w:p>
            <w:pPr>
              <w:spacing w:after="0" w:line="210" w:lineRule="exact"/>
              <w:rPr>
                <w:sz w:val="20"/>
                <w:szCs w:val="20"/>
                <w:color w:val="auto"/>
              </w:rPr>
            </w:pPr>
            <w:r>
              <w:rPr>
                <w:rFonts w:ascii="Times New Roman" w:cs="Times New Roman" w:eastAsia="Times New Roman" w:hAnsi="Times New Roman"/>
                <w:sz w:val="20"/>
                <w:szCs w:val="20"/>
                <w:color w:val="auto"/>
              </w:rPr>
              <w:t>Vest ratably over three years</w:t>
            </w:r>
          </w:p>
        </w:tc>
        <w:tc>
          <w:tcPr>
            <w:tcW w:w="1080" w:type="dxa"/>
            <w:vAlign w:val="bottom"/>
          </w:tcPr>
          <w:p>
            <w:pPr>
              <w:ind w:left="340"/>
              <w:spacing w:after="0" w:line="210" w:lineRule="exact"/>
              <w:rPr>
                <w:sz w:val="20"/>
                <w:szCs w:val="20"/>
                <w:color w:val="auto"/>
              </w:rPr>
            </w:pPr>
            <w:r>
              <w:rPr>
                <w:rFonts w:ascii="Times New Roman" w:cs="Times New Roman" w:eastAsia="Times New Roman" w:hAnsi="Times New Roman"/>
                <w:sz w:val="20"/>
                <w:szCs w:val="20"/>
                <w:color w:val="auto"/>
              </w:rPr>
              <w:t>10 years</w:t>
            </w:r>
          </w:p>
        </w:tc>
        <w:tc>
          <w:tcPr>
            <w:tcW w:w="1860" w:type="dxa"/>
            <w:vAlign w:val="bottom"/>
          </w:tcPr>
          <w:p>
            <w:pPr>
              <w:jc w:val="right"/>
              <w:spacing w:after="0" w:line="210" w:lineRule="exact"/>
              <w:rPr>
                <w:sz w:val="20"/>
                <w:szCs w:val="20"/>
                <w:color w:val="auto"/>
              </w:rPr>
            </w:pPr>
            <w:r>
              <w:rPr>
                <w:rFonts w:ascii="Times New Roman" w:cs="Times New Roman" w:eastAsia="Times New Roman" w:hAnsi="Times New Roman"/>
                <w:sz w:val="20"/>
                <w:szCs w:val="20"/>
                <w:color w:val="auto"/>
              </w:rPr>
              <w:t>469</w:t>
            </w:r>
          </w:p>
        </w:tc>
      </w:tr>
      <w:tr>
        <w:trPr>
          <w:trHeight w:val="230"/>
        </w:trPr>
        <w:tc>
          <w:tcPr>
            <w:tcW w:w="19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580" w:type="dxa"/>
            <w:vAlign w:val="bottom"/>
          </w:tcPr>
          <w:p>
            <w:pPr>
              <w:spacing w:after="0"/>
              <w:rPr>
                <w:sz w:val="20"/>
                <w:szCs w:val="20"/>
                <w:color w:val="auto"/>
              </w:rPr>
            </w:pPr>
            <w:r>
              <w:rPr>
                <w:rFonts w:ascii="Times New Roman" w:cs="Times New Roman" w:eastAsia="Times New Roman" w:hAnsi="Times New Roman"/>
                <w:sz w:val="20"/>
                <w:szCs w:val="20"/>
                <w:color w:val="auto"/>
              </w:rPr>
              <w:t>beginning six months after the</w:t>
            </w:r>
          </w:p>
        </w:tc>
        <w:tc>
          <w:tcPr>
            <w:tcW w:w="1080" w:type="dxa"/>
            <w:vAlign w:val="bottom"/>
          </w:tcPr>
          <w:p>
            <w:pPr>
              <w:spacing w:after="0"/>
              <w:rPr>
                <w:sz w:val="20"/>
                <w:szCs w:val="20"/>
                <w:color w:val="auto"/>
              </w:rPr>
            </w:pPr>
          </w:p>
        </w:tc>
        <w:tc>
          <w:tcPr>
            <w:tcW w:w="1860" w:type="dxa"/>
            <w:vAlign w:val="bottom"/>
          </w:tcPr>
          <w:p>
            <w:pPr>
              <w:spacing w:after="0"/>
              <w:rPr>
                <w:sz w:val="20"/>
                <w:szCs w:val="20"/>
                <w:color w:val="auto"/>
              </w:rPr>
            </w:pPr>
          </w:p>
        </w:tc>
      </w:tr>
      <w:tr>
        <w:trPr>
          <w:trHeight w:val="250"/>
        </w:trPr>
        <w:tc>
          <w:tcPr>
            <w:tcW w:w="19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580" w:type="dxa"/>
            <w:vAlign w:val="bottom"/>
          </w:tcPr>
          <w:p>
            <w:pPr>
              <w:spacing w:after="0"/>
              <w:rPr>
                <w:sz w:val="20"/>
                <w:szCs w:val="20"/>
                <w:color w:val="auto"/>
              </w:rPr>
            </w:pPr>
            <w:r>
              <w:rPr>
                <w:rFonts w:ascii="Times New Roman" w:cs="Times New Roman" w:eastAsia="Times New Roman" w:hAnsi="Times New Roman"/>
                <w:sz w:val="20"/>
                <w:szCs w:val="20"/>
                <w:color w:val="auto"/>
              </w:rPr>
              <w:t>date of grant</w:t>
            </w:r>
          </w:p>
        </w:tc>
        <w:tc>
          <w:tcPr>
            <w:tcW w:w="1080" w:type="dxa"/>
            <w:vAlign w:val="bottom"/>
          </w:tcPr>
          <w:p>
            <w:pPr>
              <w:spacing w:after="0"/>
              <w:rPr>
                <w:sz w:val="21"/>
                <w:szCs w:val="21"/>
                <w:color w:val="auto"/>
              </w:rPr>
            </w:pPr>
          </w:p>
        </w:tc>
        <w:tc>
          <w:tcPr>
            <w:tcW w:w="1860" w:type="dxa"/>
            <w:vAlign w:val="bottom"/>
          </w:tcPr>
          <w:p>
            <w:pPr>
              <w:spacing w:after="0"/>
              <w:rPr>
                <w:sz w:val="21"/>
                <w:szCs w:val="21"/>
                <w:color w:val="auto"/>
              </w:rPr>
            </w:pPr>
          </w:p>
        </w:tc>
      </w:tr>
      <w:tr>
        <w:trPr>
          <w:trHeight w:val="210"/>
        </w:trPr>
        <w:tc>
          <w:tcPr>
            <w:tcW w:w="1900" w:type="dxa"/>
            <w:vAlign w:val="bottom"/>
            <w:shd w:val="clear" w:color="auto" w:fill="CCEEFF"/>
          </w:tcPr>
          <w:p>
            <w:pPr>
              <w:spacing w:after="0" w:line="210" w:lineRule="exact"/>
              <w:rPr>
                <w:sz w:val="20"/>
                <w:szCs w:val="20"/>
                <w:color w:val="auto"/>
              </w:rPr>
            </w:pPr>
            <w:r>
              <w:rPr>
                <w:rFonts w:ascii="Times New Roman" w:cs="Times New Roman" w:eastAsia="Times New Roman" w:hAnsi="Times New Roman"/>
                <w:sz w:val="20"/>
                <w:szCs w:val="20"/>
                <w:color w:val="auto"/>
              </w:rPr>
              <w:t>November 8, 2022</w:t>
            </w:r>
          </w:p>
        </w:tc>
        <w:tc>
          <w:tcPr>
            <w:tcW w:w="1220" w:type="dxa"/>
            <w:vAlign w:val="bottom"/>
            <w:shd w:val="clear" w:color="auto" w:fill="CCEEFF"/>
          </w:tcPr>
          <w:p>
            <w:pPr>
              <w:jc w:val="right"/>
              <w:spacing w:after="0" w:line="210" w:lineRule="exact"/>
              <w:rPr>
                <w:sz w:val="20"/>
                <w:szCs w:val="20"/>
                <w:color w:val="auto"/>
              </w:rPr>
            </w:pPr>
            <w:r>
              <w:rPr>
                <w:rFonts w:ascii="Times New Roman" w:cs="Times New Roman" w:eastAsia="Times New Roman" w:hAnsi="Times New Roman"/>
                <w:sz w:val="20"/>
                <w:szCs w:val="20"/>
                <w:color w:val="auto"/>
              </w:rPr>
              <w:t>32,000</w:t>
            </w:r>
          </w:p>
        </w:tc>
        <w:tc>
          <w:tcPr>
            <w:tcW w:w="740" w:type="dxa"/>
            <w:vAlign w:val="bottom"/>
            <w:shd w:val="clear" w:color="auto" w:fill="CCEEFF"/>
          </w:tcPr>
          <w:p>
            <w:pPr>
              <w:jc w:val="right"/>
              <w:spacing w:after="0" w:line="210" w:lineRule="exact"/>
              <w:rPr>
                <w:sz w:val="20"/>
                <w:szCs w:val="20"/>
                <w:color w:val="auto"/>
              </w:rPr>
            </w:pPr>
            <w:r>
              <w:rPr>
                <w:rFonts w:ascii="Times New Roman" w:cs="Times New Roman" w:eastAsia="Times New Roman" w:hAnsi="Times New Roman"/>
                <w:sz w:val="20"/>
                <w:szCs w:val="20"/>
                <w:color w:val="auto"/>
              </w:rPr>
              <w:t>10.31</w:t>
            </w:r>
          </w:p>
        </w:tc>
        <w:tc>
          <w:tcPr>
            <w:tcW w:w="2580" w:type="dxa"/>
            <w:vAlign w:val="bottom"/>
            <w:shd w:val="clear" w:color="auto" w:fill="CCEEFF"/>
          </w:tcPr>
          <w:p>
            <w:pPr>
              <w:spacing w:after="0" w:line="210" w:lineRule="exact"/>
              <w:rPr>
                <w:sz w:val="20"/>
                <w:szCs w:val="20"/>
                <w:color w:val="auto"/>
              </w:rPr>
            </w:pPr>
            <w:r>
              <w:rPr>
                <w:rFonts w:ascii="Times New Roman" w:cs="Times New Roman" w:eastAsia="Times New Roman" w:hAnsi="Times New Roman"/>
                <w:sz w:val="20"/>
                <w:szCs w:val="20"/>
                <w:color w:val="auto"/>
              </w:rPr>
              <w:t>Vest ratably over three years</w:t>
            </w:r>
          </w:p>
        </w:tc>
        <w:tc>
          <w:tcPr>
            <w:tcW w:w="1080" w:type="dxa"/>
            <w:vAlign w:val="bottom"/>
            <w:shd w:val="clear" w:color="auto" w:fill="CCEEFF"/>
          </w:tcPr>
          <w:p>
            <w:pPr>
              <w:ind w:left="340"/>
              <w:spacing w:after="0" w:line="210" w:lineRule="exact"/>
              <w:rPr>
                <w:sz w:val="20"/>
                <w:szCs w:val="20"/>
                <w:color w:val="auto"/>
              </w:rPr>
            </w:pPr>
            <w:r>
              <w:rPr>
                <w:rFonts w:ascii="Times New Roman" w:cs="Times New Roman" w:eastAsia="Times New Roman" w:hAnsi="Times New Roman"/>
                <w:sz w:val="20"/>
                <w:szCs w:val="20"/>
                <w:color w:val="auto"/>
              </w:rPr>
              <w:t>10 years</w:t>
            </w:r>
          </w:p>
        </w:tc>
        <w:tc>
          <w:tcPr>
            <w:tcW w:w="1860" w:type="dxa"/>
            <w:vAlign w:val="bottom"/>
            <w:shd w:val="clear" w:color="auto" w:fill="CCEEFF"/>
          </w:tcPr>
          <w:p>
            <w:pPr>
              <w:jc w:val="right"/>
              <w:spacing w:after="0" w:line="210" w:lineRule="exact"/>
              <w:rPr>
                <w:sz w:val="20"/>
                <w:szCs w:val="20"/>
                <w:color w:val="auto"/>
              </w:rPr>
            </w:pPr>
            <w:r>
              <w:rPr>
                <w:rFonts w:ascii="Times New Roman" w:cs="Times New Roman" w:eastAsia="Times New Roman" w:hAnsi="Times New Roman"/>
                <w:sz w:val="20"/>
                <w:szCs w:val="20"/>
                <w:color w:val="auto"/>
              </w:rPr>
              <w:t>161</w:t>
            </w:r>
          </w:p>
        </w:tc>
      </w:tr>
      <w:tr>
        <w:trPr>
          <w:trHeight w:val="228"/>
        </w:trPr>
        <w:tc>
          <w:tcPr>
            <w:tcW w:w="19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580" w:type="dxa"/>
            <w:vAlign w:val="bottom"/>
            <w:shd w:val="clear" w:color="auto" w:fill="CCEEFF"/>
          </w:tcPr>
          <w:p>
            <w:pPr>
              <w:spacing w:after="0" w:line="228" w:lineRule="exact"/>
              <w:rPr>
                <w:sz w:val="20"/>
                <w:szCs w:val="20"/>
                <w:color w:val="auto"/>
              </w:rPr>
            </w:pPr>
            <w:r>
              <w:rPr>
                <w:rFonts w:ascii="Times New Roman" w:cs="Times New Roman" w:eastAsia="Times New Roman" w:hAnsi="Times New Roman"/>
                <w:sz w:val="20"/>
                <w:szCs w:val="20"/>
                <w:color w:val="auto"/>
                <w:shd w:val="clear" w:color="auto" w:fill="CCEEFF"/>
              </w:rPr>
              <w:t>beginning six months after the</w:t>
            </w:r>
          </w:p>
        </w:tc>
        <w:tc>
          <w:tcPr>
            <w:tcW w:w="108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r>
      <w:tr>
        <w:trPr>
          <w:trHeight w:val="250"/>
        </w:trPr>
        <w:tc>
          <w:tcPr>
            <w:tcW w:w="190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date of grant</w:t>
            </w:r>
          </w:p>
        </w:tc>
        <w:tc>
          <w:tcPr>
            <w:tcW w:w="1080" w:type="dxa"/>
            <w:vAlign w:val="bottom"/>
            <w:shd w:val="clear" w:color="auto" w:fill="CCEEFF"/>
          </w:tcPr>
          <w:p>
            <w:pPr>
              <w:spacing w:after="0"/>
              <w:rPr>
                <w:sz w:val="21"/>
                <w:szCs w:val="21"/>
                <w:color w:val="auto"/>
              </w:rPr>
            </w:pPr>
          </w:p>
        </w:tc>
        <w:tc>
          <w:tcPr>
            <w:tcW w:w="1860" w:type="dxa"/>
            <w:vAlign w:val="bottom"/>
            <w:shd w:val="clear" w:color="auto" w:fill="CCEEFF"/>
          </w:tcPr>
          <w:p>
            <w:pPr>
              <w:spacing w:after="0"/>
              <w:rPr>
                <w:sz w:val="21"/>
                <w:szCs w:val="21"/>
                <w:color w:val="auto"/>
              </w:rPr>
            </w:pPr>
          </w:p>
        </w:tc>
      </w:tr>
      <w:tr>
        <w:trPr>
          <w:trHeight w:val="210"/>
        </w:trPr>
        <w:tc>
          <w:tcPr>
            <w:tcW w:w="1900" w:type="dxa"/>
            <w:vAlign w:val="bottom"/>
          </w:tcPr>
          <w:p>
            <w:pPr>
              <w:spacing w:after="0" w:line="210" w:lineRule="exact"/>
              <w:rPr>
                <w:sz w:val="20"/>
                <w:szCs w:val="20"/>
                <w:color w:val="auto"/>
              </w:rPr>
            </w:pPr>
            <w:r>
              <w:rPr>
                <w:rFonts w:ascii="Times New Roman" w:cs="Times New Roman" w:eastAsia="Times New Roman" w:hAnsi="Times New Roman"/>
                <w:sz w:val="20"/>
                <w:szCs w:val="20"/>
                <w:color w:val="auto"/>
              </w:rPr>
              <w:t>December 15, 2022</w:t>
            </w:r>
          </w:p>
        </w:tc>
        <w:tc>
          <w:tcPr>
            <w:tcW w:w="1220" w:type="dxa"/>
            <w:vAlign w:val="bottom"/>
          </w:tcPr>
          <w:p>
            <w:pPr>
              <w:jc w:val="right"/>
              <w:spacing w:after="0" w:line="210" w:lineRule="exact"/>
              <w:rPr>
                <w:sz w:val="20"/>
                <w:szCs w:val="20"/>
                <w:color w:val="auto"/>
              </w:rPr>
            </w:pPr>
            <w:r>
              <w:rPr>
                <w:rFonts w:ascii="Times New Roman" w:cs="Times New Roman" w:eastAsia="Times New Roman" w:hAnsi="Times New Roman"/>
                <w:sz w:val="20"/>
                <w:szCs w:val="20"/>
                <w:color w:val="auto"/>
              </w:rPr>
              <w:t>395,000</w:t>
            </w:r>
          </w:p>
        </w:tc>
        <w:tc>
          <w:tcPr>
            <w:tcW w:w="740" w:type="dxa"/>
            <w:vAlign w:val="bottom"/>
          </w:tcPr>
          <w:p>
            <w:pPr>
              <w:jc w:val="right"/>
              <w:spacing w:after="0" w:line="210" w:lineRule="exact"/>
              <w:rPr>
                <w:sz w:val="20"/>
                <w:szCs w:val="20"/>
                <w:color w:val="auto"/>
              </w:rPr>
            </w:pPr>
            <w:r>
              <w:rPr>
                <w:rFonts w:ascii="Times New Roman" w:cs="Times New Roman" w:eastAsia="Times New Roman" w:hAnsi="Times New Roman"/>
                <w:sz w:val="20"/>
                <w:szCs w:val="20"/>
                <w:color w:val="auto"/>
              </w:rPr>
              <w:t>10.59</w:t>
            </w:r>
          </w:p>
        </w:tc>
        <w:tc>
          <w:tcPr>
            <w:tcW w:w="2580" w:type="dxa"/>
            <w:vAlign w:val="bottom"/>
          </w:tcPr>
          <w:p>
            <w:pPr>
              <w:spacing w:after="0" w:line="210" w:lineRule="exact"/>
              <w:rPr>
                <w:sz w:val="20"/>
                <w:szCs w:val="20"/>
                <w:color w:val="auto"/>
              </w:rPr>
            </w:pPr>
            <w:r>
              <w:rPr>
                <w:rFonts w:ascii="Times New Roman" w:cs="Times New Roman" w:eastAsia="Times New Roman" w:hAnsi="Times New Roman"/>
                <w:sz w:val="20"/>
                <w:szCs w:val="20"/>
                <w:color w:val="auto"/>
              </w:rPr>
              <w:t>Vest ratably over three years</w:t>
            </w:r>
          </w:p>
        </w:tc>
        <w:tc>
          <w:tcPr>
            <w:tcW w:w="1080" w:type="dxa"/>
            <w:vAlign w:val="bottom"/>
          </w:tcPr>
          <w:p>
            <w:pPr>
              <w:ind w:left="340"/>
              <w:spacing w:after="0" w:line="210" w:lineRule="exact"/>
              <w:rPr>
                <w:sz w:val="20"/>
                <w:szCs w:val="20"/>
                <w:color w:val="auto"/>
              </w:rPr>
            </w:pPr>
            <w:r>
              <w:rPr>
                <w:rFonts w:ascii="Times New Roman" w:cs="Times New Roman" w:eastAsia="Times New Roman" w:hAnsi="Times New Roman"/>
                <w:sz w:val="20"/>
                <w:szCs w:val="20"/>
                <w:color w:val="auto"/>
              </w:rPr>
              <w:t>10 years</w:t>
            </w:r>
          </w:p>
        </w:tc>
        <w:tc>
          <w:tcPr>
            <w:tcW w:w="1860" w:type="dxa"/>
            <w:vAlign w:val="bottom"/>
          </w:tcPr>
          <w:p>
            <w:pPr>
              <w:jc w:val="right"/>
              <w:spacing w:after="0" w:line="210" w:lineRule="exact"/>
              <w:rPr>
                <w:sz w:val="20"/>
                <w:szCs w:val="20"/>
                <w:color w:val="auto"/>
              </w:rPr>
            </w:pPr>
            <w:r>
              <w:rPr>
                <w:rFonts w:ascii="Times New Roman" w:cs="Times New Roman" w:eastAsia="Times New Roman" w:hAnsi="Times New Roman"/>
                <w:sz w:val="20"/>
                <w:szCs w:val="20"/>
                <w:color w:val="auto"/>
              </w:rPr>
              <w:t>1,979</w:t>
            </w:r>
          </w:p>
        </w:tc>
      </w:tr>
      <w:tr>
        <w:trPr>
          <w:trHeight w:val="230"/>
        </w:trPr>
        <w:tc>
          <w:tcPr>
            <w:tcW w:w="19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580" w:type="dxa"/>
            <w:vAlign w:val="bottom"/>
          </w:tcPr>
          <w:p>
            <w:pPr>
              <w:spacing w:after="0"/>
              <w:rPr>
                <w:sz w:val="20"/>
                <w:szCs w:val="20"/>
                <w:color w:val="auto"/>
              </w:rPr>
            </w:pPr>
            <w:r>
              <w:rPr>
                <w:rFonts w:ascii="Times New Roman" w:cs="Times New Roman" w:eastAsia="Times New Roman" w:hAnsi="Times New Roman"/>
                <w:sz w:val="20"/>
                <w:szCs w:val="20"/>
                <w:color w:val="auto"/>
              </w:rPr>
              <w:t>beginning six months after the</w:t>
            </w:r>
          </w:p>
        </w:tc>
        <w:tc>
          <w:tcPr>
            <w:tcW w:w="1080" w:type="dxa"/>
            <w:vAlign w:val="bottom"/>
          </w:tcPr>
          <w:p>
            <w:pPr>
              <w:spacing w:after="0"/>
              <w:rPr>
                <w:sz w:val="20"/>
                <w:szCs w:val="20"/>
                <w:color w:val="auto"/>
              </w:rPr>
            </w:pPr>
          </w:p>
        </w:tc>
        <w:tc>
          <w:tcPr>
            <w:tcW w:w="1860" w:type="dxa"/>
            <w:vAlign w:val="bottom"/>
          </w:tcPr>
          <w:p>
            <w:pPr>
              <w:spacing w:after="0"/>
              <w:rPr>
                <w:sz w:val="20"/>
                <w:szCs w:val="20"/>
                <w:color w:val="auto"/>
              </w:rPr>
            </w:pPr>
          </w:p>
        </w:tc>
      </w:tr>
      <w:tr>
        <w:trPr>
          <w:trHeight w:val="250"/>
        </w:trPr>
        <w:tc>
          <w:tcPr>
            <w:tcW w:w="19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580" w:type="dxa"/>
            <w:vAlign w:val="bottom"/>
          </w:tcPr>
          <w:p>
            <w:pPr>
              <w:spacing w:after="0"/>
              <w:rPr>
                <w:sz w:val="20"/>
                <w:szCs w:val="20"/>
                <w:color w:val="auto"/>
              </w:rPr>
            </w:pPr>
            <w:r>
              <w:rPr>
                <w:rFonts w:ascii="Times New Roman" w:cs="Times New Roman" w:eastAsia="Times New Roman" w:hAnsi="Times New Roman"/>
                <w:sz w:val="20"/>
                <w:szCs w:val="20"/>
                <w:color w:val="auto"/>
              </w:rPr>
              <w:t>date of grant</w:t>
            </w:r>
          </w:p>
        </w:tc>
        <w:tc>
          <w:tcPr>
            <w:tcW w:w="1080" w:type="dxa"/>
            <w:vAlign w:val="bottom"/>
          </w:tcPr>
          <w:p>
            <w:pPr>
              <w:spacing w:after="0"/>
              <w:rPr>
                <w:sz w:val="21"/>
                <w:szCs w:val="21"/>
                <w:color w:val="auto"/>
              </w:rPr>
            </w:pPr>
          </w:p>
        </w:tc>
        <w:tc>
          <w:tcPr>
            <w:tcW w:w="1860" w:type="dxa"/>
            <w:vAlign w:val="bottom"/>
          </w:tcPr>
          <w:p>
            <w:pPr>
              <w:spacing w:after="0"/>
              <w:rPr>
                <w:sz w:val="21"/>
                <w:szCs w:val="21"/>
                <w:color w:val="auto"/>
              </w:rPr>
            </w:pPr>
          </w:p>
        </w:tc>
      </w:tr>
      <w:tr>
        <w:trPr>
          <w:trHeight w:val="208"/>
        </w:trPr>
        <w:tc>
          <w:tcPr>
            <w:tcW w:w="1900" w:type="dxa"/>
            <w:vAlign w:val="bottom"/>
            <w:shd w:val="clear" w:color="auto" w:fill="CCEEFF"/>
          </w:tcPr>
          <w:p>
            <w:pPr>
              <w:spacing w:after="0" w:line="208" w:lineRule="exact"/>
              <w:rPr>
                <w:sz w:val="20"/>
                <w:szCs w:val="20"/>
                <w:color w:val="auto"/>
              </w:rPr>
            </w:pPr>
            <w:r>
              <w:rPr>
                <w:rFonts w:ascii="Times New Roman" w:cs="Times New Roman" w:eastAsia="Times New Roman" w:hAnsi="Times New Roman"/>
                <w:sz w:val="20"/>
                <w:szCs w:val="20"/>
                <w:color w:val="auto"/>
              </w:rPr>
              <w:t>April 5, 2023</w:t>
            </w:r>
          </w:p>
        </w:tc>
        <w:tc>
          <w:tcPr>
            <w:tcW w:w="1220" w:type="dxa"/>
            <w:vAlign w:val="bottom"/>
            <w:shd w:val="clear" w:color="auto" w:fill="CCEEFF"/>
          </w:tcPr>
          <w:p>
            <w:pPr>
              <w:jc w:val="right"/>
              <w:spacing w:after="0" w:line="208" w:lineRule="exact"/>
              <w:rPr>
                <w:sz w:val="20"/>
                <w:szCs w:val="20"/>
                <w:color w:val="auto"/>
              </w:rPr>
            </w:pPr>
            <w:r>
              <w:rPr>
                <w:rFonts w:ascii="Times New Roman" w:cs="Times New Roman" w:eastAsia="Times New Roman" w:hAnsi="Times New Roman"/>
                <w:sz w:val="20"/>
                <w:szCs w:val="20"/>
                <w:color w:val="auto"/>
              </w:rPr>
              <w:t>125,000</w:t>
            </w:r>
          </w:p>
        </w:tc>
        <w:tc>
          <w:tcPr>
            <w:tcW w:w="740" w:type="dxa"/>
            <w:vAlign w:val="bottom"/>
            <w:shd w:val="clear" w:color="auto" w:fill="CCEEFF"/>
          </w:tcPr>
          <w:p>
            <w:pPr>
              <w:jc w:val="right"/>
              <w:spacing w:after="0" w:line="208" w:lineRule="exact"/>
              <w:rPr>
                <w:sz w:val="20"/>
                <w:szCs w:val="20"/>
                <w:color w:val="auto"/>
              </w:rPr>
            </w:pPr>
            <w:r>
              <w:rPr>
                <w:rFonts w:ascii="Times New Roman" w:cs="Times New Roman" w:eastAsia="Times New Roman" w:hAnsi="Times New Roman"/>
                <w:sz w:val="20"/>
                <w:szCs w:val="20"/>
                <w:color w:val="auto"/>
              </w:rPr>
              <w:t>10.86</w:t>
            </w:r>
          </w:p>
        </w:tc>
        <w:tc>
          <w:tcPr>
            <w:tcW w:w="2580" w:type="dxa"/>
            <w:vAlign w:val="bottom"/>
            <w:shd w:val="clear" w:color="auto" w:fill="CCEEFF"/>
          </w:tcPr>
          <w:p>
            <w:pPr>
              <w:spacing w:after="0" w:line="208" w:lineRule="exact"/>
              <w:rPr>
                <w:sz w:val="20"/>
                <w:szCs w:val="20"/>
                <w:color w:val="auto"/>
              </w:rPr>
            </w:pPr>
            <w:r>
              <w:rPr>
                <w:rFonts w:ascii="Times New Roman" w:cs="Times New Roman" w:eastAsia="Times New Roman" w:hAnsi="Times New Roman"/>
                <w:sz w:val="20"/>
                <w:szCs w:val="20"/>
                <w:color w:val="auto"/>
              </w:rPr>
              <w:t>Vest ratably over three years</w:t>
            </w:r>
          </w:p>
        </w:tc>
        <w:tc>
          <w:tcPr>
            <w:tcW w:w="1080" w:type="dxa"/>
            <w:vAlign w:val="bottom"/>
            <w:shd w:val="clear" w:color="auto" w:fill="CCEEFF"/>
          </w:tcPr>
          <w:p>
            <w:pPr>
              <w:ind w:left="340"/>
              <w:spacing w:after="0" w:line="208" w:lineRule="exact"/>
              <w:rPr>
                <w:sz w:val="20"/>
                <w:szCs w:val="20"/>
                <w:color w:val="auto"/>
              </w:rPr>
            </w:pPr>
            <w:r>
              <w:rPr>
                <w:rFonts w:ascii="Times New Roman" w:cs="Times New Roman" w:eastAsia="Times New Roman" w:hAnsi="Times New Roman"/>
                <w:sz w:val="20"/>
                <w:szCs w:val="20"/>
                <w:color w:val="auto"/>
              </w:rPr>
              <w:t>10 years</w:t>
            </w:r>
          </w:p>
        </w:tc>
        <w:tc>
          <w:tcPr>
            <w:tcW w:w="1860" w:type="dxa"/>
            <w:vAlign w:val="bottom"/>
            <w:shd w:val="clear" w:color="auto" w:fill="CCEEFF"/>
          </w:tcPr>
          <w:p>
            <w:pPr>
              <w:jc w:val="right"/>
              <w:spacing w:after="0" w:line="208" w:lineRule="exact"/>
              <w:rPr>
                <w:sz w:val="20"/>
                <w:szCs w:val="20"/>
                <w:color w:val="auto"/>
              </w:rPr>
            </w:pPr>
            <w:r>
              <w:rPr>
                <w:rFonts w:ascii="Times New Roman" w:cs="Times New Roman" w:eastAsia="Times New Roman" w:hAnsi="Times New Roman"/>
                <w:sz w:val="20"/>
                <w:szCs w:val="20"/>
                <w:color w:val="auto"/>
              </w:rPr>
              <w:t>749</w:t>
            </w:r>
          </w:p>
        </w:tc>
      </w:tr>
      <w:tr>
        <w:trPr>
          <w:trHeight w:val="230"/>
        </w:trPr>
        <w:tc>
          <w:tcPr>
            <w:tcW w:w="19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shd w:val="clear" w:color="auto" w:fill="CCEEFF"/>
              </w:rPr>
              <w:t>beginning six months after the</w:t>
            </w:r>
          </w:p>
        </w:tc>
        <w:tc>
          <w:tcPr>
            <w:tcW w:w="1080" w:type="dxa"/>
            <w:vAlign w:val="bottom"/>
            <w:shd w:val="clear" w:color="auto" w:fill="CCEEFF"/>
          </w:tcPr>
          <w:p>
            <w:pPr>
              <w:spacing w:after="0"/>
              <w:rPr>
                <w:sz w:val="20"/>
                <w:szCs w:val="20"/>
                <w:color w:val="auto"/>
              </w:rPr>
            </w:pPr>
          </w:p>
        </w:tc>
        <w:tc>
          <w:tcPr>
            <w:tcW w:w="1860" w:type="dxa"/>
            <w:vAlign w:val="bottom"/>
            <w:shd w:val="clear" w:color="auto" w:fill="CCEEFF"/>
          </w:tcPr>
          <w:p>
            <w:pPr>
              <w:spacing w:after="0"/>
              <w:rPr>
                <w:sz w:val="20"/>
                <w:szCs w:val="20"/>
                <w:color w:val="auto"/>
              </w:rPr>
            </w:pPr>
          </w:p>
        </w:tc>
      </w:tr>
      <w:tr>
        <w:trPr>
          <w:trHeight w:val="250"/>
        </w:trPr>
        <w:tc>
          <w:tcPr>
            <w:tcW w:w="190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date of grant</w:t>
            </w:r>
          </w:p>
        </w:tc>
        <w:tc>
          <w:tcPr>
            <w:tcW w:w="1080" w:type="dxa"/>
            <w:vAlign w:val="bottom"/>
            <w:shd w:val="clear" w:color="auto" w:fill="CCEEFF"/>
          </w:tcPr>
          <w:p>
            <w:pPr>
              <w:spacing w:after="0"/>
              <w:rPr>
                <w:sz w:val="21"/>
                <w:szCs w:val="21"/>
                <w:color w:val="auto"/>
              </w:rPr>
            </w:pPr>
          </w:p>
        </w:tc>
        <w:tc>
          <w:tcPr>
            <w:tcW w:w="1860" w:type="dxa"/>
            <w:vAlign w:val="bottom"/>
            <w:shd w:val="clear" w:color="auto" w:fill="CCEEFF"/>
          </w:tcPr>
          <w:p>
            <w:pPr>
              <w:spacing w:after="0"/>
              <w:rPr>
                <w:sz w:val="21"/>
                <w:szCs w:val="21"/>
                <w:color w:val="auto"/>
              </w:rPr>
            </w:pPr>
          </w:p>
        </w:tc>
      </w:tr>
      <w:tr>
        <w:trPr>
          <w:trHeight w:val="210"/>
        </w:trPr>
        <w:tc>
          <w:tcPr>
            <w:tcW w:w="1900" w:type="dxa"/>
            <w:vAlign w:val="bottom"/>
          </w:tcPr>
          <w:p>
            <w:pPr>
              <w:spacing w:after="0" w:line="210" w:lineRule="exact"/>
              <w:rPr>
                <w:sz w:val="20"/>
                <w:szCs w:val="20"/>
                <w:color w:val="auto"/>
              </w:rPr>
            </w:pPr>
            <w:r>
              <w:rPr>
                <w:rFonts w:ascii="Times New Roman" w:cs="Times New Roman" w:eastAsia="Times New Roman" w:hAnsi="Times New Roman"/>
                <w:sz w:val="20"/>
                <w:szCs w:val="20"/>
                <w:color w:val="auto"/>
              </w:rPr>
              <w:t>May 2, 2023</w:t>
            </w:r>
          </w:p>
        </w:tc>
        <w:tc>
          <w:tcPr>
            <w:tcW w:w="1220" w:type="dxa"/>
            <w:vAlign w:val="bottom"/>
          </w:tcPr>
          <w:p>
            <w:pPr>
              <w:jc w:val="right"/>
              <w:spacing w:after="0" w:line="210" w:lineRule="exact"/>
              <w:rPr>
                <w:sz w:val="20"/>
                <w:szCs w:val="20"/>
                <w:color w:val="auto"/>
              </w:rPr>
            </w:pPr>
            <w:r>
              <w:rPr>
                <w:rFonts w:ascii="Times New Roman" w:cs="Times New Roman" w:eastAsia="Times New Roman" w:hAnsi="Times New Roman"/>
                <w:sz w:val="20"/>
                <w:szCs w:val="20"/>
                <w:color w:val="auto"/>
              </w:rPr>
              <w:t>200,000</w:t>
            </w:r>
          </w:p>
        </w:tc>
        <w:tc>
          <w:tcPr>
            <w:tcW w:w="740" w:type="dxa"/>
            <w:vAlign w:val="bottom"/>
          </w:tcPr>
          <w:p>
            <w:pPr>
              <w:jc w:val="right"/>
              <w:spacing w:after="0" w:line="210" w:lineRule="exact"/>
              <w:rPr>
                <w:sz w:val="20"/>
                <w:szCs w:val="20"/>
                <w:color w:val="auto"/>
              </w:rPr>
            </w:pPr>
            <w:r>
              <w:rPr>
                <w:rFonts w:ascii="Times New Roman" w:cs="Times New Roman" w:eastAsia="Times New Roman" w:hAnsi="Times New Roman"/>
                <w:sz w:val="20"/>
                <w:szCs w:val="20"/>
                <w:color w:val="auto"/>
              </w:rPr>
              <w:t>11.09</w:t>
            </w:r>
          </w:p>
        </w:tc>
        <w:tc>
          <w:tcPr>
            <w:tcW w:w="2580" w:type="dxa"/>
            <w:vAlign w:val="bottom"/>
          </w:tcPr>
          <w:p>
            <w:pPr>
              <w:spacing w:after="0" w:line="210" w:lineRule="exact"/>
              <w:rPr>
                <w:sz w:val="20"/>
                <w:szCs w:val="20"/>
                <w:color w:val="auto"/>
              </w:rPr>
            </w:pPr>
            <w:r>
              <w:rPr>
                <w:rFonts w:ascii="Times New Roman" w:cs="Times New Roman" w:eastAsia="Times New Roman" w:hAnsi="Times New Roman"/>
                <w:sz w:val="20"/>
                <w:szCs w:val="20"/>
                <w:color w:val="auto"/>
              </w:rPr>
              <w:t>Vest ratably over three years</w:t>
            </w:r>
          </w:p>
        </w:tc>
        <w:tc>
          <w:tcPr>
            <w:tcW w:w="1080" w:type="dxa"/>
            <w:vAlign w:val="bottom"/>
          </w:tcPr>
          <w:p>
            <w:pPr>
              <w:ind w:left="340"/>
              <w:spacing w:after="0" w:line="210" w:lineRule="exact"/>
              <w:rPr>
                <w:sz w:val="20"/>
                <w:szCs w:val="20"/>
                <w:color w:val="auto"/>
              </w:rPr>
            </w:pPr>
            <w:r>
              <w:rPr>
                <w:rFonts w:ascii="Times New Roman" w:cs="Times New Roman" w:eastAsia="Times New Roman" w:hAnsi="Times New Roman"/>
                <w:sz w:val="20"/>
                <w:szCs w:val="20"/>
                <w:color w:val="auto"/>
              </w:rPr>
              <w:t>10 years</w:t>
            </w:r>
          </w:p>
        </w:tc>
        <w:tc>
          <w:tcPr>
            <w:tcW w:w="1860" w:type="dxa"/>
            <w:vAlign w:val="bottom"/>
          </w:tcPr>
          <w:p>
            <w:pPr>
              <w:jc w:val="right"/>
              <w:spacing w:after="0" w:line="210" w:lineRule="exact"/>
              <w:rPr>
                <w:sz w:val="20"/>
                <w:szCs w:val="20"/>
                <w:color w:val="auto"/>
              </w:rPr>
            </w:pPr>
            <w:r>
              <w:rPr>
                <w:rFonts w:ascii="Times New Roman" w:cs="Times New Roman" w:eastAsia="Times New Roman" w:hAnsi="Times New Roman"/>
                <w:sz w:val="20"/>
                <w:szCs w:val="20"/>
                <w:color w:val="auto"/>
              </w:rPr>
              <w:t>1,300</w:t>
            </w:r>
          </w:p>
        </w:tc>
      </w:tr>
      <w:tr>
        <w:trPr>
          <w:trHeight w:val="230"/>
        </w:trPr>
        <w:tc>
          <w:tcPr>
            <w:tcW w:w="19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580" w:type="dxa"/>
            <w:vAlign w:val="bottom"/>
          </w:tcPr>
          <w:p>
            <w:pPr>
              <w:spacing w:after="0"/>
              <w:rPr>
                <w:sz w:val="20"/>
                <w:szCs w:val="20"/>
                <w:color w:val="auto"/>
              </w:rPr>
            </w:pPr>
            <w:r>
              <w:rPr>
                <w:rFonts w:ascii="Times New Roman" w:cs="Times New Roman" w:eastAsia="Times New Roman" w:hAnsi="Times New Roman"/>
                <w:sz w:val="20"/>
                <w:szCs w:val="20"/>
                <w:color w:val="auto"/>
              </w:rPr>
              <w:t>beginning six months after the</w:t>
            </w:r>
          </w:p>
        </w:tc>
        <w:tc>
          <w:tcPr>
            <w:tcW w:w="1080" w:type="dxa"/>
            <w:vAlign w:val="bottom"/>
          </w:tcPr>
          <w:p>
            <w:pPr>
              <w:spacing w:after="0"/>
              <w:rPr>
                <w:sz w:val="20"/>
                <w:szCs w:val="20"/>
                <w:color w:val="auto"/>
              </w:rPr>
            </w:pPr>
          </w:p>
        </w:tc>
        <w:tc>
          <w:tcPr>
            <w:tcW w:w="1860" w:type="dxa"/>
            <w:vAlign w:val="bottom"/>
          </w:tcPr>
          <w:p>
            <w:pPr>
              <w:spacing w:after="0"/>
              <w:rPr>
                <w:sz w:val="20"/>
                <w:szCs w:val="20"/>
                <w:color w:val="auto"/>
              </w:rPr>
            </w:pPr>
          </w:p>
        </w:tc>
      </w:tr>
      <w:tr>
        <w:trPr>
          <w:trHeight w:val="250"/>
        </w:trPr>
        <w:tc>
          <w:tcPr>
            <w:tcW w:w="19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580" w:type="dxa"/>
            <w:vAlign w:val="bottom"/>
          </w:tcPr>
          <w:p>
            <w:pPr>
              <w:spacing w:after="0"/>
              <w:rPr>
                <w:sz w:val="20"/>
                <w:szCs w:val="20"/>
                <w:color w:val="auto"/>
              </w:rPr>
            </w:pPr>
            <w:r>
              <w:rPr>
                <w:rFonts w:ascii="Times New Roman" w:cs="Times New Roman" w:eastAsia="Times New Roman" w:hAnsi="Times New Roman"/>
                <w:sz w:val="20"/>
                <w:szCs w:val="20"/>
                <w:color w:val="auto"/>
              </w:rPr>
              <w:t>date of grant</w:t>
            </w:r>
          </w:p>
        </w:tc>
        <w:tc>
          <w:tcPr>
            <w:tcW w:w="1080" w:type="dxa"/>
            <w:vAlign w:val="bottom"/>
          </w:tcPr>
          <w:p>
            <w:pPr>
              <w:spacing w:after="0"/>
              <w:rPr>
                <w:sz w:val="21"/>
                <w:szCs w:val="21"/>
                <w:color w:val="auto"/>
              </w:rPr>
            </w:pPr>
          </w:p>
        </w:tc>
        <w:tc>
          <w:tcPr>
            <w:tcW w:w="1860" w:type="dxa"/>
            <w:vAlign w:val="bottom"/>
          </w:tcPr>
          <w:p>
            <w:pPr>
              <w:spacing w:after="0"/>
              <w:rPr>
                <w:sz w:val="21"/>
                <w:szCs w:val="21"/>
                <w:color w:val="auto"/>
              </w:rPr>
            </w:pPr>
          </w:p>
        </w:tc>
      </w:tr>
      <w:tr>
        <w:trPr>
          <w:trHeight w:val="208"/>
        </w:trPr>
        <w:tc>
          <w:tcPr>
            <w:tcW w:w="1900" w:type="dxa"/>
            <w:vAlign w:val="bottom"/>
            <w:shd w:val="clear" w:color="auto" w:fill="CCEEFF"/>
          </w:tcPr>
          <w:p>
            <w:pPr>
              <w:spacing w:after="0" w:line="208" w:lineRule="exact"/>
              <w:rPr>
                <w:sz w:val="20"/>
                <w:szCs w:val="20"/>
                <w:color w:val="auto"/>
              </w:rPr>
            </w:pPr>
            <w:r>
              <w:rPr>
                <w:rFonts w:ascii="Times New Roman" w:cs="Times New Roman" w:eastAsia="Times New Roman" w:hAnsi="Times New Roman"/>
                <w:sz w:val="20"/>
                <w:szCs w:val="20"/>
                <w:color w:val="auto"/>
              </w:rPr>
              <w:t>May 31, 2023</w:t>
            </w:r>
          </w:p>
        </w:tc>
        <w:tc>
          <w:tcPr>
            <w:tcW w:w="1220" w:type="dxa"/>
            <w:vAlign w:val="bottom"/>
            <w:shd w:val="clear" w:color="auto" w:fill="CCEEFF"/>
          </w:tcPr>
          <w:p>
            <w:pPr>
              <w:jc w:val="right"/>
              <w:spacing w:after="0" w:line="208" w:lineRule="exact"/>
              <w:rPr>
                <w:sz w:val="20"/>
                <w:szCs w:val="20"/>
                <w:color w:val="auto"/>
              </w:rPr>
            </w:pPr>
            <w:r>
              <w:rPr>
                <w:rFonts w:ascii="Times New Roman" w:cs="Times New Roman" w:eastAsia="Times New Roman" w:hAnsi="Times New Roman"/>
                <w:sz w:val="20"/>
                <w:szCs w:val="20"/>
                <w:color w:val="auto"/>
              </w:rPr>
              <w:t>50,000</w:t>
            </w:r>
          </w:p>
        </w:tc>
        <w:tc>
          <w:tcPr>
            <w:tcW w:w="740" w:type="dxa"/>
            <w:vAlign w:val="bottom"/>
            <w:shd w:val="clear" w:color="auto" w:fill="CCEEFF"/>
          </w:tcPr>
          <w:p>
            <w:pPr>
              <w:jc w:val="right"/>
              <w:spacing w:after="0" w:line="208" w:lineRule="exact"/>
              <w:rPr>
                <w:sz w:val="20"/>
                <w:szCs w:val="20"/>
                <w:color w:val="auto"/>
              </w:rPr>
            </w:pPr>
            <w:r>
              <w:rPr>
                <w:rFonts w:ascii="Times New Roman" w:cs="Times New Roman" w:eastAsia="Times New Roman" w:hAnsi="Times New Roman"/>
                <w:sz w:val="20"/>
                <w:szCs w:val="20"/>
                <w:color w:val="auto"/>
              </w:rPr>
              <w:t>10.01</w:t>
            </w:r>
          </w:p>
        </w:tc>
        <w:tc>
          <w:tcPr>
            <w:tcW w:w="2580" w:type="dxa"/>
            <w:vAlign w:val="bottom"/>
            <w:shd w:val="clear" w:color="auto" w:fill="CCEEFF"/>
          </w:tcPr>
          <w:p>
            <w:pPr>
              <w:spacing w:after="0" w:line="208" w:lineRule="exact"/>
              <w:rPr>
                <w:sz w:val="20"/>
                <w:szCs w:val="20"/>
                <w:color w:val="auto"/>
              </w:rPr>
            </w:pPr>
            <w:r>
              <w:rPr>
                <w:rFonts w:ascii="Times New Roman" w:cs="Times New Roman" w:eastAsia="Times New Roman" w:hAnsi="Times New Roman"/>
                <w:sz w:val="20"/>
                <w:szCs w:val="20"/>
                <w:color w:val="auto"/>
              </w:rPr>
              <w:t>Vest ratably over three years</w:t>
            </w:r>
          </w:p>
        </w:tc>
        <w:tc>
          <w:tcPr>
            <w:tcW w:w="1080" w:type="dxa"/>
            <w:vAlign w:val="bottom"/>
            <w:shd w:val="clear" w:color="auto" w:fill="CCEEFF"/>
          </w:tcPr>
          <w:p>
            <w:pPr>
              <w:ind w:left="340"/>
              <w:spacing w:after="0" w:line="208" w:lineRule="exact"/>
              <w:rPr>
                <w:sz w:val="20"/>
                <w:szCs w:val="20"/>
                <w:color w:val="auto"/>
              </w:rPr>
            </w:pPr>
            <w:r>
              <w:rPr>
                <w:rFonts w:ascii="Times New Roman" w:cs="Times New Roman" w:eastAsia="Times New Roman" w:hAnsi="Times New Roman"/>
                <w:sz w:val="20"/>
                <w:szCs w:val="20"/>
                <w:color w:val="auto"/>
              </w:rPr>
              <w:t>10 years</w:t>
            </w:r>
          </w:p>
        </w:tc>
        <w:tc>
          <w:tcPr>
            <w:tcW w:w="1860" w:type="dxa"/>
            <w:vAlign w:val="bottom"/>
            <w:shd w:val="clear" w:color="auto" w:fill="CCEEFF"/>
          </w:tcPr>
          <w:p>
            <w:pPr>
              <w:jc w:val="right"/>
              <w:spacing w:after="0" w:line="208" w:lineRule="exact"/>
              <w:rPr>
                <w:sz w:val="20"/>
                <w:szCs w:val="20"/>
                <w:color w:val="auto"/>
              </w:rPr>
            </w:pPr>
            <w:r>
              <w:rPr>
                <w:rFonts w:ascii="Times New Roman" w:cs="Times New Roman" w:eastAsia="Times New Roman" w:hAnsi="Times New Roman"/>
                <w:sz w:val="20"/>
                <w:szCs w:val="20"/>
                <w:color w:val="auto"/>
              </w:rPr>
              <w:t>290</w:t>
            </w:r>
          </w:p>
        </w:tc>
      </w:tr>
      <w:tr>
        <w:trPr>
          <w:trHeight w:val="230"/>
        </w:trPr>
        <w:tc>
          <w:tcPr>
            <w:tcW w:w="19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shd w:val="clear" w:color="auto" w:fill="CCEEFF"/>
              </w:rPr>
              <w:t>beginning six months after the</w:t>
            </w:r>
          </w:p>
        </w:tc>
        <w:tc>
          <w:tcPr>
            <w:tcW w:w="1080" w:type="dxa"/>
            <w:vAlign w:val="bottom"/>
            <w:shd w:val="clear" w:color="auto" w:fill="CCEEFF"/>
          </w:tcPr>
          <w:p>
            <w:pPr>
              <w:spacing w:after="0"/>
              <w:rPr>
                <w:sz w:val="20"/>
                <w:szCs w:val="20"/>
                <w:color w:val="auto"/>
              </w:rPr>
            </w:pPr>
          </w:p>
        </w:tc>
        <w:tc>
          <w:tcPr>
            <w:tcW w:w="1860" w:type="dxa"/>
            <w:vAlign w:val="bottom"/>
            <w:shd w:val="clear" w:color="auto" w:fill="CCEEFF"/>
          </w:tcPr>
          <w:p>
            <w:pPr>
              <w:spacing w:after="0"/>
              <w:rPr>
                <w:sz w:val="20"/>
                <w:szCs w:val="20"/>
                <w:color w:val="auto"/>
              </w:rPr>
            </w:pPr>
          </w:p>
        </w:tc>
      </w:tr>
      <w:tr>
        <w:trPr>
          <w:trHeight w:val="250"/>
        </w:trPr>
        <w:tc>
          <w:tcPr>
            <w:tcW w:w="190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date of grant</w:t>
            </w:r>
          </w:p>
        </w:tc>
        <w:tc>
          <w:tcPr>
            <w:tcW w:w="1080" w:type="dxa"/>
            <w:vAlign w:val="bottom"/>
            <w:shd w:val="clear" w:color="auto" w:fill="CCEEFF"/>
          </w:tcPr>
          <w:p>
            <w:pPr>
              <w:spacing w:after="0"/>
              <w:rPr>
                <w:sz w:val="21"/>
                <w:szCs w:val="21"/>
                <w:color w:val="auto"/>
              </w:rPr>
            </w:pPr>
          </w:p>
        </w:tc>
        <w:tc>
          <w:tcPr>
            <w:tcW w:w="1860" w:type="dxa"/>
            <w:vAlign w:val="bottom"/>
            <w:shd w:val="clear" w:color="auto" w:fill="CCEEFF"/>
          </w:tcPr>
          <w:p>
            <w:pPr>
              <w:spacing w:after="0"/>
              <w:rPr>
                <w:sz w:val="21"/>
                <w:szCs w:val="21"/>
                <w:color w:val="auto"/>
              </w:rPr>
            </w:pPr>
          </w:p>
        </w:tc>
      </w:tr>
      <w:tr>
        <w:trPr>
          <w:trHeight w:val="210"/>
        </w:trPr>
        <w:tc>
          <w:tcPr>
            <w:tcW w:w="1900" w:type="dxa"/>
            <w:vAlign w:val="bottom"/>
          </w:tcPr>
          <w:p>
            <w:pPr>
              <w:spacing w:after="0" w:line="210" w:lineRule="exact"/>
              <w:rPr>
                <w:sz w:val="20"/>
                <w:szCs w:val="20"/>
                <w:color w:val="auto"/>
              </w:rPr>
            </w:pPr>
            <w:r>
              <w:rPr>
                <w:rFonts w:ascii="Times New Roman" w:cs="Times New Roman" w:eastAsia="Times New Roman" w:hAnsi="Times New Roman"/>
                <w:sz w:val="20"/>
                <w:szCs w:val="20"/>
                <w:color w:val="auto"/>
              </w:rPr>
              <w:t>August 23, 2023</w:t>
            </w:r>
          </w:p>
        </w:tc>
        <w:tc>
          <w:tcPr>
            <w:tcW w:w="1220" w:type="dxa"/>
            <w:vAlign w:val="bottom"/>
          </w:tcPr>
          <w:p>
            <w:pPr>
              <w:jc w:val="right"/>
              <w:spacing w:after="0" w:line="210" w:lineRule="exact"/>
              <w:rPr>
                <w:sz w:val="20"/>
                <w:szCs w:val="20"/>
                <w:color w:val="auto"/>
              </w:rPr>
            </w:pPr>
            <w:r>
              <w:rPr>
                <w:rFonts w:ascii="Times New Roman" w:cs="Times New Roman" w:eastAsia="Times New Roman" w:hAnsi="Times New Roman"/>
                <w:sz w:val="20"/>
                <w:szCs w:val="20"/>
                <w:color w:val="auto"/>
              </w:rPr>
              <w:t>177,000</w:t>
            </w:r>
          </w:p>
        </w:tc>
        <w:tc>
          <w:tcPr>
            <w:tcW w:w="740" w:type="dxa"/>
            <w:vAlign w:val="bottom"/>
          </w:tcPr>
          <w:p>
            <w:pPr>
              <w:jc w:val="right"/>
              <w:spacing w:after="0" w:line="210" w:lineRule="exact"/>
              <w:rPr>
                <w:sz w:val="20"/>
                <w:szCs w:val="20"/>
                <w:color w:val="auto"/>
              </w:rPr>
            </w:pPr>
            <w:r>
              <w:rPr>
                <w:rFonts w:ascii="Times New Roman" w:cs="Times New Roman" w:eastAsia="Times New Roman" w:hAnsi="Times New Roman"/>
                <w:sz w:val="20"/>
                <w:szCs w:val="20"/>
                <w:color w:val="auto"/>
              </w:rPr>
              <w:t>8.20</w:t>
            </w:r>
          </w:p>
        </w:tc>
        <w:tc>
          <w:tcPr>
            <w:tcW w:w="2580" w:type="dxa"/>
            <w:vAlign w:val="bottom"/>
          </w:tcPr>
          <w:p>
            <w:pPr>
              <w:spacing w:after="0" w:line="210" w:lineRule="exact"/>
              <w:rPr>
                <w:sz w:val="20"/>
                <w:szCs w:val="20"/>
                <w:color w:val="auto"/>
              </w:rPr>
            </w:pPr>
            <w:r>
              <w:rPr>
                <w:rFonts w:ascii="Times New Roman" w:cs="Times New Roman" w:eastAsia="Times New Roman" w:hAnsi="Times New Roman"/>
                <w:sz w:val="20"/>
                <w:szCs w:val="20"/>
                <w:color w:val="auto"/>
              </w:rPr>
              <w:t>Vest ratably over three years</w:t>
            </w:r>
          </w:p>
        </w:tc>
        <w:tc>
          <w:tcPr>
            <w:tcW w:w="1080" w:type="dxa"/>
            <w:vAlign w:val="bottom"/>
          </w:tcPr>
          <w:p>
            <w:pPr>
              <w:ind w:left="340"/>
              <w:spacing w:after="0" w:line="210" w:lineRule="exact"/>
              <w:rPr>
                <w:sz w:val="20"/>
                <w:szCs w:val="20"/>
                <w:color w:val="auto"/>
              </w:rPr>
            </w:pPr>
            <w:r>
              <w:rPr>
                <w:rFonts w:ascii="Times New Roman" w:cs="Times New Roman" w:eastAsia="Times New Roman" w:hAnsi="Times New Roman"/>
                <w:sz w:val="20"/>
                <w:szCs w:val="20"/>
                <w:color w:val="auto"/>
              </w:rPr>
              <w:t>10 years</w:t>
            </w:r>
          </w:p>
        </w:tc>
        <w:tc>
          <w:tcPr>
            <w:tcW w:w="1860" w:type="dxa"/>
            <w:vAlign w:val="bottom"/>
          </w:tcPr>
          <w:p>
            <w:pPr>
              <w:jc w:val="right"/>
              <w:spacing w:after="0" w:line="210" w:lineRule="exact"/>
              <w:rPr>
                <w:sz w:val="20"/>
                <w:szCs w:val="20"/>
                <w:color w:val="auto"/>
              </w:rPr>
            </w:pPr>
            <w:r>
              <w:rPr>
                <w:rFonts w:ascii="Times New Roman" w:cs="Times New Roman" w:eastAsia="Times New Roman" w:hAnsi="Times New Roman"/>
                <w:sz w:val="20"/>
                <w:szCs w:val="20"/>
                <w:color w:val="auto"/>
              </w:rPr>
              <w:t>843</w:t>
            </w:r>
          </w:p>
        </w:tc>
      </w:tr>
      <w:tr>
        <w:trPr>
          <w:trHeight w:val="230"/>
        </w:trPr>
        <w:tc>
          <w:tcPr>
            <w:tcW w:w="19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580" w:type="dxa"/>
            <w:vAlign w:val="bottom"/>
          </w:tcPr>
          <w:p>
            <w:pPr>
              <w:spacing w:after="0"/>
              <w:rPr>
                <w:sz w:val="20"/>
                <w:szCs w:val="20"/>
                <w:color w:val="auto"/>
              </w:rPr>
            </w:pPr>
            <w:r>
              <w:rPr>
                <w:rFonts w:ascii="Times New Roman" w:cs="Times New Roman" w:eastAsia="Times New Roman" w:hAnsi="Times New Roman"/>
                <w:sz w:val="20"/>
                <w:szCs w:val="20"/>
                <w:color w:val="auto"/>
              </w:rPr>
              <w:t>beginning six months after the</w:t>
            </w:r>
          </w:p>
        </w:tc>
        <w:tc>
          <w:tcPr>
            <w:tcW w:w="1080" w:type="dxa"/>
            <w:vAlign w:val="bottom"/>
          </w:tcPr>
          <w:p>
            <w:pPr>
              <w:spacing w:after="0"/>
              <w:rPr>
                <w:sz w:val="20"/>
                <w:szCs w:val="20"/>
                <w:color w:val="auto"/>
              </w:rPr>
            </w:pPr>
          </w:p>
        </w:tc>
        <w:tc>
          <w:tcPr>
            <w:tcW w:w="1860" w:type="dxa"/>
            <w:vAlign w:val="bottom"/>
          </w:tcPr>
          <w:p>
            <w:pPr>
              <w:spacing w:after="0"/>
              <w:rPr>
                <w:sz w:val="20"/>
                <w:szCs w:val="20"/>
                <w:color w:val="auto"/>
              </w:rPr>
            </w:pPr>
          </w:p>
        </w:tc>
      </w:tr>
      <w:tr>
        <w:trPr>
          <w:trHeight w:val="250"/>
        </w:trPr>
        <w:tc>
          <w:tcPr>
            <w:tcW w:w="19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580" w:type="dxa"/>
            <w:vAlign w:val="bottom"/>
          </w:tcPr>
          <w:p>
            <w:pPr>
              <w:spacing w:after="0"/>
              <w:rPr>
                <w:sz w:val="20"/>
                <w:szCs w:val="20"/>
                <w:color w:val="auto"/>
              </w:rPr>
            </w:pPr>
            <w:r>
              <w:rPr>
                <w:rFonts w:ascii="Times New Roman" w:cs="Times New Roman" w:eastAsia="Times New Roman" w:hAnsi="Times New Roman"/>
                <w:sz w:val="20"/>
                <w:szCs w:val="20"/>
                <w:color w:val="auto"/>
              </w:rPr>
              <w:t>date of grant</w:t>
            </w:r>
          </w:p>
        </w:tc>
        <w:tc>
          <w:tcPr>
            <w:tcW w:w="1080" w:type="dxa"/>
            <w:vAlign w:val="bottom"/>
          </w:tcPr>
          <w:p>
            <w:pPr>
              <w:spacing w:after="0"/>
              <w:rPr>
                <w:sz w:val="21"/>
                <w:szCs w:val="21"/>
                <w:color w:val="auto"/>
              </w:rPr>
            </w:pPr>
          </w:p>
        </w:tc>
        <w:tc>
          <w:tcPr>
            <w:tcW w:w="1860" w:type="dxa"/>
            <w:vAlign w:val="bottom"/>
          </w:tcPr>
          <w:p>
            <w:pPr>
              <w:spacing w:after="0"/>
              <w:rPr>
                <w:sz w:val="21"/>
                <w:szCs w:val="21"/>
                <w:color w:val="auto"/>
              </w:rPr>
            </w:pPr>
          </w:p>
        </w:tc>
      </w:tr>
      <w:tr>
        <w:trPr>
          <w:trHeight w:val="208"/>
        </w:trPr>
        <w:tc>
          <w:tcPr>
            <w:tcW w:w="1900" w:type="dxa"/>
            <w:vAlign w:val="bottom"/>
            <w:shd w:val="clear" w:color="auto" w:fill="CCEEFF"/>
          </w:tcPr>
          <w:p>
            <w:pPr>
              <w:spacing w:after="0" w:line="208" w:lineRule="exact"/>
              <w:rPr>
                <w:sz w:val="20"/>
                <w:szCs w:val="20"/>
                <w:color w:val="auto"/>
              </w:rPr>
            </w:pPr>
            <w:r>
              <w:rPr>
                <w:rFonts w:ascii="Times New Roman" w:cs="Times New Roman" w:eastAsia="Times New Roman" w:hAnsi="Times New Roman"/>
                <w:sz w:val="20"/>
                <w:szCs w:val="20"/>
                <w:color w:val="auto"/>
              </w:rPr>
              <w:t>September 20, 2023</w:t>
            </w:r>
          </w:p>
        </w:tc>
        <w:tc>
          <w:tcPr>
            <w:tcW w:w="1220" w:type="dxa"/>
            <w:vAlign w:val="bottom"/>
            <w:shd w:val="clear" w:color="auto" w:fill="CCEEFF"/>
          </w:tcPr>
          <w:p>
            <w:pPr>
              <w:jc w:val="right"/>
              <w:spacing w:after="0" w:line="208" w:lineRule="exact"/>
              <w:rPr>
                <w:sz w:val="20"/>
                <w:szCs w:val="20"/>
                <w:color w:val="auto"/>
              </w:rPr>
            </w:pPr>
            <w:r>
              <w:rPr>
                <w:rFonts w:ascii="Times New Roman" w:cs="Times New Roman" w:eastAsia="Times New Roman" w:hAnsi="Times New Roman"/>
                <w:sz w:val="20"/>
                <w:szCs w:val="20"/>
                <w:color w:val="auto"/>
              </w:rPr>
              <w:t>80,000</w:t>
            </w:r>
          </w:p>
        </w:tc>
        <w:tc>
          <w:tcPr>
            <w:tcW w:w="740" w:type="dxa"/>
            <w:vAlign w:val="bottom"/>
            <w:shd w:val="clear" w:color="auto" w:fill="CCEEFF"/>
          </w:tcPr>
          <w:p>
            <w:pPr>
              <w:jc w:val="right"/>
              <w:spacing w:after="0" w:line="208" w:lineRule="exact"/>
              <w:rPr>
                <w:sz w:val="20"/>
                <w:szCs w:val="20"/>
                <w:color w:val="auto"/>
              </w:rPr>
            </w:pPr>
            <w:r>
              <w:rPr>
                <w:rFonts w:ascii="Times New Roman" w:cs="Times New Roman" w:eastAsia="Times New Roman" w:hAnsi="Times New Roman"/>
                <w:sz w:val="20"/>
                <w:szCs w:val="20"/>
                <w:color w:val="auto"/>
              </w:rPr>
              <w:t>6.51</w:t>
            </w:r>
          </w:p>
        </w:tc>
        <w:tc>
          <w:tcPr>
            <w:tcW w:w="2580" w:type="dxa"/>
            <w:vAlign w:val="bottom"/>
            <w:shd w:val="clear" w:color="auto" w:fill="CCEEFF"/>
          </w:tcPr>
          <w:p>
            <w:pPr>
              <w:spacing w:after="0" w:line="208" w:lineRule="exact"/>
              <w:rPr>
                <w:sz w:val="20"/>
                <w:szCs w:val="20"/>
                <w:color w:val="auto"/>
              </w:rPr>
            </w:pPr>
            <w:r>
              <w:rPr>
                <w:rFonts w:ascii="Times New Roman" w:cs="Times New Roman" w:eastAsia="Times New Roman" w:hAnsi="Times New Roman"/>
                <w:sz w:val="20"/>
                <w:szCs w:val="20"/>
                <w:color w:val="auto"/>
              </w:rPr>
              <w:t>Vest ratably over three years</w:t>
            </w:r>
          </w:p>
        </w:tc>
        <w:tc>
          <w:tcPr>
            <w:tcW w:w="1080" w:type="dxa"/>
            <w:vAlign w:val="bottom"/>
            <w:shd w:val="clear" w:color="auto" w:fill="CCEEFF"/>
          </w:tcPr>
          <w:p>
            <w:pPr>
              <w:ind w:left="340"/>
              <w:spacing w:after="0" w:line="208" w:lineRule="exact"/>
              <w:rPr>
                <w:sz w:val="20"/>
                <w:szCs w:val="20"/>
                <w:color w:val="auto"/>
              </w:rPr>
            </w:pPr>
            <w:r>
              <w:rPr>
                <w:rFonts w:ascii="Times New Roman" w:cs="Times New Roman" w:eastAsia="Times New Roman" w:hAnsi="Times New Roman"/>
                <w:sz w:val="20"/>
                <w:szCs w:val="20"/>
                <w:color w:val="auto"/>
              </w:rPr>
              <w:t>10 years</w:t>
            </w:r>
          </w:p>
        </w:tc>
        <w:tc>
          <w:tcPr>
            <w:tcW w:w="1860" w:type="dxa"/>
            <w:vAlign w:val="bottom"/>
            <w:shd w:val="clear" w:color="auto" w:fill="CCEEFF"/>
          </w:tcPr>
          <w:p>
            <w:pPr>
              <w:jc w:val="right"/>
              <w:spacing w:after="0" w:line="208" w:lineRule="exact"/>
              <w:rPr>
                <w:sz w:val="20"/>
                <w:szCs w:val="20"/>
                <w:color w:val="auto"/>
              </w:rPr>
            </w:pPr>
            <w:r>
              <w:rPr>
                <w:rFonts w:ascii="Times New Roman" w:cs="Times New Roman" w:eastAsia="Times New Roman" w:hAnsi="Times New Roman"/>
                <w:sz w:val="20"/>
                <w:szCs w:val="20"/>
                <w:color w:val="auto"/>
              </w:rPr>
              <w:t>317</w:t>
            </w:r>
          </w:p>
        </w:tc>
      </w:tr>
      <w:tr>
        <w:trPr>
          <w:trHeight w:val="230"/>
        </w:trPr>
        <w:tc>
          <w:tcPr>
            <w:tcW w:w="19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shd w:val="clear" w:color="auto" w:fill="CCEEFF"/>
              </w:rPr>
              <w:t>beginning six months after the</w:t>
            </w:r>
          </w:p>
        </w:tc>
        <w:tc>
          <w:tcPr>
            <w:tcW w:w="1080" w:type="dxa"/>
            <w:vAlign w:val="bottom"/>
            <w:shd w:val="clear" w:color="auto" w:fill="CCEEFF"/>
          </w:tcPr>
          <w:p>
            <w:pPr>
              <w:spacing w:after="0"/>
              <w:rPr>
                <w:sz w:val="20"/>
                <w:szCs w:val="20"/>
                <w:color w:val="auto"/>
              </w:rPr>
            </w:pPr>
          </w:p>
        </w:tc>
        <w:tc>
          <w:tcPr>
            <w:tcW w:w="1860" w:type="dxa"/>
            <w:vAlign w:val="bottom"/>
            <w:shd w:val="clear" w:color="auto" w:fill="CCEEFF"/>
          </w:tcPr>
          <w:p>
            <w:pPr>
              <w:spacing w:after="0"/>
              <w:rPr>
                <w:sz w:val="20"/>
                <w:szCs w:val="20"/>
                <w:color w:val="auto"/>
              </w:rPr>
            </w:pPr>
          </w:p>
        </w:tc>
      </w:tr>
      <w:tr>
        <w:trPr>
          <w:trHeight w:val="250"/>
        </w:trPr>
        <w:tc>
          <w:tcPr>
            <w:tcW w:w="190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date of grant</w:t>
            </w:r>
          </w:p>
        </w:tc>
        <w:tc>
          <w:tcPr>
            <w:tcW w:w="1080" w:type="dxa"/>
            <w:vAlign w:val="bottom"/>
            <w:shd w:val="clear" w:color="auto" w:fill="CCEEFF"/>
          </w:tcPr>
          <w:p>
            <w:pPr>
              <w:spacing w:after="0"/>
              <w:rPr>
                <w:sz w:val="21"/>
                <w:szCs w:val="21"/>
                <w:color w:val="auto"/>
              </w:rPr>
            </w:pPr>
          </w:p>
        </w:tc>
        <w:tc>
          <w:tcPr>
            <w:tcW w:w="1860" w:type="dxa"/>
            <w:vAlign w:val="bottom"/>
            <w:shd w:val="clear" w:color="auto" w:fill="CCEEFF"/>
          </w:tcPr>
          <w:p>
            <w:pPr>
              <w:spacing w:after="0"/>
              <w:rPr>
                <w:sz w:val="21"/>
                <w:szCs w:val="21"/>
                <w:color w:val="auto"/>
              </w:rPr>
            </w:pPr>
          </w:p>
        </w:tc>
      </w:tr>
      <w:tr>
        <w:trPr>
          <w:trHeight w:val="210"/>
        </w:trPr>
        <w:tc>
          <w:tcPr>
            <w:tcW w:w="1900" w:type="dxa"/>
            <w:vAlign w:val="bottom"/>
          </w:tcPr>
          <w:p>
            <w:pPr>
              <w:spacing w:after="0" w:line="210" w:lineRule="exact"/>
              <w:rPr>
                <w:sz w:val="20"/>
                <w:szCs w:val="20"/>
                <w:color w:val="auto"/>
              </w:rPr>
            </w:pPr>
            <w:r>
              <w:rPr>
                <w:rFonts w:ascii="Times New Roman" w:cs="Times New Roman" w:eastAsia="Times New Roman" w:hAnsi="Times New Roman"/>
                <w:sz w:val="20"/>
                <w:szCs w:val="20"/>
                <w:color w:val="auto"/>
              </w:rPr>
              <w:t>November 8, 2023</w:t>
            </w:r>
          </w:p>
        </w:tc>
        <w:tc>
          <w:tcPr>
            <w:tcW w:w="1220" w:type="dxa"/>
            <w:vAlign w:val="bottom"/>
          </w:tcPr>
          <w:p>
            <w:pPr>
              <w:jc w:val="right"/>
              <w:spacing w:after="0" w:line="210" w:lineRule="exact"/>
              <w:rPr>
                <w:sz w:val="20"/>
                <w:szCs w:val="20"/>
                <w:color w:val="auto"/>
              </w:rPr>
            </w:pPr>
            <w:r>
              <w:rPr>
                <w:rFonts w:ascii="Times New Roman" w:cs="Times New Roman" w:eastAsia="Times New Roman" w:hAnsi="Times New Roman"/>
                <w:sz w:val="20"/>
                <w:szCs w:val="20"/>
                <w:color w:val="auto"/>
              </w:rPr>
              <w:t>20,000</w:t>
            </w:r>
          </w:p>
        </w:tc>
        <w:tc>
          <w:tcPr>
            <w:tcW w:w="740" w:type="dxa"/>
            <w:vAlign w:val="bottom"/>
          </w:tcPr>
          <w:p>
            <w:pPr>
              <w:jc w:val="right"/>
              <w:spacing w:after="0" w:line="210" w:lineRule="exact"/>
              <w:rPr>
                <w:sz w:val="20"/>
                <w:szCs w:val="20"/>
                <w:color w:val="auto"/>
              </w:rPr>
            </w:pPr>
            <w:r>
              <w:rPr>
                <w:rFonts w:ascii="Times New Roman" w:cs="Times New Roman" w:eastAsia="Times New Roman" w:hAnsi="Times New Roman"/>
                <w:sz w:val="20"/>
                <w:szCs w:val="20"/>
                <w:color w:val="auto"/>
              </w:rPr>
              <w:t>7.10</w:t>
            </w:r>
          </w:p>
        </w:tc>
        <w:tc>
          <w:tcPr>
            <w:tcW w:w="2580" w:type="dxa"/>
            <w:vAlign w:val="bottom"/>
          </w:tcPr>
          <w:p>
            <w:pPr>
              <w:spacing w:after="0" w:line="210" w:lineRule="exact"/>
              <w:rPr>
                <w:sz w:val="20"/>
                <w:szCs w:val="20"/>
                <w:color w:val="auto"/>
              </w:rPr>
            </w:pPr>
            <w:r>
              <w:rPr>
                <w:rFonts w:ascii="Times New Roman" w:cs="Times New Roman" w:eastAsia="Times New Roman" w:hAnsi="Times New Roman"/>
                <w:sz w:val="20"/>
                <w:szCs w:val="20"/>
                <w:color w:val="auto"/>
              </w:rPr>
              <w:t>Vest ratably over three years</w:t>
            </w:r>
          </w:p>
        </w:tc>
        <w:tc>
          <w:tcPr>
            <w:tcW w:w="1080" w:type="dxa"/>
            <w:vAlign w:val="bottom"/>
          </w:tcPr>
          <w:p>
            <w:pPr>
              <w:ind w:left="340"/>
              <w:spacing w:after="0" w:line="210" w:lineRule="exact"/>
              <w:rPr>
                <w:sz w:val="20"/>
                <w:szCs w:val="20"/>
                <w:color w:val="auto"/>
              </w:rPr>
            </w:pPr>
            <w:r>
              <w:rPr>
                <w:rFonts w:ascii="Times New Roman" w:cs="Times New Roman" w:eastAsia="Times New Roman" w:hAnsi="Times New Roman"/>
                <w:sz w:val="20"/>
                <w:szCs w:val="20"/>
                <w:color w:val="auto"/>
              </w:rPr>
              <w:t>10 years</w:t>
            </w:r>
          </w:p>
        </w:tc>
        <w:tc>
          <w:tcPr>
            <w:tcW w:w="1860" w:type="dxa"/>
            <w:vAlign w:val="bottom"/>
          </w:tcPr>
          <w:p>
            <w:pPr>
              <w:jc w:val="right"/>
              <w:spacing w:after="0" w:line="210" w:lineRule="exact"/>
              <w:rPr>
                <w:sz w:val="20"/>
                <w:szCs w:val="20"/>
                <w:color w:val="auto"/>
              </w:rPr>
            </w:pPr>
            <w:r>
              <w:rPr>
                <w:rFonts w:ascii="Times New Roman" w:cs="Times New Roman" w:eastAsia="Times New Roman" w:hAnsi="Times New Roman"/>
                <w:sz w:val="20"/>
                <w:szCs w:val="20"/>
                <w:color w:val="auto"/>
              </w:rPr>
              <w:t>86</w:t>
            </w:r>
          </w:p>
        </w:tc>
      </w:tr>
      <w:tr>
        <w:trPr>
          <w:trHeight w:val="230"/>
        </w:trPr>
        <w:tc>
          <w:tcPr>
            <w:tcW w:w="19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580" w:type="dxa"/>
            <w:vAlign w:val="bottom"/>
          </w:tcPr>
          <w:p>
            <w:pPr>
              <w:spacing w:after="0"/>
              <w:rPr>
                <w:sz w:val="20"/>
                <w:szCs w:val="20"/>
                <w:color w:val="auto"/>
              </w:rPr>
            </w:pPr>
            <w:r>
              <w:rPr>
                <w:rFonts w:ascii="Times New Roman" w:cs="Times New Roman" w:eastAsia="Times New Roman" w:hAnsi="Times New Roman"/>
                <w:sz w:val="20"/>
                <w:szCs w:val="20"/>
                <w:color w:val="auto"/>
              </w:rPr>
              <w:t>beginning six months after the</w:t>
            </w:r>
          </w:p>
        </w:tc>
        <w:tc>
          <w:tcPr>
            <w:tcW w:w="1080" w:type="dxa"/>
            <w:vAlign w:val="bottom"/>
          </w:tcPr>
          <w:p>
            <w:pPr>
              <w:spacing w:after="0"/>
              <w:rPr>
                <w:sz w:val="20"/>
                <w:szCs w:val="20"/>
                <w:color w:val="auto"/>
              </w:rPr>
            </w:pPr>
          </w:p>
        </w:tc>
        <w:tc>
          <w:tcPr>
            <w:tcW w:w="1860" w:type="dxa"/>
            <w:vAlign w:val="bottom"/>
          </w:tcPr>
          <w:p>
            <w:pPr>
              <w:spacing w:after="0"/>
              <w:rPr>
                <w:sz w:val="20"/>
                <w:szCs w:val="20"/>
                <w:color w:val="auto"/>
              </w:rPr>
            </w:pPr>
          </w:p>
        </w:tc>
      </w:tr>
      <w:tr>
        <w:trPr>
          <w:trHeight w:val="250"/>
        </w:trPr>
        <w:tc>
          <w:tcPr>
            <w:tcW w:w="19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580" w:type="dxa"/>
            <w:vAlign w:val="bottom"/>
          </w:tcPr>
          <w:p>
            <w:pPr>
              <w:spacing w:after="0"/>
              <w:rPr>
                <w:sz w:val="20"/>
                <w:szCs w:val="20"/>
                <w:color w:val="auto"/>
              </w:rPr>
            </w:pPr>
            <w:r>
              <w:rPr>
                <w:rFonts w:ascii="Times New Roman" w:cs="Times New Roman" w:eastAsia="Times New Roman" w:hAnsi="Times New Roman"/>
                <w:sz w:val="20"/>
                <w:szCs w:val="20"/>
                <w:color w:val="auto"/>
              </w:rPr>
              <w:t>date of grant</w:t>
            </w:r>
          </w:p>
        </w:tc>
        <w:tc>
          <w:tcPr>
            <w:tcW w:w="1080" w:type="dxa"/>
            <w:vAlign w:val="bottom"/>
          </w:tcPr>
          <w:p>
            <w:pPr>
              <w:spacing w:after="0"/>
              <w:rPr>
                <w:sz w:val="21"/>
                <w:szCs w:val="21"/>
                <w:color w:val="auto"/>
              </w:rPr>
            </w:pPr>
          </w:p>
        </w:tc>
        <w:tc>
          <w:tcPr>
            <w:tcW w:w="1860" w:type="dxa"/>
            <w:vAlign w:val="bottom"/>
          </w:tcPr>
          <w:p>
            <w:pPr>
              <w:spacing w:after="0"/>
              <w:rPr>
                <w:sz w:val="21"/>
                <w:szCs w:val="21"/>
                <w:color w:val="auto"/>
              </w:rPr>
            </w:pPr>
          </w:p>
        </w:tc>
      </w:tr>
      <w:tr>
        <w:trPr>
          <w:trHeight w:val="208"/>
        </w:trPr>
        <w:tc>
          <w:tcPr>
            <w:tcW w:w="1900" w:type="dxa"/>
            <w:vAlign w:val="bottom"/>
            <w:shd w:val="clear" w:color="auto" w:fill="CCEEFF"/>
          </w:tcPr>
          <w:p>
            <w:pPr>
              <w:spacing w:after="0" w:line="208" w:lineRule="exact"/>
              <w:rPr>
                <w:sz w:val="20"/>
                <w:szCs w:val="20"/>
                <w:color w:val="auto"/>
              </w:rPr>
            </w:pPr>
            <w:r>
              <w:rPr>
                <w:rFonts w:ascii="Times New Roman" w:cs="Times New Roman" w:eastAsia="Times New Roman" w:hAnsi="Times New Roman"/>
                <w:sz w:val="20"/>
                <w:szCs w:val="20"/>
                <w:color w:val="auto"/>
              </w:rPr>
              <w:t>December 6, 2023</w:t>
            </w:r>
          </w:p>
        </w:tc>
        <w:tc>
          <w:tcPr>
            <w:tcW w:w="1220" w:type="dxa"/>
            <w:vAlign w:val="bottom"/>
            <w:shd w:val="clear" w:color="auto" w:fill="CCEEFF"/>
          </w:tcPr>
          <w:p>
            <w:pPr>
              <w:jc w:val="right"/>
              <w:spacing w:after="0" w:line="208" w:lineRule="exact"/>
              <w:rPr>
                <w:sz w:val="20"/>
                <w:szCs w:val="20"/>
                <w:color w:val="auto"/>
              </w:rPr>
            </w:pPr>
            <w:r>
              <w:rPr>
                <w:rFonts w:ascii="Times New Roman" w:cs="Times New Roman" w:eastAsia="Times New Roman" w:hAnsi="Times New Roman"/>
                <w:sz w:val="20"/>
                <w:szCs w:val="20"/>
                <w:color w:val="auto"/>
              </w:rPr>
              <w:t>34,000</w:t>
            </w:r>
          </w:p>
        </w:tc>
        <w:tc>
          <w:tcPr>
            <w:tcW w:w="740" w:type="dxa"/>
            <w:vAlign w:val="bottom"/>
            <w:shd w:val="clear" w:color="auto" w:fill="CCEEFF"/>
          </w:tcPr>
          <w:p>
            <w:pPr>
              <w:jc w:val="right"/>
              <w:spacing w:after="0" w:line="208" w:lineRule="exact"/>
              <w:rPr>
                <w:sz w:val="20"/>
                <w:szCs w:val="20"/>
                <w:color w:val="auto"/>
              </w:rPr>
            </w:pPr>
            <w:r>
              <w:rPr>
                <w:rFonts w:ascii="Times New Roman" w:cs="Times New Roman" w:eastAsia="Times New Roman" w:hAnsi="Times New Roman"/>
                <w:sz w:val="20"/>
                <w:szCs w:val="20"/>
                <w:color w:val="auto"/>
              </w:rPr>
              <w:t>5.39</w:t>
            </w:r>
          </w:p>
        </w:tc>
        <w:tc>
          <w:tcPr>
            <w:tcW w:w="2580" w:type="dxa"/>
            <w:vAlign w:val="bottom"/>
            <w:shd w:val="clear" w:color="auto" w:fill="CCEEFF"/>
          </w:tcPr>
          <w:p>
            <w:pPr>
              <w:spacing w:after="0" w:line="208" w:lineRule="exact"/>
              <w:rPr>
                <w:sz w:val="20"/>
                <w:szCs w:val="20"/>
                <w:color w:val="auto"/>
              </w:rPr>
            </w:pPr>
            <w:r>
              <w:rPr>
                <w:rFonts w:ascii="Times New Roman" w:cs="Times New Roman" w:eastAsia="Times New Roman" w:hAnsi="Times New Roman"/>
                <w:sz w:val="20"/>
                <w:szCs w:val="20"/>
                <w:color w:val="auto"/>
              </w:rPr>
              <w:t>Vest ratably over three years</w:t>
            </w:r>
          </w:p>
        </w:tc>
        <w:tc>
          <w:tcPr>
            <w:tcW w:w="1080" w:type="dxa"/>
            <w:vAlign w:val="bottom"/>
            <w:shd w:val="clear" w:color="auto" w:fill="CCEEFF"/>
          </w:tcPr>
          <w:p>
            <w:pPr>
              <w:ind w:left="340"/>
              <w:spacing w:after="0" w:line="208" w:lineRule="exact"/>
              <w:rPr>
                <w:sz w:val="20"/>
                <w:szCs w:val="20"/>
                <w:color w:val="auto"/>
              </w:rPr>
            </w:pPr>
            <w:r>
              <w:rPr>
                <w:rFonts w:ascii="Times New Roman" w:cs="Times New Roman" w:eastAsia="Times New Roman" w:hAnsi="Times New Roman"/>
                <w:sz w:val="20"/>
                <w:szCs w:val="20"/>
                <w:color w:val="auto"/>
              </w:rPr>
              <w:t>10 years</w:t>
            </w:r>
          </w:p>
        </w:tc>
        <w:tc>
          <w:tcPr>
            <w:tcW w:w="1860" w:type="dxa"/>
            <w:vAlign w:val="bottom"/>
            <w:shd w:val="clear" w:color="auto" w:fill="CCEEFF"/>
          </w:tcPr>
          <w:p>
            <w:pPr>
              <w:jc w:val="right"/>
              <w:spacing w:after="0" w:line="208" w:lineRule="exact"/>
              <w:rPr>
                <w:sz w:val="20"/>
                <w:szCs w:val="20"/>
                <w:color w:val="auto"/>
              </w:rPr>
            </w:pPr>
            <w:r>
              <w:rPr>
                <w:rFonts w:ascii="Times New Roman" w:cs="Times New Roman" w:eastAsia="Times New Roman" w:hAnsi="Times New Roman"/>
                <w:sz w:val="20"/>
                <w:szCs w:val="20"/>
                <w:color w:val="auto"/>
              </w:rPr>
              <w:t>111</w:t>
            </w:r>
          </w:p>
        </w:tc>
      </w:tr>
      <w:tr>
        <w:trPr>
          <w:trHeight w:val="230"/>
        </w:trPr>
        <w:tc>
          <w:tcPr>
            <w:tcW w:w="19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shd w:val="clear" w:color="auto" w:fill="CCEEFF"/>
              </w:rPr>
              <w:t>beginning six months after the</w:t>
            </w:r>
          </w:p>
        </w:tc>
        <w:tc>
          <w:tcPr>
            <w:tcW w:w="1080" w:type="dxa"/>
            <w:vAlign w:val="bottom"/>
            <w:shd w:val="clear" w:color="auto" w:fill="CCEEFF"/>
          </w:tcPr>
          <w:p>
            <w:pPr>
              <w:spacing w:after="0"/>
              <w:rPr>
                <w:sz w:val="20"/>
                <w:szCs w:val="20"/>
                <w:color w:val="auto"/>
              </w:rPr>
            </w:pPr>
          </w:p>
        </w:tc>
        <w:tc>
          <w:tcPr>
            <w:tcW w:w="1860" w:type="dxa"/>
            <w:vAlign w:val="bottom"/>
            <w:shd w:val="clear" w:color="auto" w:fill="CCEEFF"/>
          </w:tcPr>
          <w:p>
            <w:pPr>
              <w:spacing w:after="0"/>
              <w:rPr>
                <w:sz w:val="20"/>
                <w:szCs w:val="20"/>
                <w:color w:val="auto"/>
              </w:rPr>
            </w:pPr>
          </w:p>
        </w:tc>
      </w:tr>
      <w:tr>
        <w:trPr>
          <w:trHeight w:val="250"/>
        </w:trPr>
        <w:tc>
          <w:tcPr>
            <w:tcW w:w="190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date of grant</w:t>
            </w:r>
          </w:p>
        </w:tc>
        <w:tc>
          <w:tcPr>
            <w:tcW w:w="1080" w:type="dxa"/>
            <w:vAlign w:val="bottom"/>
            <w:shd w:val="clear" w:color="auto" w:fill="CCEEFF"/>
          </w:tcPr>
          <w:p>
            <w:pPr>
              <w:spacing w:after="0"/>
              <w:rPr>
                <w:sz w:val="21"/>
                <w:szCs w:val="21"/>
                <w:color w:val="auto"/>
              </w:rPr>
            </w:pPr>
          </w:p>
        </w:tc>
        <w:tc>
          <w:tcPr>
            <w:tcW w:w="1860" w:type="dxa"/>
            <w:vAlign w:val="bottom"/>
            <w:shd w:val="clear" w:color="auto" w:fill="CCEEFF"/>
          </w:tcPr>
          <w:p>
            <w:pPr>
              <w:spacing w:after="0"/>
              <w:rPr>
                <w:sz w:val="21"/>
                <w:szCs w:val="21"/>
                <w:color w:val="auto"/>
              </w:rPr>
            </w:pPr>
          </w:p>
        </w:tc>
      </w:tr>
      <w:tr>
        <w:trPr>
          <w:trHeight w:val="210"/>
        </w:trPr>
        <w:tc>
          <w:tcPr>
            <w:tcW w:w="1900" w:type="dxa"/>
            <w:vAlign w:val="bottom"/>
          </w:tcPr>
          <w:p>
            <w:pPr>
              <w:spacing w:after="0" w:line="210" w:lineRule="exact"/>
              <w:rPr>
                <w:sz w:val="20"/>
                <w:szCs w:val="20"/>
                <w:color w:val="auto"/>
              </w:rPr>
            </w:pPr>
            <w:r>
              <w:rPr>
                <w:rFonts w:ascii="Times New Roman" w:cs="Times New Roman" w:eastAsia="Times New Roman" w:hAnsi="Times New Roman"/>
                <w:sz w:val="20"/>
                <w:szCs w:val="20"/>
                <w:color w:val="auto"/>
              </w:rPr>
              <w:t>Januray 18, 2024</w:t>
            </w:r>
          </w:p>
        </w:tc>
        <w:tc>
          <w:tcPr>
            <w:tcW w:w="1220" w:type="dxa"/>
            <w:vAlign w:val="bottom"/>
          </w:tcPr>
          <w:p>
            <w:pPr>
              <w:jc w:val="right"/>
              <w:spacing w:after="0" w:line="210" w:lineRule="exact"/>
              <w:rPr>
                <w:sz w:val="20"/>
                <w:szCs w:val="20"/>
                <w:color w:val="auto"/>
              </w:rPr>
            </w:pPr>
            <w:r>
              <w:rPr>
                <w:rFonts w:ascii="Times New Roman" w:cs="Times New Roman" w:eastAsia="Times New Roman" w:hAnsi="Times New Roman"/>
                <w:sz w:val="20"/>
                <w:szCs w:val="20"/>
                <w:color w:val="auto"/>
              </w:rPr>
              <w:t>154,000</w:t>
            </w:r>
          </w:p>
        </w:tc>
        <w:tc>
          <w:tcPr>
            <w:tcW w:w="740" w:type="dxa"/>
            <w:vAlign w:val="bottom"/>
          </w:tcPr>
          <w:p>
            <w:pPr>
              <w:jc w:val="right"/>
              <w:spacing w:after="0" w:line="210" w:lineRule="exact"/>
              <w:rPr>
                <w:sz w:val="20"/>
                <w:szCs w:val="20"/>
                <w:color w:val="auto"/>
              </w:rPr>
            </w:pPr>
            <w:r>
              <w:rPr>
                <w:rFonts w:ascii="Times New Roman" w:cs="Times New Roman" w:eastAsia="Times New Roman" w:hAnsi="Times New Roman"/>
                <w:sz w:val="20"/>
                <w:szCs w:val="20"/>
                <w:color w:val="auto"/>
              </w:rPr>
              <w:t>5.75</w:t>
            </w:r>
          </w:p>
        </w:tc>
        <w:tc>
          <w:tcPr>
            <w:tcW w:w="2580" w:type="dxa"/>
            <w:vAlign w:val="bottom"/>
          </w:tcPr>
          <w:p>
            <w:pPr>
              <w:spacing w:after="0" w:line="210" w:lineRule="exact"/>
              <w:rPr>
                <w:sz w:val="20"/>
                <w:szCs w:val="20"/>
                <w:color w:val="auto"/>
              </w:rPr>
            </w:pPr>
            <w:r>
              <w:rPr>
                <w:rFonts w:ascii="Times New Roman" w:cs="Times New Roman" w:eastAsia="Times New Roman" w:hAnsi="Times New Roman"/>
                <w:sz w:val="20"/>
                <w:szCs w:val="20"/>
                <w:color w:val="auto"/>
              </w:rPr>
              <w:t>Vest ratably over three years</w:t>
            </w:r>
          </w:p>
        </w:tc>
        <w:tc>
          <w:tcPr>
            <w:tcW w:w="1080" w:type="dxa"/>
            <w:vAlign w:val="bottom"/>
          </w:tcPr>
          <w:p>
            <w:pPr>
              <w:ind w:left="340"/>
              <w:spacing w:after="0" w:line="210" w:lineRule="exact"/>
              <w:rPr>
                <w:sz w:val="20"/>
                <w:szCs w:val="20"/>
                <w:color w:val="auto"/>
              </w:rPr>
            </w:pPr>
            <w:r>
              <w:rPr>
                <w:rFonts w:ascii="Times New Roman" w:cs="Times New Roman" w:eastAsia="Times New Roman" w:hAnsi="Times New Roman"/>
                <w:sz w:val="20"/>
                <w:szCs w:val="20"/>
                <w:color w:val="auto"/>
              </w:rPr>
              <w:t>10 years</w:t>
            </w:r>
          </w:p>
        </w:tc>
        <w:tc>
          <w:tcPr>
            <w:tcW w:w="1860" w:type="dxa"/>
            <w:vAlign w:val="bottom"/>
          </w:tcPr>
          <w:p>
            <w:pPr>
              <w:jc w:val="right"/>
              <w:spacing w:after="0" w:line="210" w:lineRule="exact"/>
              <w:rPr>
                <w:sz w:val="20"/>
                <w:szCs w:val="20"/>
                <w:color w:val="auto"/>
              </w:rPr>
            </w:pPr>
            <w:r>
              <w:rPr>
                <w:rFonts w:ascii="Times New Roman" w:cs="Times New Roman" w:eastAsia="Times New Roman" w:hAnsi="Times New Roman"/>
                <w:sz w:val="20"/>
                <w:szCs w:val="20"/>
                <w:color w:val="auto"/>
              </w:rPr>
              <w:t>567</w:t>
            </w:r>
          </w:p>
        </w:tc>
      </w:tr>
      <w:tr>
        <w:trPr>
          <w:trHeight w:val="230"/>
        </w:trPr>
        <w:tc>
          <w:tcPr>
            <w:tcW w:w="19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580" w:type="dxa"/>
            <w:vAlign w:val="bottom"/>
          </w:tcPr>
          <w:p>
            <w:pPr>
              <w:spacing w:after="0"/>
              <w:rPr>
                <w:sz w:val="20"/>
                <w:szCs w:val="20"/>
                <w:color w:val="auto"/>
              </w:rPr>
            </w:pPr>
            <w:r>
              <w:rPr>
                <w:rFonts w:ascii="Times New Roman" w:cs="Times New Roman" w:eastAsia="Times New Roman" w:hAnsi="Times New Roman"/>
                <w:sz w:val="20"/>
                <w:szCs w:val="20"/>
                <w:color w:val="auto"/>
              </w:rPr>
              <w:t>beginning six months after the</w:t>
            </w:r>
          </w:p>
        </w:tc>
        <w:tc>
          <w:tcPr>
            <w:tcW w:w="1080" w:type="dxa"/>
            <w:vAlign w:val="bottom"/>
          </w:tcPr>
          <w:p>
            <w:pPr>
              <w:spacing w:after="0"/>
              <w:rPr>
                <w:sz w:val="20"/>
                <w:szCs w:val="20"/>
                <w:color w:val="auto"/>
              </w:rPr>
            </w:pPr>
          </w:p>
        </w:tc>
        <w:tc>
          <w:tcPr>
            <w:tcW w:w="1860" w:type="dxa"/>
            <w:vAlign w:val="bottom"/>
          </w:tcPr>
          <w:p>
            <w:pPr>
              <w:spacing w:after="0"/>
              <w:rPr>
                <w:sz w:val="20"/>
                <w:szCs w:val="20"/>
                <w:color w:val="auto"/>
              </w:rPr>
            </w:pPr>
          </w:p>
        </w:tc>
      </w:tr>
      <w:tr>
        <w:trPr>
          <w:trHeight w:val="250"/>
        </w:trPr>
        <w:tc>
          <w:tcPr>
            <w:tcW w:w="19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580" w:type="dxa"/>
            <w:vAlign w:val="bottom"/>
          </w:tcPr>
          <w:p>
            <w:pPr>
              <w:spacing w:after="0"/>
              <w:rPr>
                <w:sz w:val="20"/>
                <w:szCs w:val="20"/>
                <w:color w:val="auto"/>
              </w:rPr>
            </w:pPr>
            <w:r>
              <w:rPr>
                <w:rFonts w:ascii="Times New Roman" w:cs="Times New Roman" w:eastAsia="Times New Roman" w:hAnsi="Times New Roman"/>
                <w:sz w:val="20"/>
                <w:szCs w:val="20"/>
                <w:color w:val="auto"/>
              </w:rPr>
              <w:t>date of grant</w:t>
            </w:r>
          </w:p>
        </w:tc>
        <w:tc>
          <w:tcPr>
            <w:tcW w:w="1080" w:type="dxa"/>
            <w:vAlign w:val="bottom"/>
          </w:tcPr>
          <w:p>
            <w:pPr>
              <w:spacing w:after="0"/>
              <w:rPr>
                <w:sz w:val="21"/>
                <w:szCs w:val="21"/>
                <w:color w:val="auto"/>
              </w:rPr>
            </w:pPr>
          </w:p>
        </w:tc>
        <w:tc>
          <w:tcPr>
            <w:tcW w:w="1860" w:type="dxa"/>
            <w:vAlign w:val="bottom"/>
          </w:tcPr>
          <w:p>
            <w:pPr>
              <w:spacing w:after="0"/>
              <w:rPr>
                <w:sz w:val="21"/>
                <w:szCs w:val="21"/>
                <w:color w:val="auto"/>
              </w:rPr>
            </w:pPr>
          </w:p>
        </w:tc>
      </w:tr>
      <w:tr>
        <w:trPr>
          <w:trHeight w:val="208"/>
        </w:trPr>
        <w:tc>
          <w:tcPr>
            <w:tcW w:w="1900" w:type="dxa"/>
            <w:vAlign w:val="bottom"/>
            <w:shd w:val="clear" w:color="auto" w:fill="CCEEFF"/>
          </w:tcPr>
          <w:p>
            <w:pPr>
              <w:spacing w:after="0" w:line="208" w:lineRule="exact"/>
              <w:rPr>
                <w:sz w:val="20"/>
                <w:szCs w:val="20"/>
                <w:color w:val="auto"/>
              </w:rPr>
            </w:pPr>
            <w:r>
              <w:rPr>
                <w:rFonts w:ascii="Times New Roman" w:cs="Times New Roman" w:eastAsia="Times New Roman" w:hAnsi="Times New Roman"/>
                <w:sz w:val="20"/>
                <w:szCs w:val="20"/>
                <w:color w:val="auto"/>
              </w:rPr>
              <w:t>February 28, 2024</w:t>
            </w:r>
          </w:p>
        </w:tc>
        <w:tc>
          <w:tcPr>
            <w:tcW w:w="1220" w:type="dxa"/>
            <w:vAlign w:val="bottom"/>
            <w:shd w:val="clear" w:color="auto" w:fill="CCEEFF"/>
          </w:tcPr>
          <w:p>
            <w:pPr>
              <w:jc w:val="right"/>
              <w:spacing w:after="0" w:line="208" w:lineRule="exact"/>
              <w:rPr>
                <w:sz w:val="20"/>
                <w:szCs w:val="20"/>
                <w:color w:val="auto"/>
              </w:rPr>
            </w:pPr>
            <w:r>
              <w:rPr>
                <w:rFonts w:ascii="Times New Roman" w:cs="Times New Roman" w:eastAsia="Times New Roman" w:hAnsi="Times New Roman"/>
                <w:sz w:val="20"/>
                <w:szCs w:val="20"/>
                <w:color w:val="auto"/>
              </w:rPr>
              <w:t>12,000</w:t>
            </w:r>
          </w:p>
        </w:tc>
        <w:tc>
          <w:tcPr>
            <w:tcW w:w="740" w:type="dxa"/>
            <w:vAlign w:val="bottom"/>
            <w:shd w:val="clear" w:color="auto" w:fill="CCEEFF"/>
          </w:tcPr>
          <w:p>
            <w:pPr>
              <w:jc w:val="right"/>
              <w:spacing w:after="0" w:line="208" w:lineRule="exact"/>
              <w:rPr>
                <w:sz w:val="20"/>
                <w:szCs w:val="20"/>
                <w:color w:val="auto"/>
              </w:rPr>
            </w:pPr>
            <w:r>
              <w:rPr>
                <w:rFonts w:ascii="Times New Roman" w:cs="Times New Roman" w:eastAsia="Times New Roman" w:hAnsi="Times New Roman"/>
                <w:sz w:val="20"/>
                <w:szCs w:val="20"/>
                <w:color w:val="auto"/>
              </w:rPr>
              <w:t>5.93</w:t>
            </w:r>
          </w:p>
        </w:tc>
        <w:tc>
          <w:tcPr>
            <w:tcW w:w="2580" w:type="dxa"/>
            <w:vAlign w:val="bottom"/>
            <w:shd w:val="clear" w:color="auto" w:fill="CCEEFF"/>
          </w:tcPr>
          <w:p>
            <w:pPr>
              <w:spacing w:after="0" w:line="208" w:lineRule="exact"/>
              <w:rPr>
                <w:sz w:val="20"/>
                <w:szCs w:val="20"/>
                <w:color w:val="auto"/>
              </w:rPr>
            </w:pPr>
            <w:r>
              <w:rPr>
                <w:rFonts w:ascii="Times New Roman" w:cs="Times New Roman" w:eastAsia="Times New Roman" w:hAnsi="Times New Roman"/>
                <w:sz w:val="20"/>
                <w:szCs w:val="20"/>
                <w:color w:val="auto"/>
              </w:rPr>
              <w:t>Vest ratably over three years</w:t>
            </w:r>
          </w:p>
        </w:tc>
        <w:tc>
          <w:tcPr>
            <w:tcW w:w="1080" w:type="dxa"/>
            <w:vAlign w:val="bottom"/>
            <w:shd w:val="clear" w:color="auto" w:fill="CCEEFF"/>
          </w:tcPr>
          <w:p>
            <w:pPr>
              <w:ind w:left="340"/>
              <w:spacing w:after="0" w:line="208" w:lineRule="exact"/>
              <w:rPr>
                <w:sz w:val="20"/>
                <w:szCs w:val="20"/>
                <w:color w:val="auto"/>
              </w:rPr>
            </w:pPr>
            <w:r>
              <w:rPr>
                <w:rFonts w:ascii="Times New Roman" w:cs="Times New Roman" w:eastAsia="Times New Roman" w:hAnsi="Times New Roman"/>
                <w:sz w:val="20"/>
                <w:szCs w:val="20"/>
                <w:color w:val="auto"/>
              </w:rPr>
              <w:t>10 years</w:t>
            </w:r>
          </w:p>
        </w:tc>
        <w:tc>
          <w:tcPr>
            <w:tcW w:w="1860" w:type="dxa"/>
            <w:vAlign w:val="bottom"/>
            <w:shd w:val="clear" w:color="auto" w:fill="CCEEFF"/>
          </w:tcPr>
          <w:p>
            <w:pPr>
              <w:jc w:val="right"/>
              <w:spacing w:after="0" w:line="208" w:lineRule="exact"/>
              <w:rPr>
                <w:sz w:val="20"/>
                <w:szCs w:val="20"/>
                <w:color w:val="auto"/>
              </w:rPr>
            </w:pPr>
            <w:r>
              <w:rPr>
                <w:rFonts w:ascii="Times New Roman" w:cs="Times New Roman" w:eastAsia="Times New Roman" w:hAnsi="Times New Roman"/>
                <w:sz w:val="20"/>
                <w:szCs w:val="20"/>
                <w:color w:val="auto"/>
              </w:rPr>
              <w:t>42</w:t>
            </w:r>
          </w:p>
        </w:tc>
      </w:tr>
      <w:tr>
        <w:trPr>
          <w:trHeight w:val="230"/>
        </w:trPr>
        <w:tc>
          <w:tcPr>
            <w:tcW w:w="19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shd w:val="clear" w:color="auto" w:fill="CCEEFF"/>
              </w:rPr>
              <w:t>beginning six months after the</w:t>
            </w:r>
          </w:p>
        </w:tc>
        <w:tc>
          <w:tcPr>
            <w:tcW w:w="1080" w:type="dxa"/>
            <w:vAlign w:val="bottom"/>
            <w:shd w:val="clear" w:color="auto" w:fill="CCEEFF"/>
          </w:tcPr>
          <w:p>
            <w:pPr>
              <w:spacing w:after="0"/>
              <w:rPr>
                <w:sz w:val="20"/>
                <w:szCs w:val="20"/>
                <w:color w:val="auto"/>
              </w:rPr>
            </w:pPr>
          </w:p>
        </w:tc>
        <w:tc>
          <w:tcPr>
            <w:tcW w:w="1860" w:type="dxa"/>
            <w:vAlign w:val="bottom"/>
            <w:shd w:val="clear" w:color="auto" w:fill="CCEEFF"/>
          </w:tcPr>
          <w:p>
            <w:pPr>
              <w:spacing w:after="0"/>
              <w:rPr>
                <w:sz w:val="20"/>
                <w:szCs w:val="20"/>
                <w:color w:val="auto"/>
              </w:rPr>
            </w:pPr>
          </w:p>
        </w:tc>
      </w:tr>
      <w:tr>
        <w:trPr>
          <w:trHeight w:val="250"/>
        </w:trPr>
        <w:tc>
          <w:tcPr>
            <w:tcW w:w="190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date of grant</w:t>
            </w:r>
          </w:p>
        </w:tc>
        <w:tc>
          <w:tcPr>
            <w:tcW w:w="1080" w:type="dxa"/>
            <w:vAlign w:val="bottom"/>
            <w:shd w:val="clear" w:color="auto" w:fill="CCEEFF"/>
          </w:tcPr>
          <w:p>
            <w:pPr>
              <w:spacing w:after="0"/>
              <w:rPr>
                <w:sz w:val="21"/>
                <w:szCs w:val="21"/>
                <w:color w:val="auto"/>
              </w:rPr>
            </w:pPr>
          </w:p>
        </w:tc>
        <w:tc>
          <w:tcPr>
            <w:tcW w:w="1860" w:type="dxa"/>
            <w:vAlign w:val="bottom"/>
            <w:shd w:val="clear" w:color="auto" w:fill="CCEEFF"/>
          </w:tcPr>
          <w:p>
            <w:pPr>
              <w:spacing w:after="0"/>
              <w:rPr>
                <w:sz w:val="21"/>
                <w:szCs w:val="21"/>
                <w:color w:val="auto"/>
              </w:rPr>
            </w:pPr>
          </w:p>
        </w:tc>
      </w:tr>
      <w:tr>
        <w:trPr>
          <w:trHeight w:val="210"/>
        </w:trPr>
        <w:tc>
          <w:tcPr>
            <w:tcW w:w="1900" w:type="dxa"/>
            <w:vAlign w:val="bottom"/>
          </w:tcPr>
          <w:p>
            <w:pPr>
              <w:spacing w:after="0" w:line="210" w:lineRule="exact"/>
              <w:rPr>
                <w:sz w:val="20"/>
                <w:szCs w:val="20"/>
                <w:color w:val="auto"/>
              </w:rPr>
            </w:pPr>
            <w:r>
              <w:rPr>
                <w:rFonts w:ascii="Times New Roman" w:cs="Times New Roman" w:eastAsia="Times New Roman" w:hAnsi="Times New Roman"/>
                <w:sz w:val="20"/>
                <w:szCs w:val="20"/>
                <w:color w:val="auto"/>
              </w:rPr>
              <w:t>March 26, 2024</w:t>
            </w:r>
          </w:p>
        </w:tc>
        <w:tc>
          <w:tcPr>
            <w:tcW w:w="1220" w:type="dxa"/>
            <w:vAlign w:val="bottom"/>
          </w:tcPr>
          <w:p>
            <w:pPr>
              <w:jc w:val="right"/>
              <w:spacing w:after="0" w:line="210" w:lineRule="exact"/>
              <w:rPr>
                <w:sz w:val="20"/>
                <w:szCs w:val="20"/>
                <w:color w:val="auto"/>
              </w:rPr>
            </w:pPr>
            <w:r>
              <w:rPr>
                <w:rFonts w:ascii="Times New Roman" w:cs="Times New Roman" w:eastAsia="Times New Roman" w:hAnsi="Times New Roman"/>
                <w:sz w:val="20"/>
                <w:szCs w:val="20"/>
                <w:color w:val="auto"/>
              </w:rPr>
              <w:t>160,000</w:t>
            </w:r>
          </w:p>
        </w:tc>
        <w:tc>
          <w:tcPr>
            <w:tcW w:w="740" w:type="dxa"/>
            <w:vAlign w:val="bottom"/>
          </w:tcPr>
          <w:p>
            <w:pPr>
              <w:jc w:val="right"/>
              <w:spacing w:after="0" w:line="210" w:lineRule="exact"/>
              <w:rPr>
                <w:sz w:val="20"/>
                <w:szCs w:val="20"/>
                <w:color w:val="auto"/>
              </w:rPr>
            </w:pPr>
            <w:r>
              <w:rPr>
                <w:rFonts w:ascii="Times New Roman" w:cs="Times New Roman" w:eastAsia="Times New Roman" w:hAnsi="Times New Roman"/>
                <w:sz w:val="20"/>
                <w:szCs w:val="20"/>
                <w:color w:val="auto"/>
              </w:rPr>
              <w:t>7.40</w:t>
            </w:r>
          </w:p>
        </w:tc>
        <w:tc>
          <w:tcPr>
            <w:tcW w:w="2580" w:type="dxa"/>
            <w:vAlign w:val="bottom"/>
          </w:tcPr>
          <w:p>
            <w:pPr>
              <w:spacing w:after="0" w:line="210" w:lineRule="exact"/>
              <w:rPr>
                <w:sz w:val="20"/>
                <w:szCs w:val="20"/>
                <w:color w:val="auto"/>
              </w:rPr>
            </w:pPr>
            <w:r>
              <w:rPr>
                <w:rFonts w:ascii="Times New Roman" w:cs="Times New Roman" w:eastAsia="Times New Roman" w:hAnsi="Times New Roman"/>
                <w:sz w:val="20"/>
                <w:szCs w:val="20"/>
                <w:color w:val="auto"/>
              </w:rPr>
              <w:t>Vest ratably over three years</w:t>
            </w:r>
          </w:p>
        </w:tc>
        <w:tc>
          <w:tcPr>
            <w:tcW w:w="1080" w:type="dxa"/>
            <w:vAlign w:val="bottom"/>
          </w:tcPr>
          <w:p>
            <w:pPr>
              <w:ind w:left="340"/>
              <w:spacing w:after="0" w:line="210" w:lineRule="exact"/>
              <w:rPr>
                <w:sz w:val="20"/>
                <w:szCs w:val="20"/>
                <w:color w:val="auto"/>
              </w:rPr>
            </w:pPr>
            <w:r>
              <w:rPr>
                <w:rFonts w:ascii="Times New Roman" w:cs="Times New Roman" w:eastAsia="Times New Roman" w:hAnsi="Times New Roman"/>
                <w:sz w:val="20"/>
                <w:szCs w:val="20"/>
                <w:color w:val="auto"/>
              </w:rPr>
              <w:t>10 years</w:t>
            </w:r>
          </w:p>
        </w:tc>
        <w:tc>
          <w:tcPr>
            <w:tcW w:w="1860" w:type="dxa"/>
            <w:vAlign w:val="bottom"/>
          </w:tcPr>
          <w:p>
            <w:pPr>
              <w:jc w:val="right"/>
              <w:spacing w:after="0" w:line="210" w:lineRule="exact"/>
              <w:rPr>
                <w:sz w:val="20"/>
                <w:szCs w:val="20"/>
                <w:color w:val="auto"/>
              </w:rPr>
            </w:pPr>
            <w:r>
              <w:rPr>
                <w:rFonts w:ascii="Times New Roman" w:cs="Times New Roman" w:eastAsia="Times New Roman" w:hAnsi="Times New Roman"/>
                <w:sz w:val="20"/>
                <w:szCs w:val="20"/>
                <w:color w:val="auto"/>
              </w:rPr>
              <w:t>683</w:t>
            </w:r>
          </w:p>
        </w:tc>
      </w:tr>
      <w:tr>
        <w:trPr>
          <w:trHeight w:val="230"/>
        </w:trPr>
        <w:tc>
          <w:tcPr>
            <w:tcW w:w="19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580" w:type="dxa"/>
            <w:vAlign w:val="bottom"/>
          </w:tcPr>
          <w:p>
            <w:pPr>
              <w:spacing w:after="0"/>
              <w:rPr>
                <w:sz w:val="20"/>
                <w:szCs w:val="20"/>
                <w:color w:val="auto"/>
              </w:rPr>
            </w:pPr>
            <w:r>
              <w:rPr>
                <w:rFonts w:ascii="Times New Roman" w:cs="Times New Roman" w:eastAsia="Times New Roman" w:hAnsi="Times New Roman"/>
                <w:sz w:val="20"/>
                <w:szCs w:val="20"/>
                <w:color w:val="auto"/>
              </w:rPr>
              <w:t>beginning six months after the</w:t>
            </w:r>
          </w:p>
        </w:tc>
        <w:tc>
          <w:tcPr>
            <w:tcW w:w="1080" w:type="dxa"/>
            <w:vAlign w:val="bottom"/>
          </w:tcPr>
          <w:p>
            <w:pPr>
              <w:spacing w:after="0"/>
              <w:rPr>
                <w:sz w:val="20"/>
                <w:szCs w:val="20"/>
                <w:color w:val="auto"/>
              </w:rPr>
            </w:pPr>
          </w:p>
        </w:tc>
        <w:tc>
          <w:tcPr>
            <w:tcW w:w="1860" w:type="dxa"/>
            <w:vAlign w:val="bottom"/>
          </w:tcPr>
          <w:p>
            <w:pPr>
              <w:spacing w:after="0"/>
              <w:rPr>
                <w:sz w:val="20"/>
                <w:szCs w:val="20"/>
                <w:color w:val="auto"/>
              </w:rPr>
            </w:pPr>
          </w:p>
        </w:tc>
      </w:tr>
      <w:tr>
        <w:trPr>
          <w:trHeight w:val="267"/>
        </w:trPr>
        <w:tc>
          <w:tcPr>
            <w:tcW w:w="19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580" w:type="dxa"/>
            <w:vAlign w:val="bottom"/>
          </w:tcPr>
          <w:p>
            <w:pPr>
              <w:spacing w:after="0"/>
              <w:rPr>
                <w:sz w:val="20"/>
                <w:szCs w:val="20"/>
                <w:color w:val="auto"/>
              </w:rPr>
            </w:pPr>
            <w:r>
              <w:rPr>
                <w:rFonts w:ascii="Times New Roman" w:cs="Times New Roman" w:eastAsia="Times New Roman" w:hAnsi="Times New Roman"/>
                <w:sz w:val="20"/>
                <w:szCs w:val="20"/>
                <w:color w:val="auto"/>
              </w:rPr>
              <w:t>date of grant</w:t>
            </w:r>
          </w:p>
        </w:tc>
        <w:tc>
          <w:tcPr>
            <w:tcW w:w="1080" w:type="dxa"/>
            <w:vAlign w:val="bottom"/>
          </w:tcPr>
          <w:p>
            <w:pPr>
              <w:spacing w:after="0"/>
              <w:rPr>
                <w:sz w:val="23"/>
                <w:szCs w:val="23"/>
                <w:color w:val="auto"/>
              </w:rPr>
            </w:pPr>
          </w:p>
        </w:tc>
        <w:tc>
          <w:tcPr>
            <w:tcW w:w="1860" w:type="dxa"/>
            <w:vAlign w:val="bottom"/>
          </w:tcPr>
          <w:p>
            <w:pPr>
              <w:spacing w:after="0"/>
              <w:rPr>
                <w:sz w:val="23"/>
                <w:szCs w:val="23"/>
                <w:color w:val="auto"/>
              </w:rPr>
            </w:pPr>
          </w:p>
        </w:tc>
      </w:tr>
    </w:tbl>
    <w:p>
      <w:pPr>
        <w:spacing w:after="0" w:line="200" w:lineRule="exact"/>
        <w:rPr>
          <w:sz w:val="20"/>
          <w:szCs w:val="20"/>
          <w:color w:val="auto"/>
        </w:rPr>
      </w:pPr>
    </w:p>
    <w:p>
      <w:pPr>
        <w:sectPr>
          <w:pgSz w:w="11900" w:h="16838" w:orient="portrait"/>
          <w:cols w:equalWidth="0" w:num="1">
            <w:col w:w="9380"/>
          </w:cols>
          <w:pgMar w:left="1260" w:top="838" w:right="1266" w:bottom="72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F-37</w:t>
      </w:r>
    </w:p>
    <w:p>
      <w:pPr>
        <w:sectPr>
          <w:pgSz w:w="11900" w:h="16838" w:orient="portrait"/>
          <w:cols w:equalWidth="0" w:num="1">
            <w:col w:w="9380"/>
          </w:cols>
          <w:pgMar w:left="1260" w:top="838" w:right="1266" w:bottom="723" w:gutter="0" w:footer="0" w:header="0"/>
          <w:type w:val="continuous"/>
        </w:sectPr>
      </w:pPr>
    </w:p>
    <w:bookmarkStart w:id="92" w:name="page93"/>
    <w:bookmarkEnd w:id="92"/>
    <w:p>
      <w:pPr>
        <w:ind w:left="3180"/>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795655</wp:posOffset>
            </wp:positionH>
            <wp:positionV relativeFrom="page">
              <wp:posOffset>292735</wp:posOffset>
            </wp:positionV>
            <wp:extent cx="929005" cy="1149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119">
                      <a:extLst>
                        <a:ext uri="{28A0092B-C50C-407E-A947-70E740481C1C}"/>
                      </a:extLst>
                    </a:blip>
                    <a:srcRect/>
                    <a:stretch>
                      <a:fillRect/>
                    </a:stretch>
                  </pic:blipFill>
                  <pic:spPr bwMode="auto">
                    <a:xfrm>
                      <a:off x="0" y="0"/>
                      <a:ext cx="929005" cy="114935"/>
                    </a:xfrm>
                    <a:prstGeom prst="rect">
                      <a:avLst/>
                    </a:prstGeom>
                    <a:noFill/>
                  </pic:spPr>
                </pic:pic>
              </a:graphicData>
            </a:graphic>
          </wp:anchor>
        </w:drawing>
        <w:t>EDAP TMS S.A. AND SUBSIDIARIES</w:t>
      </w:r>
    </w:p>
    <w:p>
      <w:pPr>
        <w:ind w:left="2760"/>
        <w:spacing w:after="0"/>
        <w:rPr>
          <w:sz w:val="20"/>
          <w:szCs w:val="20"/>
          <w:color w:val="auto"/>
        </w:rPr>
      </w:pPr>
      <w:r>
        <w:rPr>
          <w:rFonts w:ascii="Times New Roman" w:cs="Times New Roman" w:eastAsia="Times New Roman" w:hAnsi="Times New Roman"/>
          <w:sz w:val="20"/>
          <w:szCs w:val="20"/>
          <w:b w:val="1"/>
          <w:bCs w:val="1"/>
          <w:color w:val="auto"/>
        </w:rPr>
        <w:t>CONSOLIDATED FINANCIAL STATEMENTS</w:t>
      </w:r>
    </w:p>
    <w:p>
      <w:pPr>
        <w:ind w:left="1500"/>
        <w:spacing w:after="0"/>
        <w:rPr>
          <w:sz w:val="20"/>
          <w:szCs w:val="20"/>
          <w:color w:val="auto"/>
        </w:rPr>
      </w:pPr>
      <w:r>
        <w:rPr>
          <w:rFonts w:ascii="Times New Roman" w:cs="Times New Roman" w:eastAsia="Times New Roman" w:hAnsi="Times New Roman"/>
          <w:sz w:val="20"/>
          <w:szCs w:val="20"/>
          <w:b w:val="1"/>
          <w:bCs w:val="1"/>
          <w:color w:val="auto"/>
        </w:rPr>
        <w:t>(In thousands of U.S. dollars unless otherwise noted, except per share data)</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tabs>
          <w:tab w:leader="none" w:pos="2400" w:val="left"/>
          <w:tab w:leader="none" w:pos="3440" w:val="left"/>
          <w:tab w:leader="none" w:pos="6760" w:val="left"/>
          <w:tab w:leader="none" w:pos="9000" w:val="left"/>
        </w:tabs>
        <w:rPr>
          <w:sz w:val="20"/>
          <w:szCs w:val="20"/>
          <w:color w:val="auto"/>
        </w:rPr>
      </w:pPr>
      <w:r>
        <w:rPr>
          <w:rFonts w:ascii="Times New Roman" w:cs="Times New Roman" w:eastAsia="Times New Roman" w:hAnsi="Times New Roman"/>
          <w:sz w:val="20"/>
          <w:szCs w:val="20"/>
          <w:color w:val="auto"/>
        </w:rPr>
        <w:t>June 3, 2024</w:t>
      </w:r>
      <w:r>
        <w:rPr>
          <w:sz w:val="20"/>
          <w:szCs w:val="20"/>
          <w:color w:val="auto"/>
        </w:rPr>
        <w:tab/>
      </w:r>
      <w:r>
        <w:rPr>
          <w:rFonts w:ascii="Times New Roman" w:cs="Times New Roman" w:eastAsia="Times New Roman" w:hAnsi="Times New Roman"/>
          <w:sz w:val="20"/>
          <w:szCs w:val="20"/>
          <w:color w:val="auto"/>
        </w:rPr>
        <w:t>167,000</w:t>
      </w:r>
      <w:r>
        <w:rPr>
          <w:sz w:val="20"/>
          <w:szCs w:val="20"/>
          <w:color w:val="auto"/>
        </w:rPr>
        <w:tab/>
      </w:r>
      <w:r>
        <w:rPr>
          <w:rFonts w:ascii="Times New Roman" w:cs="Times New Roman" w:eastAsia="Times New Roman" w:hAnsi="Times New Roman"/>
          <w:sz w:val="20"/>
          <w:szCs w:val="20"/>
          <w:color w:val="auto"/>
        </w:rPr>
        <w:t>5.95 Vest ratably over three years</w:t>
      </w:r>
      <w:r>
        <w:rPr>
          <w:sz w:val="20"/>
          <w:szCs w:val="20"/>
          <w:color w:val="auto"/>
        </w:rPr>
        <w:tab/>
      </w:r>
      <w:r>
        <w:rPr>
          <w:rFonts w:ascii="Times New Roman" w:cs="Times New Roman" w:eastAsia="Times New Roman" w:hAnsi="Times New Roman"/>
          <w:sz w:val="20"/>
          <w:szCs w:val="20"/>
          <w:color w:val="auto"/>
        </w:rPr>
        <w:t>10 years</w:t>
      </w:r>
      <w:r>
        <w:rPr>
          <w:sz w:val="20"/>
          <w:szCs w:val="20"/>
          <w:color w:val="auto"/>
        </w:rPr>
        <w:tab/>
      </w:r>
      <w:r>
        <w:rPr>
          <w:rFonts w:ascii="Times New Roman" w:cs="Times New Roman" w:eastAsia="Times New Roman" w:hAnsi="Times New Roman"/>
          <w:sz w:val="20"/>
          <w:szCs w:val="20"/>
          <w:color w:val="auto"/>
        </w:rPr>
        <w:t>513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-131445</wp:posOffset>
                </wp:positionV>
                <wp:extent cx="1982470" cy="436245"/>
                <wp:wrapNone/>
                <wp:docPr id="211" name="Shape 2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82470" cy="436245"/>
                        </a:xfrm>
                        <a:prstGeom prst="rect">
                          <a:avLst/>
                        </a:prstGeom>
                        <a:solidFill>
                          <a:srgbClr val="CCEEFF"/>
                        </a:solidFill>
                      </wps:spPr>
                      <wps:bodyPr/>
                    </wps:wsp>
                  </a:graphicData>
                </a:graphic>
              </wp:anchor>
            </w:drawing>
          </mc:Choice>
          <mc:Fallback>
            <w:pict>
              <v:rect id="Shape 211" o:spid="_x0000_s1236" style="position:absolute;margin-left:0.35pt;margin-top:-10.3499pt;width:156.1pt;height:34.3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CEEFF" stroked="f"/>
            </w:pict>
          </mc:Fallback>
        </mc:AlternateContent>
        <mc:AlternateContent>
          <mc:Choice Requires="wps">
            <w:drawing>
              <wp:anchor simplePos="0" relativeHeight="251657728" behindDoc="1" locked="0" layoutInCell="0" allowOverlap="1">
                <wp:simplePos x="0" y="0"/>
                <wp:positionH relativeFrom="column">
                  <wp:posOffset>1208405</wp:posOffset>
                </wp:positionH>
                <wp:positionV relativeFrom="paragraph">
                  <wp:posOffset>-131445</wp:posOffset>
                </wp:positionV>
                <wp:extent cx="778510" cy="144145"/>
                <wp:wrapNone/>
                <wp:docPr id="212" name="Shape 2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78510" cy="144145"/>
                        </a:xfrm>
                        <a:prstGeom prst="rect">
                          <a:avLst/>
                        </a:prstGeom>
                        <a:solidFill>
                          <a:srgbClr val="CCEEFF"/>
                        </a:solidFill>
                      </wps:spPr>
                      <wps:bodyPr/>
                    </wps:wsp>
                  </a:graphicData>
                </a:graphic>
              </wp:anchor>
            </w:drawing>
          </mc:Choice>
          <mc:Fallback>
            <w:pict>
              <v:rect id="Shape 212" o:spid="_x0000_s1237" style="position:absolute;margin-left:95.15pt;margin-top:-10.3499pt;width:61.3pt;height:11.3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CEEFF" stroked="f"/>
            </w:pict>
          </mc:Fallback>
        </mc:AlternateContent>
        <mc:AlternateContent>
          <mc:Choice Requires="wps">
            <w:drawing>
              <wp:anchor simplePos="0" relativeHeight="251657728" behindDoc="1" locked="0" layoutInCell="0" allowOverlap="1">
                <wp:simplePos x="0" y="0"/>
                <wp:positionH relativeFrom="column">
                  <wp:posOffset>1986915</wp:posOffset>
                </wp:positionH>
                <wp:positionV relativeFrom="paragraph">
                  <wp:posOffset>-131445</wp:posOffset>
                </wp:positionV>
                <wp:extent cx="3966845" cy="436245"/>
                <wp:wrapNone/>
                <wp:docPr id="213" name="Shape 2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966845" cy="436245"/>
                        </a:xfrm>
                        <a:prstGeom prst="rect">
                          <a:avLst/>
                        </a:prstGeom>
                        <a:solidFill>
                          <a:srgbClr val="CCEEFF"/>
                        </a:solidFill>
                      </wps:spPr>
                      <wps:bodyPr/>
                    </wps:wsp>
                  </a:graphicData>
                </a:graphic>
              </wp:anchor>
            </w:drawing>
          </mc:Choice>
          <mc:Fallback>
            <w:pict>
              <v:rect id="Shape 213" o:spid="_x0000_s1238" style="position:absolute;margin-left:156.45pt;margin-top:-10.3499pt;width:312.35pt;height:34.3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CEEFF" stroked="f"/>
            </w:pict>
          </mc:Fallback>
        </mc:AlternateContent>
      </w:r>
    </w:p>
    <w:p>
      <w:pPr>
        <w:ind w:left="3860"/>
        <w:spacing w:after="0"/>
        <w:rPr>
          <w:sz w:val="20"/>
          <w:szCs w:val="20"/>
          <w:color w:val="auto"/>
        </w:rPr>
      </w:pPr>
      <w:r>
        <w:rPr>
          <w:rFonts w:ascii="Times New Roman" w:cs="Times New Roman" w:eastAsia="Times New Roman" w:hAnsi="Times New Roman"/>
          <w:sz w:val="20"/>
          <w:szCs w:val="20"/>
          <w:color w:val="auto"/>
          <w:shd w:val="clear" w:color="auto" w:fill="CCEEFF"/>
        </w:rPr>
        <w:t>beginning six months after the</w:t>
      </w:r>
    </w:p>
    <w:p>
      <w:pPr>
        <w:ind w:left="3860"/>
        <w:spacing w:after="0"/>
        <w:rPr>
          <w:sz w:val="20"/>
          <w:szCs w:val="20"/>
          <w:color w:val="auto"/>
        </w:rPr>
      </w:pPr>
      <w:r>
        <w:rPr>
          <w:rFonts w:ascii="Times New Roman" w:cs="Times New Roman" w:eastAsia="Times New Roman" w:hAnsi="Times New Roman"/>
          <w:sz w:val="20"/>
          <w:szCs w:val="20"/>
          <w:color w:val="auto"/>
        </w:rPr>
        <w:t>date of grant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2454910</wp:posOffset>
                </wp:positionH>
                <wp:positionV relativeFrom="paragraph">
                  <wp:posOffset>-133350</wp:posOffset>
                </wp:positionV>
                <wp:extent cx="1629410" cy="146050"/>
                <wp:wrapNone/>
                <wp:docPr id="214" name="Shape 2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29410" cy="146050"/>
                        </a:xfrm>
                        <a:prstGeom prst="rect">
                          <a:avLst/>
                        </a:prstGeom>
                        <a:solidFill>
                          <a:srgbClr val="CCEEFF"/>
                        </a:solidFill>
                      </wps:spPr>
                      <wps:bodyPr/>
                    </wps:wsp>
                  </a:graphicData>
                </a:graphic>
              </wp:anchor>
            </w:drawing>
          </mc:Choice>
          <mc:Fallback>
            <w:pict>
              <v:rect id="Shape 214" o:spid="_x0000_s1239" style="position:absolute;margin-left:193.3pt;margin-top:-10.4999pt;width:128.3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CEEFF" stroked="f"/>
            </w:pict>
          </mc:Fallback>
        </mc:AlternateContent>
      </w:r>
    </w:p>
    <w:p>
      <w:pPr>
        <w:spacing w:after="0" w:line="313" w:lineRule="exact"/>
        <w:rPr>
          <w:sz w:val="20"/>
          <w:szCs w:val="20"/>
          <w:color w:val="auto"/>
        </w:rPr>
      </w:pPr>
    </w:p>
    <w:p>
      <w:pPr>
        <w:ind w:firstLine="727"/>
        <w:spacing w:after="0" w:line="244" w:lineRule="auto"/>
        <w:tabs>
          <w:tab w:leader="none" w:pos="859" w:val="left"/>
        </w:tabs>
        <w:numPr>
          <w:ilvl w:val="0"/>
          <w:numId w:val="54"/>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4"/>
          <w:szCs w:val="14"/>
          <w:color w:val="auto"/>
        </w:rPr>
        <w:t>This non-cash compensation expense is recognized in the Company’s operating expenses over a period of 36 months (using the graded vesting method)</w:t>
      </w:r>
    </w:p>
    <w:p>
      <w:pPr>
        <w:spacing w:after="0" w:line="366" w:lineRule="exact"/>
        <w:rPr>
          <w:sz w:val="20"/>
          <w:szCs w:val="20"/>
          <w:color w:val="auto"/>
        </w:rPr>
      </w:pPr>
    </w:p>
    <w:p>
      <w:pPr>
        <w:ind w:firstLine="720"/>
        <w:spacing w:after="0" w:line="279" w:lineRule="auto"/>
        <w:rPr>
          <w:sz w:val="20"/>
          <w:szCs w:val="20"/>
          <w:color w:val="auto"/>
        </w:rPr>
      </w:pPr>
      <w:r>
        <w:rPr>
          <w:rFonts w:ascii="Times New Roman" w:cs="Times New Roman" w:eastAsia="Times New Roman" w:hAnsi="Times New Roman"/>
          <w:sz w:val="20"/>
          <w:szCs w:val="20"/>
          <w:color w:val="auto"/>
        </w:rPr>
        <w:t>The Company recorded compensation expense of $2,665 thousand and $1,126 thousand in 2024 and 2025, respectively, for this June 30, 2021 Plan (the “2021 Plan”).</w:t>
      </w:r>
    </w:p>
    <w:p>
      <w:pPr>
        <w:spacing w:after="0" w:line="2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9"/>
          <w:szCs w:val="19"/>
          <w:color w:val="auto"/>
        </w:rPr>
        <w:t>Under the 2021 Plan, 1,516,300 options are outstanding at December 31, 2025 and 1,218,467 are exercisable.</w:t>
      </w:r>
    </w:p>
    <w:p>
      <w:pPr>
        <w:sectPr>
          <w:pgSz w:w="11900" w:h="16838" w:orient="portrait"/>
          <w:cols w:equalWidth="0" w:num="1">
            <w:col w:w="9380"/>
          </w:cols>
          <w:pgMar w:left="1260" w:top="838" w:right="1266" w:bottom="72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F-38</w:t>
      </w:r>
    </w:p>
    <w:p>
      <w:pPr>
        <w:sectPr>
          <w:pgSz w:w="11900" w:h="16838" w:orient="portrait"/>
          <w:cols w:equalWidth="0" w:num="1">
            <w:col w:w="9380"/>
          </w:cols>
          <w:pgMar w:left="1260" w:top="838" w:right="1266" w:bottom="723" w:gutter="0" w:footer="0" w:header="0"/>
          <w:type w:val="continuous"/>
        </w:sectPr>
      </w:pPr>
    </w:p>
    <w:bookmarkStart w:id="93" w:name="page94"/>
    <w:bookmarkEnd w:id="93"/>
    <w:p>
      <w:pPr>
        <w:ind w:left="3180"/>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795655</wp:posOffset>
            </wp:positionH>
            <wp:positionV relativeFrom="page">
              <wp:posOffset>292735</wp:posOffset>
            </wp:positionV>
            <wp:extent cx="929005" cy="1149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120">
                      <a:extLst>
                        <a:ext uri="{28A0092B-C50C-407E-A947-70E740481C1C}"/>
                      </a:extLst>
                    </a:blip>
                    <a:srcRect/>
                    <a:stretch>
                      <a:fillRect/>
                    </a:stretch>
                  </pic:blipFill>
                  <pic:spPr bwMode="auto">
                    <a:xfrm>
                      <a:off x="0" y="0"/>
                      <a:ext cx="929005" cy="114935"/>
                    </a:xfrm>
                    <a:prstGeom prst="rect">
                      <a:avLst/>
                    </a:prstGeom>
                    <a:noFill/>
                  </pic:spPr>
                </pic:pic>
              </a:graphicData>
            </a:graphic>
          </wp:anchor>
        </w:drawing>
        <w:t>EDAP TMS S.A. AND SUBSIDIARIES</w:t>
      </w:r>
    </w:p>
    <w:p>
      <w:pPr>
        <w:ind w:left="2760"/>
        <w:spacing w:after="0"/>
        <w:rPr>
          <w:sz w:val="20"/>
          <w:szCs w:val="20"/>
          <w:color w:val="auto"/>
        </w:rPr>
      </w:pPr>
      <w:r>
        <w:rPr>
          <w:rFonts w:ascii="Times New Roman" w:cs="Times New Roman" w:eastAsia="Times New Roman" w:hAnsi="Times New Roman"/>
          <w:sz w:val="20"/>
          <w:szCs w:val="20"/>
          <w:b w:val="1"/>
          <w:bCs w:val="1"/>
          <w:color w:val="auto"/>
        </w:rPr>
        <w:t>CONSOLIDATED FINANCIAL STATEMENTS</w:t>
      </w:r>
    </w:p>
    <w:p>
      <w:pPr>
        <w:ind w:left="1500"/>
        <w:spacing w:after="0"/>
        <w:rPr>
          <w:sz w:val="20"/>
          <w:szCs w:val="20"/>
          <w:color w:val="auto"/>
        </w:rPr>
      </w:pPr>
      <w:r>
        <w:rPr>
          <w:rFonts w:ascii="Times New Roman" w:cs="Times New Roman" w:eastAsia="Times New Roman" w:hAnsi="Times New Roman"/>
          <w:sz w:val="20"/>
          <w:szCs w:val="20"/>
          <w:b w:val="1"/>
          <w:bCs w:val="1"/>
          <w:color w:val="auto"/>
        </w:rPr>
        <w:t>(In thousands of U.S. dollars unless otherwise noted, except per share data)</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firstLine="720"/>
        <w:spacing w:after="0" w:line="279" w:lineRule="auto"/>
        <w:rPr>
          <w:sz w:val="20"/>
          <w:szCs w:val="20"/>
          <w:color w:val="auto"/>
        </w:rPr>
      </w:pPr>
      <w:r>
        <w:rPr>
          <w:rFonts w:ascii="Times New Roman" w:cs="Times New Roman" w:eastAsia="Times New Roman" w:hAnsi="Times New Roman"/>
          <w:sz w:val="19"/>
          <w:szCs w:val="19"/>
          <w:color w:val="auto"/>
        </w:rPr>
        <w:t>On June 28, 2024, the shareholders authorized the Board of Directors to grant up to a maximum of 2,000,000 options to subscribe to 2,000,000 new shares at a fixed price to be set by the Board of Directors. Conforming to this June 28, 2024 authorization, the Board of Directors granted options to subscribe to new shares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40" w:type="dxa"/>
            <w:vAlign w:val="bottom"/>
          </w:tcPr>
          <w:p>
            <w:pPr>
              <w:spacing w:after="0"/>
              <w:rPr>
                <w:sz w:val="16"/>
                <w:szCs w:val="16"/>
                <w:color w:val="auto"/>
              </w:rPr>
            </w:pPr>
          </w:p>
        </w:tc>
        <w:tc>
          <w:tcPr>
            <w:tcW w:w="1360" w:type="dxa"/>
            <w:vAlign w:val="bottom"/>
          </w:tcPr>
          <w:p>
            <w:pPr>
              <w:jc w:val="right"/>
              <w:ind w:right="205"/>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820" w:type="dxa"/>
            <w:vAlign w:val="bottom"/>
          </w:tcPr>
          <w:p>
            <w:pPr>
              <w:jc w:val="right"/>
              <w:ind w:right="45"/>
              <w:spacing w:after="0"/>
              <w:rPr>
                <w:sz w:val="20"/>
                <w:szCs w:val="20"/>
                <w:color w:val="auto"/>
              </w:rPr>
            </w:pPr>
            <w:r>
              <w:rPr>
                <w:rFonts w:ascii="Times New Roman" w:cs="Times New Roman" w:eastAsia="Times New Roman" w:hAnsi="Times New Roman"/>
                <w:sz w:val="16"/>
                <w:szCs w:val="16"/>
                <w:b w:val="1"/>
                <w:bCs w:val="1"/>
                <w:color w:val="auto"/>
              </w:rPr>
              <w:t>Exercise</w:t>
            </w:r>
          </w:p>
        </w:tc>
        <w:tc>
          <w:tcPr>
            <w:tcW w:w="274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Contractual</w:t>
            </w:r>
          </w:p>
        </w:tc>
        <w:tc>
          <w:tcPr>
            <w:tcW w:w="1600" w:type="dxa"/>
            <w:vAlign w:val="bottom"/>
          </w:tcPr>
          <w:p>
            <w:pPr>
              <w:jc w:val="right"/>
              <w:ind w:right="25"/>
              <w:spacing w:after="0"/>
              <w:rPr>
                <w:sz w:val="20"/>
                <w:szCs w:val="20"/>
                <w:color w:val="auto"/>
              </w:rPr>
            </w:pPr>
            <w:r>
              <w:rPr>
                <w:rFonts w:ascii="Times New Roman" w:cs="Times New Roman" w:eastAsia="Times New Roman" w:hAnsi="Times New Roman"/>
                <w:sz w:val="16"/>
                <w:szCs w:val="16"/>
                <w:b w:val="1"/>
                <w:bCs w:val="1"/>
                <w:color w:val="auto"/>
              </w:rPr>
              <w:t>Fair Value at Grant</w:t>
            </w:r>
          </w:p>
        </w:tc>
      </w:tr>
      <w:tr>
        <w:trPr>
          <w:trHeight w:val="206"/>
        </w:trPr>
        <w:tc>
          <w:tcPr>
            <w:tcW w:w="204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6"/>
                <w:szCs w:val="16"/>
                <w:b w:val="1"/>
                <w:bCs w:val="1"/>
                <w:color w:val="auto"/>
              </w:rPr>
              <w:t>Grant Date</w:t>
            </w:r>
          </w:p>
        </w:tc>
        <w:tc>
          <w:tcPr>
            <w:tcW w:w="1360" w:type="dxa"/>
            <w:vAlign w:val="bottom"/>
            <w:tcBorders>
              <w:bottom w:val="single" w:sz="8" w:color="auto"/>
            </w:tcBorders>
          </w:tcPr>
          <w:p>
            <w:pPr>
              <w:jc w:val="right"/>
              <w:ind w:right="185"/>
              <w:spacing w:after="0"/>
              <w:rPr>
                <w:sz w:val="20"/>
                <w:szCs w:val="20"/>
                <w:color w:val="auto"/>
              </w:rPr>
            </w:pPr>
            <w:r>
              <w:rPr>
                <w:rFonts w:ascii="Times New Roman" w:cs="Times New Roman" w:eastAsia="Times New Roman" w:hAnsi="Times New Roman"/>
                <w:sz w:val="16"/>
                <w:szCs w:val="16"/>
                <w:b w:val="1"/>
                <w:bCs w:val="1"/>
                <w:color w:val="auto"/>
              </w:rPr>
              <w:t>Granted</w:t>
            </w:r>
          </w:p>
        </w:tc>
        <w:tc>
          <w:tcPr>
            <w:tcW w:w="82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6"/>
                <w:szCs w:val="16"/>
                <w:b w:val="1"/>
                <w:bCs w:val="1"/>
                <w:color w:val="auto"/>
              </w:rPr>
              <w:t>Price ($)</w:t>
            </w:r>
          </w:p>
        </w:tc>
        <w:tc>
          <w:tcPr>
            <w:tcW w:w="274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6"/>
                <w:szCs w:val="16"/>
                <w:b w:val="1"/>
                <w:bCs w:val="1"/>
                <w:color w:val="auto"/>
              </w:rPr>
              <w:t>Vesting Terms</w:t>
            </w: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Term</w:t>
            </w:r>
          </w:p>
        </w:tc>
        <w:tc>
          <w:tcPr>
            <w:tcW w:w="1600" w:type="dxa"/>
            <w:vAlign w:val="bottom"/>
            <w:tcBorders>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6"/>
                <w:szCs w:val="16"/>
                <w:b w:val="1"/>
                <w:bCs w:val="1"/>
                <w:color w:val="auto"/>
                <w:w w:val="96"/>
              </w:rPr>
              <w:t>Date ($ in thousands)</w:t>
            </w:r>
            <w:r>
              <w:rPr>
                <w:rFonts w:ascii="Times New Roman" w:cs="Times New Roman" w:eastAsia="Times New Roman" w:hAnsi="Times New Roman"/>
                <w:sz w:val="20"/>
                <w:szCs w:val="20"/>
                <w:b w:val="1"/>
                <w:bCs w:val="1"/>
                <w:color w:val="auto"/>
                <w:w w:val="96"/>
                <w:vertAlign w:val="superscript"/>
              </w:rPr>
              <w:t>(1)</w:t>
            </w:r>
          </w:p>
        </w:tc>
      </w:tr>
      <w:tr>
        <w:trPr>
          <w:trHeight w:val="198"/>
        </w:trPr>
        <w:tc>
          <w:tcPr>
            <w:tcW w:w="20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20"/>
                <w:szCs w:val="20"/>
                <w:color w:val="auto"/>
              </w:rPr>
              <w:t>August 22, 2024</w:t>
            </w:r>
          </w:p>
        </w:tc>
        <w:tc>
          <w:tcPr>
            <w:tcW w:w="1360" w:type="dxa"/>
            <w:vAlign w:val="bottom"/>
            <w:shd w:val="clear" w:color="auto" w:fill="CCEEFF"/>
          </w:tcPr>
          <w:p>
            <w:pPr>
              <w:jc w:val="right"/>
              <w:ind w:right="5"/>
              <w:spacing w:after="0" w:line="198" w:lineRule="exact"/>
              <w:rPr>
                <w:sz w:val="20"/>
                <w:szCs w:val="20"/>
                <w:color w:val="auto"/>
              </w:rPr>
            </w:pPr>
            <w:r>
              <w:rPr>
                <w:rFonts w:ascii="Times New Roman" w:cs="Times New Roman" w:eastAsia="Times New Roman" w:hAnsi="Times New Roman"/>
                <w:sz w:val="20"/>
                <w:szCs w:val="20"/>
                <w:color w:val="auto"/>
              </w:rPr>
              <w:t>34,000</w:t>
            </w:r>
          </w:p>
        </w:tc>
        <w:tc>
          <w:tcPr>
            <w:tcW w:w="82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20"/>
                <w:szCs w:val="20"/>
                <w:color w:val="auto"/>
              </w:rPr>
              <w:t>4.21</w:t>
            </w:r>
          </w:p>
        </w:tc>
        <w:tc>
          <w:tcPr>
            <w:tcW w:w="27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20"/>
                <w:szCs w:val="20"/>
                <w:color w:val="auto"/>
              </w:rPr>
              <w:t>Vest ratably over three years</w:t>
            </w:r>
          </w:p>
        </w:tc>
        <w:tc>
          <w:tcPr>
            <w:tcW w:w="82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20"/>
                <w:szCs w:val="20"/>
                <w:color w:val="auto"/>
                <w:w w:val="98"/>
              </w:rPr>
              <w:t>10 years</w:t>
            </w:r>
          </w:p>
        </w:tc>
        <w:tc>
          <w:tcPr>
            <w:tcW w:w="160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20"/>
                <w:szCs w:val="20"/>
                <w:color w:val="auto"/>
              </w:rPr>
              <w:t>82</w:t>
            </w:r>
          </w:p>
        </w:tc>
      </w:tr>
      <w:tr>
        <w:trPr>
          <w:trHeight w:val="230"/>
        </w:trPr>
        <w:tc>
          <w:tcPr>
            <w:tcW w:w="204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beginning six months after the</w:t>
            </w:r>
          </w:p>
        </w:tc>
        <w:tc>
          <w:tcPr>
            <w:tcW w:w="82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r>
      <w:tr>
        <w:trPr>
          <w:trHeight w:val="253"/>
        </w:trPr>
        <w:tc>
          <w:tcPr>
            <w:tcW w:w="204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date of grant</w:t>
            </w:r>
          </w:p>
        </w:tc>
        <w:tc>
          <w:tcPr>
            <w:tcW w:w="82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r>
      <w:tr>
        <w:trPr>
          <w:trHeight w:val="208"/>
        </w:trPr>
        <w:tc>
          <w:tcPr>
            <w:tcW w:w="2040" w:type="dxa"/>
            <w:vAlign w:val="bottom"/>
          </w:tcPr>
          <w:p>
            <w:pPr>
              <w:spacing w:after="0" w:line="208" w:lineRule="exact"/>
              <w:rPr>
                <w:sz w:val="20"/>
                <w:szCs w:val="20"/>
                <w:color w:val="auto"/>
              </w:rPr>
            </w:pPr>
            <w:r>
              <w:rPr>
                <w:rFonts w:ascii="Times New Roman" w:cs="Times New Roman" w:eastAsia="Times New Roman" w:hAnsi="Times New Roman"/>
                <w:sz w:val="20"/>
                <w:szCs w:val="20"/>
                <w:color w:val="auto"/>
              </w:rPr>
              <w:t>November 6, 2024</w:t>
            </w:r>
          </w:p>
        </w:tc>
        <w:tc>
          <w:tcPr>
            <w:tcW w:w="1360" w:type="dxa"/>
            <w:vAlign w:val="bottom"/>
          </w:tcPr>
          <w:p>
            <w:pPr>
              <w:jc w:val="right"/>
              <w:ind w:right="5"/>
              <w:spacing w:after="0" w:line="208" w:lineRule="exact"/>
              <w:rPr>
                <w:sz w:val="20"/>
                <w:szCs w:val="20"/>
                <w:color w:val="auto"/>
              </w:rPr>
            </w:pPr>
            <w:r>
              <w:rPr>
                <w:rFonts w:ascii="Times New Roman" w:cs="Times New Roman" w:eastAsia="Times New Roman" w:hAnsi="Times New Roman"/>
                <w:sz w:val="20"/>
                <w:szCs w:val="20"/>
                <w:color w:val="auto"/>
              </w:rPr>
              <w:t>72,000</w:t>
            </w:r>
          </w:p>
        </w:tc>
        <w:tc>
          <w:tcPr>
            <w:tcW w:w="820" w:type="dxa"/>
            <w:vAlign w:val="bottom"/>
          </w:tcPr>
          <w:p>
            <w:pPr>
              <w:jc w:val="right"/>
              <w:spacing w:after="0" w:line="208" w:lineRule="exact"/>
              <w:rPr>
                <w:sz w:val="20"/>
                <w:szCs w:val="20"/>
                <w:color w:val="auto"/>
              </w:rPr>
            </w:pPr>
            <w:r>
              <w:rPr>
                <w:rFonts w:ascii="Times New Roman" w:cs="Times New Roman" w:eastAsia="Times New Roman" w:hAnsi="Times New Roman"/>
                <w:sz w:val="20"/>
                <w:szCs w:val="20"/>
                <w:color w:val="auto"/>
              </w:rPr>
              <w:t>2.76</w:t>
            </w:r>
          </w:p>
        </w:tc>
        <w:tc>
          <w:tcPr>
            <w:tcW w:w="2740" w:type="dxa"/>
            <w:vAlign w:val="bottom"/>
          </w:tcPr>
          <w:p>
            <w:pPr>
              <w:spacing w:after="0" w:line="208" w:lineRule="exact"/>
              <w:rPr>
                <w:sz w:val="20"/>
                <w:szCs w:val="20"/>
                <w:color w:val="auto"/>
              </w:rPr>
            </w:pPr>
            <w:r>
              <w:rPr>
                <w:rFonts w:ascii="Times New Roman" w:cs="Times New Roman" w:eastAsia="Times New Roman" w:hAnsi="Times New Roman"/>
                <w:sz w:val="20"/>
                <w:szCs w:val="20"/>
                <w:color w:val="auto"/>
              </w:rPr>
              <w:t>Vest ratably over three years</w:t>
            </w:r>
          </w:p>
        </w:tc>
        <w:tc>
          <w:tcPr>
            <w:tcW w:w="820" w:type="dxa"/>
            <w:vAlign w:val="bottom"/>
          </w:tcPr>
          <w:p>
            <w:pPr>
              <w:jc w:val="center"/>
              <w:spacing w:after="0" w:line="208" w:lineRule="exact"/>
              <w:rPr>
                <w:sz w:val="20"/>
                <w:szCs w:val="20"/>
                <w:color w:val="auto"/>
              </w:rPr>
            </w:pPr>
            <w:r>
              <w:rPr>
                <w:rFonts w:ascii="Times New Roman" w:cs="Times New Roman" w:eastAsia="Times New Roman" w:hAnsi="Times New Roman"/>
                <w:sz w:val="20"/>
                <w:szCs w:val="20"/>
                <w:color w:val="auto"/>
                <w:w w:val="98"/>
              </w:rPr>
              <w:t>10 years</w:t>
            </w:r>
          </w:p>
        </w:tc>
        <w:tc>
          <w:tcPr>
            <w:tcW w:w="1600" w:type="dxa"/>
            <w:vAlign w:val="bottom"/>
          </w:tcPr>
          <w:p>
            <w:pPr>
              <w:jc w:val="right"/>
              <w:spacing w:after="0" w:line="208" w:lineRule="exact"/>
              <w:rPr>
                <w:sz w:val="20"/>
                <w:szCs w:val="20"/>
                <w:color w:val="auto"/>
              </w:rPr>
            </w:pPr>
            <w:r>
              <w:rPr>
                <w:rFonts w:ascii="Times New Roman" w:cs="Times New Roman" w:eastAsia="Times New Roman" w:hAnsi="Times New Roman"/>
                <w:sz w:val="20"/>
                <w:szCs w:val="20"/>
                <w:color w:val="auto"/>
              </w:rPr>
              <w:t>122</w:t>
            </w:r>
          </w:p>
        </w:tc>
      </w:tr>
      <w:tr>
        <w:trPr>
          <w:trHeight w:val="230"/>
        </w:trPr>
        <w:tc>
          <w:tcPr>
            <w:tcW w:w="20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740" w:type="dxa"/>
            <w:vAlign w:val="bottom"/>
          </w:tcPr>
          <w:p>
            <w:pPr>
              <w:spacing w:after="0"/>
              <w:rPr>
                <w:sz w:val="20"/>
                <w:szCs w:val="20"/>
                <w:color w:val="auto"/>
              </w:rPr>
            </w:pPr>
            <w:r>
              <w:rPr>
                <w:rFonts w:ascii="Times New Roman" w:cs="Times New Roman" w:eastAsia="Times New Roman" w:hAnsi="Times New Roman"/>
                <w:sz w:val="20"/>
                <w:szCs w:val="20"/>
                <w:color w:val="auto"/>
              </w:rPr>
              <w:t>beginning six months after the</w:t>
            </w:r>
          </w:p>
        </w:tc>
        <w:tc>
          <w:tcPr>
            <w:tcW w:w="82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250"/>
        </w:trPr>
        <w:tc>
          <w:tcPr>
            <w:tcW w:w="20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740" w:type="dxa"/>
            <w:vAlign w:val="bottom"/>
          </w:tcPr>
          <w:p>
            <w:pPr>
              <w:spacing w:after="0"/>
              <w:rPr>
                <w:sz w:val="20"/>
                <w:szCs w:val="20"/>
                <w:color w:val="auto"/>
              </w:rPr>
            </w:pPr>
            <w:r>
              <w:rPr>
                <w:rFonts w:ascii="Times New Roman" w:cs="Times New Roman" w:eastAsia="Times New Roman" w:hAnsi="Times New Roman"/>
                <w:sz w:val="20"/>
                <w:szCs w:val="20"/>
                <w:color w:val="auto"/>
              </w:rPr>
              <w:t>date of grant</w:t>
            </w:r>
          </w:p>
        </w:tc>
        <w:tc>
          <w:tcPr>
            <w:tcW w:w="82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10"/>
        </w:trPr>
        <w:tc>
          <w:tcPr>
            <w:tcW w:w="2040" w:type="dxa"/>
            <w:vAlign w:val="bottom"/>
            <w:shd w:val="clear" w:color="auto" w:fill="CCEEFF"/>
          </w:tcPr>
          <w:p>
            <w:pPr>
              <w:spacing w:after="0" w:line="210" w:lineRule="exact"/>
              <w:rPr>
                <w:sz w:val="20"/>
                <w:szCs w:val="20"/>
                <w:color w:val="auto"/>
              </w:rPr>
            </w:pPr>
            <w:r>
              <w:rPr>
                <w:rFonts w:ascii="Times New Roman" w:cs="Times New Roman" w:eastAsia="Times New Roman" w:hAnsi="Times New Roman"/>
                <w:sz w:val="20"/>
                <w:szCs w:val="20"/>
                <w:color w:val="auto"/>
              </w:rPr>
              <w:t>March 26, 2025</w:t>
            </w:r>
          </w:p>
        </w:tc>
        <w:tc>
          <w:tcPr>
            <w:tcW w:w="1360" w:type="dxa"/>
            <w:vAlign w:val="bottom"/>
            <w:shd w:val="clear" w:color="auto" w:fill="CCEEFF"/>
          </w:tcPr>
          <w:p>
            <w:pPr>
              <w:jc w:val="right"/>
              <w:ind w:right="5"/>
              <w:spacing w:after="0" w:line="210" w:lineRule="exact"/>
              <w:rPr>
                <w:sz w:val="20"/>
                <w:szCs w:val="20"/>
                <w:color w:val="auto"/>
              </w:rPr>
            </w:pPr>
            <w:r>
              <w:rPr>
                <w:rFonts w:ascii="Times New Roman" w:cs="Times New Roman" w:eastAsia="Times New Roman" w:hAnsi="Times New Roman"/>
                <w:sz w:val="20"/>
                <w:szCs w:val="20"/>
                <w:color w:val="auto"/>
              </w:rPr>
              <w:t>172,000</w:t>
            </w:r>
          </w:p>
        </w:tc>
        <w:tc>
          <w:tcPr>
            <w:tcW w:w="820" w:type="dxa"/>
            <w:vAlign w:val="bottom"/>
            <w:shd w:val="clear" w:color="auto" w:fill="CCEEFF"/>
          </w:tcPr>
          <w:p>
            <w:pPr>
              <w:jc w:val="right"/>
              <w:spacing w:after="0" w:line="210" w:lineRule="exact"/>
              <w:rPr>
                <w:sz w:val="20"/>
                <w:szCs w:val="20"/>
                <w:color w:val="auto"/>
              </w:rPr>
            </w:pPr>
            <w:r>
              <w:rPr>
                <w:rFonts w:ascii="Times New Roman" w:cs="Times New Roman" w:eastAsia="Times New Roman" w:hAnsi="Times New Roman"/>
                <w:sz w:val="20"/>
                <w:szCs w:val="20"/>
                <w:color w:val="auto"/>
              </w:rPr>
              <w:t>2.06</w:t>
            </w:r>
          </w:p>
        </w:tc>
        <w:tc>
          <w:tcPr>
            <w:tcW w:w="2740" w:type="dxa"/>
            <w:vAlign w:val="bottom"/>
            <w:shd w:val="clear" w:color="auto" w:fill="CCEEFF"/>
          </w:tcPr>
          <w:p>
            <w:pPr>
              <w:spacing w:after="0" w:line="210" w:lineRule="exact"/>
              <w:rPr>
                <w:sz w:val="20"/>
                <w:szCs w:val="20"/>
                <w:color w:val="auto"/>
              </w:rPr>
            </w:pPr>
            <w:r>
              <w:rPr>
                <w:rFonts w:ascii="Times New Roman" w:cs="Times New Roman" w:eastAsia="Times New Roman" w:hAnsi="Times New Roman"/>
                <w:sz w:val="20"/>
                <w:szCs w:val="20"/>
                <w:color w:val="auto"/>
              </w:rPr>
              <w:t>Vest ratably over three years</w:t>
            </w:r>
          </w:p>
        </w:tc>
        <w:tc>
          <w:tcPr>
            <w:tcW w:w="820" w:type="dxa"/>
            <w:vAlign w:val="bottom"/>
            <w:shd w:val="clear" w:color="auto" w:fill="CCEEFF"/>
          </w:tcPr>
          <w:p>
            <w:pPr>
              <w:jc w:val="center"/>
              <w:spacing w:after="0" w:line="210" w:lineRule="exact"/>
              <w:rPr>
                <w:sz w:val="20"/>
                <w:szCs w:val="20"/>
                <w:color w:val="auto"/>
              </w:rPr>
            </w:pPr>
            <w:r>
              <w:rPr>
                <w:rFonts w:ascii="Times New Roman" w:cs="Times New Roman" w:eastAsia="Times New Roman" w:hAnsi="Times New Roman"/>
                <w:sz w:val="20"/>
                <w:szCs w:val="20"/>
                <w:color w:val="auto"/>
                <w:w w:val="98"/>
              </w:rPr>
              <w:t>10 years</w:t>
            </w:r>
          </w:p>
        </w:tc>
        <w:tc>
          <w:tcPr>
            <w:tcW w:w="1600" w:type="dxa"/>
            <w:vAlign w:val="bottom"/>
            <w:shd w:val="clear" w:color="auto" w:fill="CCEEFF"/>
          </w:tcPr>
          <w:p>
            <w:pPr>
              <w:jc w:val="right"/>
              <w:spacing w:after="0" w:line="210" w:lineRule="exact"/>
              <w:rPr>
                <w:sz w:val="20"/>
                <w:szCs w:val="20"/>
                <w:color w:val="auto"/>
              </w:rPr>
            </w:pPr>
            <w:r>
              <w:rPr>
                <w:rFonts w:ascii="Times New Roman" w:cs="Times New Roman" w:eastAsia="Times New Roman" w:hAnsi="Times New Roman"/>
                <w:sz w:val="20"/>
                <w:szCs w:val="20"/>
                <w:color w:val="auto"/>
              </w:rPr>
              <w:t>202</w:t>
            </w:r>
          </w:p>
        </w:tc>
      </w:tr>
      <w:tr>
        <w:trPr>
          <w:trHeight w:val="230"/>
        </w:trPr>
        <w:tc>
          <w:tcPr>
            <w:tcW w:w="204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beginning six months after the</w:t>
            </w:r>
          </w:p>
        </w:tc>
        <w:tc>
          <w:tcPr>
            <w:tcW w:w="82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r>
      <w:tr>
        <w:trPr>
          <w:trHeight w:val="250"/>
        </w:trPr>
        <w:tc>
          <w:tcPr>
            <w:tcW w:w="204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date of grant</w:t>
            </w:r>
          </w:p>
        </w:tc>
        <w:tc>
          <w:tcPr>
            <w:tcW w:w="82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r>
      <w:tr>
        <w:trPr>
          <w:trHeight w:val="210"/>
        </w:trPr>
        <w:tc>
          <w:tcPr>
            <w:tcW w:w="2040" w:type="dxa"/>
            <w:vAlign w:val="bottom"/>
          </w:tcPr>
          <w:p>
            <w:pPr>
              <w:spacing w:after="0" w:line="210" w:lineRule="exact"/>
              <w:rPr>
                <w:sz w:val="20"/>
                <w:szCs w:val="20"/>
                <w:color w:val="auto"/>
              </w:rPr>
            </w:pPr>
            <w:r>
              <w:rPr>
                <w:rFonts w:ascii="Times New Roman" w:cs="Times New Roman" w:eastAsia="Times New Roman" w:hAnsi="Times New Roman"/>
                <w:sz w:val="20"/>
                <w:szCs w:val="20"/>
                <w:color w:val="auto"/>
              </w:rPr>
              <w:t>April 15, 2025</w:t>
            </w:r>
          </w:p>
        </w:tc>
        <w:tc>
          <w:tcPr>
            <w:tcW w:w="1360" w:type="dxa"/>
            <w:vAlign w:val="bottom"/>
          </w:tcPr>
          <w:p>
            <w:pPr>
              <w:jc w:val="right"/>
              <w:ind w:right="5"/>
              <w:spacing w:after="0" w:line="210" w:lineRule="exact"/>
              <w:rPr>
                <w:sz w:val="20"/>
                <w:szCs w:val="20"/>
                <w:color w:val="auto"/>
              </w:rPr>
            </w:pPr>
            <w:r>
              <w:rPr>
                <w:rFonts w:ascii="Times New Roman" w:cs="Times New Roman" w:eastAsia="Times New Roman" w:hAnsi="Times New Roman"/>
                <w:sz w:val="20"/>
                <w:szCs w:val="20"/>
                <w:color w:val="auto"/>
              </w:rPr>
              <w:t>780,000</w:t>
            </w:r>
          </w:p>
        </w:tc>
        <w:tc>
          <w:tcPr>
            <w:tcW w:w="820" w:type="dxa"/>
            <w:vAlign w:val="bottom"/>
          </w:tcPr>
          <w:p>
            <w:pPr>
              <w:jc w:val="right"/>
              <w:spacing w:after="0" w:line="210" w:lineRule="exact"/>
              <w:rPr>
                <w:sz w:val="20"/>
                <w:szCs w:val="20"/>
                <w:color w:val="auto"/>
              </w:rPr>
            </w:pPr>
            <w:r>
              <w:rPr>
                <w:rFonts w:ascii="Times New Roman" w:cs="Times New Roman" w:eastAsia="Times New Roman" w:hAnsi="Times New Roman"/>
                <w:sz w:val="20"/>
                <w:szCs w:val="20"/>
                <w:color w:val="auto"/>
              </w:rPr>
              <w:t>1.38</w:t>
            </w:r>
          </w:p>
        </w:tc>
        <w:tc>
          <w:tcPr>
            <w:tcW w:w="2740" w:type="dxa"/>
            <w:vAlign w:val="bottom"/>
          </w:tcPr>
          <w:p>
            <w:pPr>
              <w:spacing w:after="0" w:line="210" w:lineRule="exact"/>
              <w:rPr>
                <w:sz w:val="20"/>
                <w:szCs w:val="20"/>
                <w:color w:val="auto"/>
              </w:rPr>
            </w:pPr>
            <w:r>
              <w:rPr>
                <w:rFonts w:ascii="Times New Roman" w:cs="Times New Roman" w:eastAsia="Times New Roman" w:hAnsi="Times New Roman"/>
                <w:sz w:val="20"/>
                <w:szCs w:val="20"/>
                <w:color w:val="auto"/>
              </w:rPr>
              <w:t>Vest ratably over three years</w:t>
            </w:r>
          </w:p>
        </w:tc>
        <w:tc>
          <w:tcPr>
            <w:tcW w:w="820" w:type="dxa"/>
            <w:vAlign w:val="bottom"/>
          </w:tcPr>
          <w:p>
            <w:pPr>
              <w:jc w:val="center"/>
              <w:spacing w:after="0" w:line="210" w:lineRule="exact"/>
              <w:rPr>
                <w:sz w:val="20"/>
                <w:szCs w:val="20"/>
                <w:color w:val="auto"/>
              </w:rPr>
            </w:pPr>
            <w:r>
              <w:rPr>
                <w:rFonts w:ascii="Times New Roman" w:cs="Times New Roman" w:eastAsia="Times New Roman" w:hAnsi="Times New Roman"/>
                <w:sz w:val="20"/>
                <w:szCs w:val="20"/>
                <w:color w:val="auto"/>
                <w:w w:val="98"/>
              </w:rPr>
              <w:t>10 years</w:t>
            </w:r>
          </w:p>
        </w:tc>
        <w:tc>
          <w:tcPr>
            <w:tcW w:w="1600" w:type="dxa"/>
            <w:vAlign w:val="bottom"/>
          </w:tcPr>
          <w:p>
            <w:pPr>
              <w:jc w:val="right"/>
              <w:spacing w:after="0" w:line="210" w:lineRule="exact"/>
              <w:rPr>
                <w:sz w:val="20"/>
                <w:szCs w:val="20"/>
                <w:color w:val="auto"/>
              </w:rPr>
            </w:pPr>
            <w:r>
              <w:rPr>
                <w:rFonts w:ascii="Times New Roman" w:cs="Times New Roman" w:eastAsia="Times New Roman" w:hAnsi="Times New Roman"/>
                <w:sz w:val="20"/>
                <w:szCs w:val="20"/>
                <w:color w:val="auto"/>
              </w:rPr>
              <w:t>609</w:t>
            </w:r>
          </w:p>
        </w:tc>
      </w:tr>
      <w:tr>
        <w:trPr>
          <w:trHeight w:val="230"/>
        </w:trPr>
        <w:tc>
          <w:tcPr>
            <w:tcW w:w="20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740" w:type="dxa"/>
            <w:vAlign w:val="bottom"/>
          </w:tcPr>
          <w:p>
            <w:pPr>
              <w:spacing w:after="0"/>
              <w:rPr>
                <w:sz w:val="20"/>
                <w:szCs w:val="20"/>
                <w:color w:val="auto"/>
              </w:rPr>
            </w:pPr>
            <w:r>
              <w:rPr>
                <w:rFonts w:ascii="Times New Roman" w:cs="Times New Roman" w:eastAsia="Times New Roman" w:hAnsi="Times New Roman"/>
                <w:sz w:val="20"/>
                <w:szCs w:val="20"/>
                <w:color w:val="auto"/>
              </w:rPr>
              <w:t>beginning six months after the</w:t>
            </w:r>
          </w:p>
        </w:tc>
        <w:tc>
          <w:tcPr>
            <w:tcW w:w="82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250"/>
        </w:trPr>
        <w:tc>
          <w:tcPr>
            <w:tcW w:w="20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740" w:type="dxa"/>
            <w:vAlign w:val="bottom"/>
          </w:tcPr>
          <w:p>
            <w:pPr>
              <w:spacing w:after="0"/>
              <w:rPr>
                <w:sz w:val="20"/>
                <w:szCs w:val="20"/>
                <w:color w:val="auto"/>
              </w:rPr>
            </w:pPr>
            <w:r>
              <w:rPr>
                <w:rFonts w:ascii="Times New Roman" w:cs="Times New Roman" w:eastAsia="Times New Roman" w:hAnsi="Times New Roman"/>
                <w:sz w:val="20"/>
                <w:szCs w:val="20"/>
                <w:color w:val="auto"/>
              </w:rPr>
              <w:t>date of grant</w:t>
            </w:r>
          </w:p>
        </w:tc>
        <w:tc>
          <w:tcPr>
            <w:tcW w:w="82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10"/>
        </w:trPr>
        <w:tc>
          <w:tcPr>
            <w:tcW w:w="2040" w:type="dxa"/>
            <w:vAlign w:val="bottom"/>
            <w:shd w:val="clear" w:color="auto" w:fill="CCEEFF"/>
          </w:tcPr>
          <w:p>
            <w:pPr>
              <w:spacing w:after="0" w:line="210" w:lineRule="exact"/>
              <w:rPr>
                <w:sz w:val="20"/>
                <w:szCs w:val="20"/>
                <w:color w:val="auto"/>
              </w:rPr>
            </w:pPr>
            <w:r>
              <w:rPr>
                <w:rFonts w:ascii="Times New Roman" w:cs="Times New Roman" w:eastAsia="Times New Roman" w:hAnsi="Times New Roman"/>
                <w:sz w:val="20"/>
                <w:szCs w:val="20"/>
                <w:color w:val="auto"/>
              </w:rPr>
              <w:t>May 14, 2025</w:t>
            </w:r>
          </w:p>
        </w:tc>
        <w:tc>
          <w:tcPr>
            <w:tcW w:w="1360" w:type="dxa"/>
            <w:vAlign w:val="bottom"/>
            <w:shd w:val="clear" w:color="auto" w:fill="CCEEFF"/>
          </w:tcPr>
          <w:p>
            <w:pPr>
              <w:jc w:val="right"/>
              <w:ind w:right="5"/>
              <w:spacing w:after="0" w:line="210" w:lineRule="exact"/>
              <w:rPr>
                <w:sz w:val="20"/>
                <w:szCs w:val="20"/>
                <w:color w:val="auto"/>
              </w:rPr>
            </w:pPr>
            <w:r>
              <w:rPr>
                <w:rFonts w:ascii="Times New Roman" w:cs="Times New Roman" w:eastAsia="Times New Roman" w:hAnsi="Times New Roman"/>
                <w:sz w:val="20"/>
                <w:szCs w:val="20"/>
                <w:color w:val="auto"/>
              </w:rPr>
              <w:t>54,000</w:t>
            </w:r>
          </w:p>
        </w:tc>
        <w:tc>
          <w:tcPr>
            <w:tcW w:w="820" w:type="dxa"/>
            <w:vAlign w:val="bottom"/>
            <w:shd w:val="clear" w:color="auto" w:fill="CCEEFF"/>
          </w:tcPr>
          <w:p>
            <w:pPr>
              <w:jc w:val="right"/>
              <w:spacing w:after="0" w:line="210" w:lineRule="exact"/>
              <w:rPr>
                <w:sz w:val="20"/>
                <w:szCs w:val="20"/>
                <w:color w:val="auto"/>
              </w:rPr>
            </w:pPr>
            <w:r>
              <w:rPr>
                <w:rFonts w:ascii="Times New Roman" w:cs="Times New Roman" w:eastAsia="Times New Roman" w:hAnsi="Times New Roman"/>
                <w:sz w:val="20"/>
                <w:szCs w:val="20"/>
                <w:color w:val="auto"/>
              </w:rPr>
              <w:t>2.18</w:t>
            </w:r>
          </w:p>
        </w:tc>
        <w:tc>
          <w:tcPr>
            <w:tcW w:w="2740" w:type="dxa"/>
            <w:vAlign w:val="bottom"/>
            <w:shd w:val="clear" w:color="auto" w:fill="CCEEFF"/>
          </w:tcPr>
          <w:p>
            <w:pPr>
              <w:spacing w:after="0" w:line="210" w:lineRule="exact"/>
              <w:rPr>
                <w:sz w:val="20"/>
                <w:szCs w:val="20"/>
                <w:color w:val="auto"/>
              </w:rPr>
            </w:pPr>
            <w:r>
              <w:rPr>
                <w:rFonts w:ascii="Times New Roman" w:cs="Times New Roman" w:eastAsia="Times New Roman" w:hAnsi="Times New Roman"/>
                <w:sz w:val="20"/>
                <w:szCs w:val="20"/>
                <w:color w:val="auto"/>
              </w:rPr>
              <w:t>Vest ratably over three years</w:t>
            </w:r>
          </w:p>
        </w:tc>
        <w:tc>
          <w:tcPr>
            <w:tcW w:w="820" w:type="dxa"/>
            <w:vAlign w:val="bottom"/>
            <w:shd w:val="clear" w:color="auto" w:fill="CCEEFF"/>
          </w:tcPr>
          <w:p>
            <w:pPr>
              <w:jc w:val="center"/>
              <w:spacing w:after="0" w:line="210" w:lineRule="exact"/>
              <w:rPr>
                <w:sz w:val="20"/>
                <w:szCs w:val="20"/>
                <w:color w:val="auto"/>
              </w:rPr>
            </w:pPr>
            <w:r>
              <w:rPr>
                <w:rFonts w:ascii="Times New Roman" w:cs="Times New Roman" w:eastAsia="Times New Roman" w:hAnsi="Times New Roman"/>
                <w:sz w:val="20"/>
                <w:szCs w:val="20"/>
                <w:color w:val="auto"/>
                <w:w w:val="98"/>
              </w:rPr>
              <w:t>10 years</w:t>
            </w:r>
          </w:p>
        </w:tc>
        <w:tc>
          <w:tcPr>
            <w:tcW w:w="1600" w:type="dxa"/>
            <w:vAlign w:val="bottom"/>
            <w:shd w:val="clear" w:color="auto" w:fill="CCEEFF"/>
          </w:tcPr>
          <w:p>
            <w:pPr>
              <w:jc w:val="right"/>
              <w:spacing w:after="0" w:line="210" w:lineRule="exact"/>
              <w:rPr>
                <w:sz w:val="20"/>
                <w:szCs w:val="20"/>
                <w:color w:val="auto"/>
              </w:rPr>
            </w:pPr>
            <w:r>
              <w:rPr>
                <w:rFonts w:ascii="Times New Roman" w:cs="Times New Roman" w:eastAsia="Times New Roman" w:hAnsi="Times New Roman"/>
                <w:sz w:val="20"/>
                <w:szCs w:val="20"/>
                <w:color w:val="auto"/>
              </w:rPr>
              <w:t>67</w:t>
            </w:r>
          </w:p>
        </w:tc>
      </w:tr>
      <w:tr>
        <w:trPr>
          <w:trHeight w:val="230"/>
        </w:trPr>
        <w:tc>
          <w:tcPr>
            <w:tcW w:w="204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beginning six months after the</w:t>
            </w:r>
          </w:p>
        </w:tc>
        <w:tc>
          <w:tcPr>
            <w:tcW w:w="82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r>
      <w:tr>
        <w:trPr>
          <w:trHeight w:val="250"/>
        </w:trPr>
        <w:tc>
          <w:tcPr>
            <w:tcW w:w="204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date of grant</w:t>
            </w:r>
          </w:p>
        </w:tc>
        <w:tc>
          <w:tcPr>
            <w:tcW w:w="82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r>
      <w:tr>
        <w:trPr>
          <w:trHeight w:val="210"/>
        </w:trPr>
        <w:tc>
          <w:tcPr>
            <w:tcW w:w="2040" w:type="dxa"/>
            <w:vAlign w:val="bottom"/>
          </w:tcPr>
          <w:p>
            <w:pPr>
              <w:spacing w:after="0" w:line="210" w:lineRule="exact"/>
              <w:rPr>
                <w:sz w:val="20"/>
                <w:szCs w:val="20"/>
                <w:color w:val="auto"/>
              </w:rPr>
            </w:pPr>
            <w:r>
              <w:rPr>
                <w:rFonts w:ascii="Times New Roman" w:cs="Times New Roman" w:eastAsia="Times New Roman" w:hAnsi="Times New Roman"/>
                <w:sz w:val="20"/>
                <w:szCs w:val="20"/>
                <w:color w:val="auto"/>
              </w:rPr>
              <w:t>June 20, 2025</w:t>
            </w:r>
          </w:p>
        </w:tc>
        <w:tc>
          <w:tcPr>
            <w:tcW w:w="1360" w:type="dxa"/>
            <w:vAlign w:val="bottom"/>
          </w:tcPr>
          <w:p>
            <w:pPr>
              <w:jc w:val="right"/>
              <w:ind w:right="5"/>
              <w:spacing w:after="0" w:line="210" w:lineRule="exact"/>
              <w:rPr>
                <w:sz w:val="20"/>
                <w:szCs w:val="20"/>
                <w:color w:val="auto"/>
              </w:rPr>
            </w:pPr>
            <w:r>
              <w:rPr>
                <w:rFonts w:ascii="Times New Roman" w:cs="Times New Roman" w:eastAsia="Times New Roman" w:hAnsi="Times New Roman"/>
                <w:sz w:val="20"/>
                <w:szCs w:val="20"/>
                <w:color w:val="auto"/>
              </w:rPr>
              <w:t>888,000</w:t>
            </w:r>
          </w:p>
        </w:tc>
        <w:tc>
          <w:tcPr>
            <w:tcW w:w="820" w:type="dxa"/>
            <w:vAlign w:val="bottom"/>
          </w:tcPr>
          <w:p>
            <w:pPr>
              <w:jc w:val="right"/>
              <w:spacing w:after="0" w:line="210" w:lineRule="exact"/>
              <w:rPr>
                <w:sz w:val="20"/>
                <w:szCs w:val="20"/>
                <w:color w:val="auto"/>
              </w:rPr>
            </w:pPr>
            <w:r>
              <w:rPr>
                <w:rFonts w:ascii="Times New Roman" w:cs="Times New Roman" w:eastAsia="Times New Roman" w:hAnsi="Times New Roman"/>
                <w:sz w:val="20"/>
                <w:szCs w:val="20"/>
                <w:color w:val="auto"/>
              </w:rPr>
              <w:t>1.70</w:t>
            </w:r>
          </w:p>
        </w:tc>
        <w:tc>
          <w:tcPr>
            <w:tcW w:w="2740" w:type="dxa"/>
            <w:vAlign w:val="bottom"/>
          </w:tcPr>
          <w:p>
            <w:pPr>
              <w:spacing w:after="0" w:line="210" w:lineRule="exact"/>
              <w:rPr>
                <w:sz w:val="20"/>
                <w:szCs w:val="20"/>
                <w:color w:val="auto"/>
              </w:rPr>
            </w:pPr>
            <w:r>
              <w:rPr>
                <w:rFonts w:ascii="Times New Roman" w:cs="Times New Roman" w:eastAsia="Times New Roman" w:hAnsi="Times New Roman"/>
                <w:sz w:val="20"/>
                <w:szCs w:val="20"/>
                <w:color w:val="auto"/>
              </w:rPr>
              <w:t>Vest ratably over three years</w:t>
            </w:r>
          </w:p>
        </w:tc>
        <w:tc>
          <w:tcPr>
            <w:tcW w:w="820" w:type="dxa"/>
            <w:vAlign w:val="bottom"/>
          </w:tcPr>
          <w:p>
            <w:pPr>
              <w:jc w:val="center"/>
              <w:spacing w:after="0" w:line="210" w:lineRule="exact"/>
              <w:rPr>
                <w:sz w:val="20"/>
                <w:szCs w:val="20"/>
                <w:color w:val="auto"/>
              </w:rPr>
            </w:pPr>
            <w:r>
              <w:rPr>
                <w:rFonts w:ascii="Times New Roman" w:cs="Times New Roman" w:eastAsia="Times New Roman" w:hAnsi="Times New Roman"/>
                <w:sz w:val="20"/>
                <w:szCs w:val="20"/>
                <w:color w:val="auto"/>
                <w:w w:val="98"/>
              </w:rPr>
              <w:t>10 years</w:t>
            </w:r>
          </w:p>
        </w:tc>
        <w:tc>
          <w:tcPr>
            <w:tcW w:w="1600" w:type="dxa"/>
            <w:vAlign w:val="bottom"/>
          </w:tcPr>
          <w:p>
            <w:pPr>
              <w:jc w:val="right"/>
              <w:spacing w:after="0" w:line="210" w:lineRule="exact"/>
              <w:rPr>
                <w:sz w:val="20"/>
                <w:szCs w:val="20"/>
                <w:color w:val="auto"/>
              </w:rPr>
            </w:pPr>
            <w:r>
              <w:rPr>
                <w:rFonts w:ascii="Times New Roman" w:cs="Times New Roman" w:eastAsia="Times New Roman" w:hAnsi="Times New Roman"/>
                <w:sz w:val="20"/>
                <w:szCs w:val="20"/>
                <w:color w:val="auto"/>
              </w:rPr>
              <w:t>874</w:t>
            </w:r>
          </w:p>
        </w:tc>
      </w:tr>
      <w:tr>
        <w:trPr>
          <w:trHeight w:val="230"/>
        </w:trPr>
        <w:tc>
          <w:tcPr>
            <w:tcW w:w="20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740" w:type="dxa"/>
            <w:vAlign w:val="bottom"/>
          </w:tcPr>
          <w:p>
            <w:pPr>
              <w:spacing w:after="0"/>
              <w:rPr>
                <w:sz w:val="20"/>
                <w:szCs w:val="20"/>
                <w:color w:val="auto"/>
              </w:rPr>
            </w:pPr>
            <w:r>
              <w:rPr>
                <w:rFonts w:ascii="Times New Roman" w:cs="Times New Roman" w:eastAsia="Times New Roman" w:hAnsi="Times New Roman"/>
                <w:sz w:val="20"/>
                <w:szCs w:val="20"/>
                <w:color w:val="auto"/>
              </w:rPr>
              <w:t>beginning six months after the</w:t>
            </w:r>
          </w:p>
        </w:tc>
        <w:tc>
          <w:tcPr>
            <w:tcW w:w="82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234"/>
        </w:trPr>
        <w:tc>
          <w:tcPr>
            <w:tcW w:w="20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740" w:type="dxa"/>
            <w:vAlign w:val="bottom"/>
          </w:tcPr>
          <w:p>
            <w:pPr>
              <w:spacing w:after="0"/>
              <w:rPr>
                <w:sz w:val="20"/>
                <w:szCs w:val="20"/>
                <w:color w:val="auto"/>
              </w:rPr>
            </w:pPr>
            <w:r>
              <w:rPr>
                <w:rFonts w:ascii="Times New Roman" w:cs="Times New Roman" w:eastAsia="Times New Roman" w:hAnsi="Times New Roman"/>
                <w:sz w:val="20"/>
                <w:szCs w:val="20"/>
                <w:color w:val="auto"/>
              </w:rPr>
              <w:t>date of grant</w:t>
            </w:r>
          </w:p>
        </w:tc>
        <w:tc>
          <w:tcPr>
            <w:tcW w:w="820" w:type="dxa"/>
            <w:vAlign w:val="bottom"/>
          </w:tcPr>
          <w:p>
            <w:pPr>
              <w:spacing w:after="0"/>
              <w:rPr>
                <w:sz w:val="20"/>
                <w:szCs w:val="20"/>
                <w:color w:val="auto"/>
              </w:rPr>
            </w:pPr>
          </w:p>
        </w:tc>
        <w:tc>
          <w:tcPr>
            <w:tcW w:w="1600" w:type="dxa"/>
            <w:vAlign w:val="bottom"/>
          </w:tcPr>
          <w:p>
            <w:pPr>
              <w:spacing w:after="0"/>
              <w:rPr>
                <w:sz w:val="20"/>
                <w:szCs w:val="20"/>
                <w:color w:val="auto"/>
              </w:rPr>
            </w:pPr>
          </w:p>
        </w:tc>
      </w:tr>
    </w:tbl>
    <w:p>
      <w:pPr>
        <w:ind w:left="360" w:firstLine="5"/>
        <w:spacing w:after="0" w:line="265" w:lineRule="auto"/>
        <w:tabs>
          <w:tab w:leader="none" w:pos="511" w:val="left"/>
        </w:tabs>
        <w:numPr>
          <w:ilvl w:val="0"/>
          <w:numId w:val="55"/>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5"/>
          <w:szCs w:val="15"/>
          <w:color w:val="auto"/>
        </w:rPr>
        <w:t>This non-cash compensation expense is recognized in the Company’s operating expenses over a period of 36 months (using the graded vesting method).</w:t>
      </w:r>
    </w:p>
    <w:p>
      <w:pPr>
        <w:spacing w:after="0" w:line="43" w:lineRule="exact"/>
        <w:rPr>
          <w:sz w:val="20"/>
          <w:szCs w:val="20"/>
          <w:color w:val="auto"/>
        </w:rPr>
      </w:pPr>
    </w:p>
    <w:p>
      <w:pPr>
        <w:jc w:val="both"/>
        <w:ind w:firstLine="720"/>
        <w:spacing w:after="0" w:line="281" w:lineRule="auto"/>
        <w:rPr>
          <w:sz w:val="20"/>
          <w:szCs w:val="20"/>
          <w:color w:val="auto"/>
        </w:rPr>
      </w:pPr>
      <w:r>
        <w:rPr>
          <w:rFonts w:ascii="Times New Roman" w:cs="Times New Roman" w:eastAsia="Times New Roman" w:hAnsi="Times New Roman"/>
          <w:sz w:val="20"/>
          <w:szCs w:val="20"/>
          <w:color w:val="auto"/>
        </w:rPr>
        <w:t>The Company recorded compensation expense of $39 thousand and $940 thousand in 2024 and 2025, respectively, for this June 28, 2024 Plan (the “2024 Plan”).</w:t>
      </w:r>
    </w:p>
    <w:p>
      <w:pPr>
        <w:spacing w:after="0" w:line="2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9"/>
          <w:szCs w:val="19"/>
          <w:color w:val="auto"/>
        </w:rPr>
        <w:t>Under the 2024 Plan, 1,973,000 options are outstanding on December 31, 2025 and 409,111 are exercisable.</w:t>
      </w:r>
    </w:p>
    <w:p>
      <w:pPr>
        <w:spacing w:after="0" w:line="211" w:lineRule="exact"/>
        <w:rPr>
          <w:sz w:val="20"/>
          <w:szCs w:val="20"/>
          <w:color w:val="auto"/>
        </w:rPr>
      </w:pPr>
    </w:p>
    <w:p>
      <w:pPr>
        <w:jc w:val="both"/>
        <w:ind w:firstLine="720"/>
        <w:spacing w:after="0" w:line="279" w:lineRule="auto"/>
        <w:rPr>
          <w:sz w:val="20"/>
          <w:szCs w:val="20"/>
          <w:color w:val="auto"/>
        </w:rPr>
      </w:pPr>
      <w:r>
        <w:rPr>
          <w:rFonts w:ascii="Times New Roman" w:cs="Times New Roman" w:eastAsia="Times New Roman" w:hAnsi="Times New Roman"/>
          <w:sz w:val="19"/>
          <w:szCs w:val="19"/>
          <w:color w:val="auto"/>
        </w:rPr>
        <w:t>On June 27, 2025, the shareholders authorized the Board of Directors to grant up to a maximum of 2,000,000 options to subscribe to 2,000,000 new shares at a fixed price to be set by the Board of Directors. Conforming to this June 28, 2024 authorization, the Board of Directors granted options to subscribe to new shares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80" w:type="dxa"/>
            <w:vAlign w:val="bottom"/>
          </w:tcPr>
          <w:p>
            <w:pPr>
              <w:spacing w:after="0"/>
              <w:rPr>
                <w:sz w:val="16"/>
                <w:szCs w:val="16"/>
                <w:color w:val="auto"/>
              </w:rPr>
            </w:pPr>
          </w:p>
        </w:tc>
        <w:tc>
          <w:tcPr>
            <w:tcW w:w="1320" w:type="dxa"/>
            <w:vAlign w:val="bottom"/>
          </w:tcPr>
          <w:p>
            <w:pPr>
              <w:jc w:val="right"/>
              <w:ind w:right="208"/>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6"/>
                <w:szCs w:val="16"/>
                <w:b w:val="1"/>
                <w:bCs w:val="1"/>
                <w:color w:val="auto"/>
              </w:rPr>
              <w:t>Exercise</w:t>
            </w:r>
          </w:p>
        </w:tc>
        <w:tc>
          <w:tcPr>
            <w:tcW w:w="274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Contractual</w:t>
            </w:r>
          </w:p>
        </w:tc>
        <w:tc>
          <w:tcPr>
            <w:tcW w:w="1600" w:type="dxa"/>
            <w:vAlign w:val="bottom"/>
          </w:tcPr>
          <w:p>
            <w:pPr>
              <w:jc w:val="right"/>
              <w:ind w:right="28"/>
              <w:spacing w:after="0"/>
              <w:rPr>
                <w:sz w:val="20"/>
                <w:szCs w:val="20"/>
                <w:color w:val="auto"/>
              </w:rPr>
            </w:pPr>
            <w:r>
              <w:rPr>
                <w:rFonts w:ascii="Times New Roman" w:cs="Times New Roman" w:eastAsia="Times New Roman" w:hAnsi="Times New Roman"/>
                <w:sz w:val="16"/>
                <w:szCs w:val="16"/>
                <w:b w:val="1"/>
                <w:bCs w:val="1"/>
                <w:color w:val="auto"/>
              </w:rPr>
              <w:t>Fair Value at Grant</w:t>
            </w:r>
          </w:p>
        </w:tc>
      </w:tr>
      <w:tr>
        <w:trPr>
          <w:trHeight w:val="203"/>
        </w:trPr>
        <w:tc>
          <w:tcPr>
            <w:tcW w:w="208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6"/>
                <w:szCs w:val="16"/>
                <w:b w:val="1"/>
                <w:bCs w:val="1"/>
                <w:color w:val="auto"/>
              </w:rPr>
              <w:t>Grant Date</w:t>
            </w:r>
          </w:p>
        </w:tc>
        <w:tc>
          <w:tcPr>
            <w:tcW w:w="132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6"/>
                <w:szCs w:val="16"/>
                <w:b w:val="1"/>
                <w:bCs w:val="1"/>
                <w:color w:val="auto"/>
              </w:rPr>
              <w:t>Granted</w:t>
            </w:r>
          </w:p>
        </w:tc>
        <w:tc>
          <w:tcPr>
            <w:tcW w:w="8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6"/>
                <w:szCs w:val="16"/>
                <w:b w:val="1"/>
                <w:bCs w:val="1"/>
                <w:color w:val="auto"/>
              </w:rPr>
              <w:t>Price ($)</w:t>
            </w:r>
          </w:p>
        </w:tc>
        <w:tc>
          <w:tcPr>
            <w:tcW w:w="274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6"/>
                <w:szCs w:val="16"/>
                <w:b w:val="1"/>
                <w:bCs w:val="1"/>
                <w:color w:val="auto"/>
              </w:rPr>
              <w:t>Vesting Terms</w:t>
            </w: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Term</w:t>
            </w:r>
          </w:p>
        </w:tc>
        <w:tc>
          <w:tcPr>
            <w:tcW w:w="1600" w:type="dxa"/>
            <w:vAlign w:val="bottom"/>
            <w:tcBorders>
              <w:bottom w:val="single" w:sz="8" w:color="auto"/>
            </w:tcBorders>
          </w:tcPr>
          <w:p>
            <w:pPr>
              <w:jc w:val="right"/>
              <w:spacing w:after="0" w:line="204" w:lineRule="exact"/>
              <w:rPr>
                <w:sz w:val="20"/>
                <w:szCs w:val="20"/>
                <w:color w:val="auto"/>
              </w:rPr>
            </w:pPr>
            <w:r>
              <w:rPr>
                <w:rFonts w:ascii="Times New Roman" w:cs="Times New Roman" w:eastAsia="Times New Roman" w:hAnsi="Times New Roman"/>
                <w:sz w:val="16"/>
                <w:szCs w:val="16"/>
                <w:b w:val="1"/>
                <w:bCs w:val="1"/>
                <w:color w:val="auto"/>
                <w:w w:val="96"/>
              </w:rPr>
              <w:t>Date ($ in thousands)</w:t>
            </w:r>
            <w:r>
              <w:rPr>
                <w:rFonts w:ascii="Times New Roman" w:cs="Times New Roman" w:eastAsia="Times New Roman" w:hAnsi="Times New Roman"/>
                <w:sz w:val="20"/>
                <w:szCs w:val="20"/>
                <w:b w:val="1"/>
                <w:bCs w:val="1"/>
                <w:color w:val="auto"/>
                <w:w w:val="96"/>
                <w:vertAlign w:val="superscript"/>
              </w:rPr>
              <w:t>(1)</w:t>
            </w:r>
          </w:p>
        </w:tc>
      </w:tr>
      <w:tr>
        <w:trPr>
          <w:trHeight w:val="200"/>
        </w:trPr>
        <w:tc>
          <w:tcPr>
            <w:tcW w:w="2080" w:type="dxa"/>
            <w:vAlign w:val="bottom"/>
            <w:shd w:val="clear" w:color="auto" w:fill="CCEEFF"/>
          </w:tcPr>
          <w:p>
            <w:pPr>
              <w:spacing w:after="0" w:line="200" w:lineRule="exact"/>
              <w:rPr>
                <w:sz w:val="20"/>
                <w:szCs w:val="20"/>
                <w:color w:val="auto"/>
              </w:rPr>
            </w:pPr>
            <w:r>
              <w:rPr>
                <w:rFonts w:ascii="Times New Roman" w:cs="Times New Roman" w:eastAsia="Times New Roman" w:hAnsi="Times New Roman"/>
                <w:sz w:val="20"/>
                <w:szCs w:val="20"/>
                <w:color w:val="auto"/>
              </w:rPr>
              <w:t>September 30, 2025</w:t>
            </w:r>
          </w:p>
        </w:tc>
        <w:tc>
          <w:tcPr>
            <w:tcW w:w="1320" w:type="dxa"/>
            <w:vAlign w:val="bottom"/>
            <w:shd w:val="clear" w:color="auto" w:fill="CCEEFF"/>
          </w:tcPr>
          <w:p>
            <w:pPr>
              <w:jc w:val="right"/>
              <w:ind w:right="8"/>
              <w:spacing w:after="0" w:line="200" w:lineRule="exact"/>
              <w:rPr>
                <w:sz w:val="20"/>
                <w:szCs w:val="20"/>
                <w:color w:val="auto"/>
              </w:rPr>
            </w:pPr>
            <w:r>
              <w:rPr>
                <w:rFonts w:ascii="Times New Roman" w:cs="Times New Roman" w:eastAsia="Times New Roman" w:hAnsi="Times New Roman"/>
                <w:sz w:val="20"/>
                <w:szCs w:val="20"/>
                <w:color w:val="auto"/>
              </w:rPr>
              <w:t>213,000</w:t>
            </w:r>
          </w:p>
        </w:tc>
        <w:tc>
          <w:tcPr>
            <w:tcW w:w="820" w:type="dxa"/>
            <w:vAlign w:val="bottom"/>
            <w:shd w:val="clear" w:color="auto" w:fill="CCEEFF"/>
          </w:tcPr>
          <w:p>
            <w:pPr>
              <w:jc w:val="right"/>
              <w:spacing w:after="0" w:line="200" w:lineRule="exact"/>
              <w:rPr>
                <w:sz w:val="20"/>
                <w:szCs w:val="20"/>
                <w:color w:val="auto"/>
              </w:rPr>
            </w:pPr>
            <w:r>
              <w:rPr>
                <w:rFonts w:ascii="Times New Roman" w:cs="Times New Roman" w:eastAsia="Times New Roman" w:hAnsi="Times New Roman"/>
                <w:sz w:val="20"/>
                <w:szCs w:val="20"/>
                <w:color w:val="auto"/>
              </w:rPr>
              <w:t>2.40</w:t>
            </w:r>
          </w:p>
        </w:tc>
        <w:tc>
          <w:tcPr>
            <w:tcW w:w="2740" w:type="dxa"/>
            <w:vAlign w:val="bottom"/>
            <w:shd w:val="clear" w:color="auto" w:fill="CCEEFF"/>
          </w:tcPr>
          <w:p>
            <w:pPr>
              <w:spacing w:after="0" w:line="200" w:lineRule="exact"/>
              <w:rPr>
                <w:sz w:val="20"/>
                <w:szCs w:val="20"/>
                <w:color w:val="auto"/>
              </w:rPr>
            </w:pPr>
            <w:r>
              <w:rPr>
                <w:rFonts w:ascii="Times New Roman" w:cs="Times New Roman" w:eastAsia="Times New Roman" w:hAnsi="Times New Roman"/>
                <w:sz w:val="20"/>
                <w:szCs w:val="20"/>
                <w:color w:val="auto"/>
              </w:rPr>
              <w:t>Vest ratably over three years</w:t>
            </w:r>
          </w:p>
        </w:tc>
        <w:tc>
          <w:tcPr>
            <w:tcW w:w="820" w:type="dxa"/>
            <w:vAlign w:val="bottom"/>
            <w:shd w:val="clear" w:color="auto" w:fill="CCEEFF"/>
          </w:tcPr>
          <w:p>
            <w:pPr>
              <w:jc w:val="center"/>
              <w:spacing w:after="0" w:line="200" w:lineRule="exact"/>
              <w:rPr>
                <w:sz w:val="20"/>
                <w:szCs w:val="20"/>
                <w:color w:val="auto"/>
              </w:rPr>
            </w:pPr>
            <w:r>
              <w:rPr>
                <w:rFonts w:ascii="Times New Roman" w:cs="Times New Roman" w:eastAsia="Times New Roman" w:hAnsi="Times New Roman"/>
                <w:sz w:val="20"/>
                <w:szCs w:val="20"/>
                <w:color w:val="auto"/>
                <w:w w:val="98"/>
              </w:rPr>
              <w:t>10 years</w:t>
            </w:r>
          </w:p>
        </w:tc>
        <w:tc>
          <w:tcPr>
            <w:tcW w:w="1600" w:type="dxa"/>
            <w:vAlign w:val="bottom"/>
            <w:shd w:val="clear" w:color="auto" w:fill="CCEEFF"/>
          </w:tcPr>
          <w:p>
            <w:pPr>
              <w:jc w:val="right"/>
              <w:spacing w:after="0" w:line="200" w:lineRule="exact"/>
              <w:rPr>
                <w:sz w:val="20"/>
                <w:szCs w:val="20"/>
                <w:color w:val="auto"/>
              </w:rPr>
            </w:pPr>
            <w:r>
              <w:rPr>
                <w:rFonts w:ascii="Times New Roman" w:cs="Times New Roman" w:eastAsia="Times New Roman" w:hAnsi="Times New Roman"/>
                <w:sz w:val="20"/>
                <w:szCs w:val="20"/>
                <w:color w:val="auto"/>
              </w:rPr>
              <w:t>283</w:t>
            </w:r>
          </w:p>
        </w:tc>
      </w:tr>
      <w:tr>
        <w:trPr>
          <w:trHeight w:val="230"/>
        </w:trPr>
        <w:tc>
          <w:tcPr>
            <w:tcW w:w="20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beginning six months after the</w:t>
            </w:r>
          </w:p>
        </w:tc>
        <w:tc>
          <w:tcPr>
            <w:tcW w:w="82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r>
      <w:tr>
        <w:trPr>
          <w:trHeight w:val="250"/>
        </w:trPr>
        <w:tc>
          <w:tcPr>
            <w:tcW w:w="20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date of grant</w:t>
            </w:r>
          </w:p>
        </w:tc>
        <w:tc>
          <w:tcPr>
            <w:tcW w:w="82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r>
      <w:tr>
        <w:trPr>
          <w:trHeight w:val="210"/>
        </w:trPr>
        <w:tc>
          <w:tcPr>
            <w:tcW w:w="2080" w:type="dxa"/>
            <w:vAlign w:val="bottom"/>
          </w:tcPr>
          <w:p>
            <w:pPr>
              <w:spacing w:after="0" w:line="210" w:lineRule="exact"/>
              <w:rPr>
                <w:sz w:val="20"/>
                <w:szCs w:val="20"/>
                <w:color w:val="auto"/>
              </w:rPr>
            </w:pPr>
            <w:r>
              <w:rPr>
                <w:rFonts w:ascii="Times New Roman" w:cs="Times New Roman" w:eastAsia="Times New Roman" w:hAnsi="Times New Roman"/>
                <w:sz w:val="20"/>
                <w:szCs w:val="20"/>
                <w:color w:val="auto"/>
              </w:rPr>
              <w:t>November 4, 2025</w:t>
            </w:r>
          </w:p>
        </w:tc>
        <w:tc>
          <w:tcPr>
            <w:tcW w:w="1320" w:type="dxa"/>
            <w:vAlign w:val="bottom"/>
          </w:tcPr>
          <w:p>
            <w:pPr>
              <w:jc w:val="right"/>
              <w:ind w:right="8"/>
              <w:spacing w:after="0" w:line="210" w:lineRule="exact"/>
              <w:rPr>
                <w:sz w:val="20"/>
                <w:szCs w:val="20"/>
                <w:color w:val="auto"/>
              </w:rPr>
            </w:pPr>
            <w:r>
              <w:rPr>
                <w:rFonts w:ascii="Times New Roman" w:cs="Times New Roman" w:eastAsia="Times New Roman" w:hAnsi="Times New Roman"/>
                <w:sz w:val="20"/>
                <w:szCs w:val="20"/>
                <w:color w:val="auto"/>
              </w:rPr>
              <w:t>52,000</w:t>
            </w:r>
          </w:p>
        </w:tc>
        <w:tc>
          <w:tcPr>
            <w:tcW w:w="820" w:type="dxa"/>
            <w:vAlign w:val="bottom"/>
          </w:tcPr>
          <w:p>
            <w:pPr>
              <w:jc w:val="right"/>
              <w:spacing w:after="0" w:line="210" w:lineRule="exact"/>
              <w:rPr>
                <w:sz w:val="20"/>
                <w:szCs w:val="20"/>
                <w:color w:val="auto"/>
              </w:rPr>
            </w:pPr>
            <w:r>
              <w:rPr>
                <w:rFonts w:ascii="Times New Roman" w:cs="Times New Roman" w:eastAsia="Times New Roman" w:hAnsi="Times New Roman"/>
                <w:sz w:val="20"/>
                <w:szCs w:val="20"/>
                <w:color w:val="auto"/>
              </w:rPr>
              <w:t>2.12</w:t>
            </w:r>
          </w:p>
        </w:tc>
        <w:tc>
          <w:tcPr>
            <w:tcW w:w="2740" w:type="dxa"/>
            <w:vAlign w:val="bottom"/>
          </w:tcPr>
          <w:p>
            <w:pPr>
              <w:spacing w:after="0" w:line="210" w:lineRule="exact"/>
              <w:rPr>
                <w:sz w:val="20"/>
                <w:szCs w:val="20"/>
                <w:color w:val="auto"/>
              </w:rPr>
            </w:pPr>
            <w:r>
              <w:rPr>
                <w:rFonts w:ascii="Times New Roman" w:cs="Times New Roman" w:eastAsia="Times New Roman" w:hAnsi="Times New Roman"/>
                <w:sz w:val="20"/>
                <w:szCs w:val="20"/>
                <w:color w:val="auto"/>
              </w:rPr>
              <w:t>Vest ratably over three years</w:t>
            </w:r>
          </w:p>
        </w:tc>
        <w:tc>
          <w:tcPr>
            <w:tcW w:w="820" w:type="dxa"/>
            <w:vAlign w:val="bottom"/>
          </w:tcPr>
          <w:p>
            <w:pPr>
              <w:jc w:val="center"/>
              <w:spacing w:after="0" w:line="210" w:lineRule="exact"/>
              <w:rPr>
                <w:sz w:val="20"/>
                <w:szCs w:val="20"/>
                <w:color w:val="auto"/>
              </w:rPr>
            </w:pPr>
            <w:r>
              <w:rPr>
                <w:rFonts w:ascii="Times New Roman" w:cs="Times New Roman" w:eastAsia="Times New Roman" w:hAnsi="Times New Roman"/>
                <w:sz w:val="20"/>
                <w:szCs w:val="20"/>
                <w:color w:val="auto"/>
                <w:w w:val="98"/>
              </w:rPr>
              <w:t>10 years</w:t>
            </w:r>
          </w:p>
        </w:tc>
        <w:tc>
          <w:tcPr>
            <w:tcW w:w="1600" w:type="dxa"/>
            <w:vAlign w:val="bottom"/>
          </w:tcPr>
          <w:p>
            <w:pPr>
              <w:jc w:val="right"/>
              <w:spacing w:after="0" w:line="210" w:lineRule="exact"/>
              <w:rPr>
                <w:sz w:val="20"/>
                <w:szCs w:val="20"/>
                <w:color w:val="auto"/>
              </w:rPr>
            </w:pPr>
            <w:r>
              <w:rPr>
                <w:rFonts w:ascii="Times New Roman" w:cs="Times New Roman" w:eastAsia="Times New Roman" w:hAnsi="Times New Roman"/>
                <w:sz w:val="20"/>
                <w:szCs w:val="20"/>
                <w:color w:val="auto"/>
              </w:rPr>
              <w:t>63</w:t>
            </w:r>
          </w:p>
        </w:tc>
      </w:tr>
      <w:tr>
        <w:trPr>
          <w:trHeight w:val="230"/>
        </w:trPr>
        <w:tc>
          <w:tcPr>
            <w:tcW w:w="20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740" w:type="dxa"/>
            <w:vAlign w:val="bottom"/>
          </w:tcPr>
          <w:p>
            <w:pPr>
              <w:spacing w:after="0"/>
              <w:rPr>
                <w:sz w:val="20"/>
                <w:szCs w:val="20"/>
                <w:color w:val="auto"/>
              </w:rPr>
            </w:pPr>
            <w:r>
              <w:rPr>
                <w:rFonts w:ascii="Times New Roman" w:cs="Times New Roman" w:eastAsia="Times New Roman" w:hAnsi="Times New Roman"/>
                <w:sz w:val="20"/>
                <w:szCs w:val="20"/>
                <w:color w:val="auto"/>
              </w:rPr>
              <w:t>beginning six months after the</w:t>
            </w:r>
          </w:p>
        </w:tc>
        <w:tc>
          <w:tcPr>
            <w:tcW w:w="82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250"/>
        </w:trPr>
        <w:tc>
          <w:tcPr>
            <w:tcW w:w="20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740" w:type="dxa"/>
            <w:vAlign w:val="bottom"/>
          </w:tcPr>
          <w:p>
            <w:pPr>
              <w:spacing w:after="0"/>
              <w:rPr>
                <w:sz w:val="20"/>
                <w:szCs w:val="20"/>
                <w:color w:val="auto"/>
              </w:rPr>
            </w:pPr>
            <w:r>
              <w:rPr>
                <w:rFonts w:ascii="Times New Roman" w:cs="Times New Roman" w:eastAsia="Times New Roman" w:hAnsi="Times New Roman"/>
                <w:sz w:val="20"/>
                <w:szCs w:val="20"/>
                <w:color w:val="auto"/>
              </w:rPr>
              <w:t>date of grant</w:t>
            </w:r>
          </w:p>
        </w:tc>
        <w:tc>
          <w:tcPr>
            <w:tcW w:w="82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08"/>
        </w:trPr>
        <w:tc>
          <w:tcPr>
            <w:tcW w:w="2080" w:type="dxa"/>
            <w:vAlign w:val="bottom"/>
            <w:shd w:val="clear" w:color="auto" w:fill="CCEEFF"/>
          </w:tcPr>
          <w:p>
            <w:pPr>
              <w:spacing w:after="0" w:line="208" w:lineRule="exact"/>
              <w:rPr>
                <w:sz w:val="20"/>
                <w:szCs w:val="20"/>
                <w:color w:val="auto"/>
              </w:rPr>
            </w:pPr>
            <w:r>
              <w:rPr>
                <w:rFonts w:ascii="Times New Roman" w:cs="Times New Roman" w:eastAsia="Times New Roman" w:hAnsi="Times New Roman"/>
                <w:sz w:val="20"/>
                <w:szCs w:val="20"/>
                <w:color w:val="auto"/>
              </w:rPr>
              <w:t>December 18, 2025</w:t>
            </w:r>
          </w:p>
        </w:tc>
        <w:tc>
          <w:tcPr>
            <w:tcW w:w="1320" w:type="dxa"/>
            <w:vAlign w:val="bottom"/>
            <w:shd w:val="clear" w:color="auto" w:fill="CCEEFF"/>
          </w:tcPr>
          <w:p>
            <w:pPr>
              <w:jc w:val="right"/>
              <w:ind w:right="8"/>
              <w:spacing w:after="0" w:line="208" w:lineRule="exact"/>
              <w:rPr>
                <w:sz w:val="20"/>
                <w:szCs w:val="20"/>
                <w:color w:val="auto"/>
              </w:rPr>
            </w:pPr>
            <w:r>
              <w:rPr>
                <w:rFonts w:ascii="Times New Roman" w:cs="Times New Roman" w:eastAsia="Times New Roman" w:hAnsi="Times New Roman"/>
                <w:sz w:val="20"/>
                <w:szCs w:val="20"/>
                <w:color w:val="auto"/>
              </w:rPr>
              <w:t>56,000</w:t>
            </w:r>
          </w:p>
        </w:tc>
        <w:tc>
          <w:tcPr>
            <w:tcW w:w="820" w:type="dxa"/>
            <w:vAlign w:val="bottom"/>
            <w:shd w:val="clear" w:color="auto" w:fill="CCEEFF"/>
          </w:tcPr>
          <w:p>
            <w:pPr>
              <w:jc w:val="right"/>
              <w:spacing w:after="0" w:line="208" w:lineRule="exact"/>
              <w:rPr>
                <w:sz w:val="20"/>
                <w:szCs w:val="20"/>
                <w:color w:val="auto"/>
              </w:rPr>
            </w:pPr>
            <w:r>
              <w:rPr>
                <w:rFonts w:ascii="Times New Roman" w:cs="Times New Roman" w:eastAsia="Times New Roman" w:hAnsi="Times New Roman"/>
                <w:sz w:val="20"/>
                <w:szCs w:val="20"/>
                <w:color w:val="auto"/>
              </w:rPr>
              <w:t>2.65</w:t>
            </w:r>
          </w:p>
        </w:tc>
        <w:tc>
          <w:tcPr>
            <w:tcW w:w="2740" w:type="dxa"/>
            <w:vAlign w:val="bottom"/>
            <w:shd w:val="clear" w:color="auto" w:fill="CCEEFF"/>
          </w:tcPr>
          <w:p>
            <w:pPr>
              <w:spacing w:after="0" w:line="208" w:lineRule="exact"/>
              <w:rPr>
                <w:sz w:val="20"/>
                <w:szCs w:val="20"/>
                <w:color w:val="auto"/>
              </w:rPr>
            </w:pPr>
            <w:r>
              <w:rPr>
                <w:rFonts w:ascii="Times New Roman" w:cs="Times New Roman" w:eastAsia="Times New Roman" w:hAnsi="Times New Roman"/>
                <w:sz w:val="20"/>
                <w:szCs w:val="20"/>
                <w:color w:val="auto"/>
              </w:rPr>
              <w:t>Vest ratably over three years</w:t>
            </w:r>
          </w:p>
        </w:tc>
        <w:tc>
          <w:tcPr>
            <w:tcW w:w="820" w:type="dxa"/>
            <w:vAlign w:val="bottom"/>
            <w:shd w:val="clear" w:color="auto" w:fill="CCEEFF"/>
          </w:tcPr>
          <w:p>
            <w:pPr>
              <w:jc w:val="center"/>
              <w:spacing w:after="0" w:line="208" w:lineRule="exact"/>
              <w:rPr>
                <w:sz w:val="20"/>
                <w:szCs w:val="20"/>
                <w:color w:val="auto"/>
              </w:rPr>
            </w:pPr>
            <w:r>
              <w:rPr>
                <w:rFonts w:ascii="Times New Roman" w:cs="Times New Roman" w:eastAsia="Times New Roman" w:hAnsi="Times New Roman"/>
                <w:sz w:val="20"/>
                <w:szCs w:val="20"/>
                <w:color w:val="auto"/>
                <w:w w:val="98"/>
              </w:rPr>
              <w:t>10 years</w:t>
            </w:r>
          </w:p>
        </w:tc>
        <w:tc>
          <w:tcPr>
            <w:tcW w:w="1600" w:type="dxa"/>
            <w:vAlign w:val="bottom"/>
            <w:shd w:val="clear" w:color="auto" w:fill="CCEEFF"/>
          </w:tcPr>
          <w:p>
            <w:pPr>
              <w:jc w:val="right"/>
              <w:spacing w:after="0" w:line="208" w:lineRule="exact"/>
              <w:rPr>
                <w:sz w:val="20"/>
                <w:szCs w:val="20"/>
                <w:color w:val="auto"/>
              </w:rPr>
            </w:pPr>
            <w:r>
              <w:rPr>
                <w:rFonts w:ascii="Times New Roman" w:cs="Times New Roman" w:eastAsia="Times New Roman" w:hAnsi="Times New Roman"/>
                <w:sz w:val="20"/>
                <w:szCs w:val="20"/>
                <w:color w:val="auto"/>
              </w:rPr>
              <w:t>97</w:t>
            </w:r>
          </w:p>
        </w:tc>
      </w:tr>
      <w:tr>
        <w:trPr>
          <w:trHeight w:val="230"/>
        </w:trPr>
        <w:tc>
          <w:tcPr>
            <w:tcW w:w="20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beginning six months after the</w:t>
            </w:r>
          </w:p>
        </w:tc>
        <w:tc>
          <w:tcPr>
            <w:tcW w:w="82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r>
      <w:tr>
        <w:trPr>
          <w:trHeight w:val="253"/>
        </w:trPr>
        <w:tc>
          <w:tcPr>
            <w:tcW w:w="20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date of grant</w:t>
            </w:r>
          </w:p>
        </w:tc>
        <w:tc>
          <w:tcPr>
            <w:tcW w:w="82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r>
    </w:tbl>
    <w:p>
      <w:pPr>
        <w:spacing w:after="0" w:line="212" w:lineRule="exact"/>
        <w:rPr>
          <w:sz w:val="20"/>
          <w:szCs w:val="20"/>
          <w:color w:val="auto"/>
        </w:rPr>
      </w:pPr>
    </w:p>
    <w:p>
      <w:pPr>
        <w:ind w:left="360" w:firstLine="5"/>
        <w:spacing w:after="0" w:line="268" w:lineRule="auto"/>
        <w:tabs>
          <w:tab w:leader="none" w:pos="511" w:val="left"/>
        </w:tabs>
        <w:numPr>
          <w:ilvl w:val="0"/>
          <w:numId w:val="56"/>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5"/>
          <w:szCs w:val="15"/>
          <w:color w:val="auto"/>
        </w:rPr>
        <w:t>This non-cash compensation expense is recognized in the Company’s operating expenses over a period of 36 months (using the graded vesting method).</w:t>
      </w:r>
    </w:p>
    <w:p>
      <w:pPr>
        <w:spacing w:after="0" w:line="4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9"/>
          <w:szCs w:val="19"/>
          <w:color w:val="auto"/>
        </w:rPr>
        <w:t>The company recorded compensation expense of $73 thousand in 2025, for this 27 June, 2025 Plan (the “2025</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Plan”).</w:t>
      </w:r>
    </w:p>
    <w:p>
      <w:pPr>
        <w:spacing w:after="0" w:line="10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Under the 2025 Plan, 309,000 options are outstanding on December 31, 2025 and none are exercisable.</w:t>
      </w:r>
    </w:p>
    <w:p>
      <w:pPr>
        <w:sectPr>
          <w:pgSz w:w="11900" w:h="16838" w:orient="portrait"/>
          <w:cols w:equalWidth="0" w:num="1">
            <w:col w:w="9380"/>
          </w:cols>
          <w:pgMar w:left="1260" w:top="838" w:right="1266" w:bottom="72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F-39</w:t>
      </w:r>
    </w:p>
    <w:p>
      <w:pPr>
        <w:sectPr>
          <w:pgSz w:w="11900" w:h="16838" w:orient="portrait"/>
          <w:cols w:equalWidth="0" w:num="1">
            <w:col w:w="9380"/>
          </w:cols>
          <w:pgMar w:left="1260" w:top="838" w:right="1266" w:bottom="723" w:gutter="0" w:footer="0" w:header="0"/>
          <w:type w:val="continuous"/>
        </w:sectPr>
      </w:pPr>
    </w:p>
    <w:bookmarkStart w:id="94" w:name="page95"/>
    <w:bookmarkEnd w:id="94"/>
    <w:p>
      <w:pPr>
        <w:ind w:left="3180"/>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795655</wp:posOffset>
            </wp:positionH>
            <wp:positionV relativeFrom="page">
              <wp:posOffset>292735</wp:posOffset>
            </wp:positionV>
            <wp:extent cx="929005" cy="1149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121">
                      <a:extLst>
                        <a:ext uri="{28A0092B-C50C-407E-A947-70E740481C1C}"/>
                      </a:extLst>
                    </a:blip>
                    <a:srcRect/>
                    <a:stretch>
                      <a:fillRect/>
                    </a:stretch>
                  </pic:blipFill>
                  <pic:spPr bwMode="auto">
                    <a:xfrm>
                      <a:off x="0" y="0"/>
                      <a:ext cx="929005" cy="114935"/>
                    </a:xfrm>
                    <a:prstGeom prst="rect">
                      <a:avLst/>
                    </a:prstGeom>
                    <a:noFill/>
                  </pic:spPr>
                </pic:pic>
              </a:graphicData>
            </a:graphic>
          </wp:anchor>
        </w:drawing>
        <w:t>EDAP TMS S.A. AND SUBSIDIARIES</w:t>
      </w:r>
    </w:p>
    <w:p>
      <w:pPr>
        <w:ind w:left="2760"/>
        <w:spacing w:after="0"/>
        <w:rPr>
          <w:sz w:val="20"/>
          <w:szCs w:val="20"/>
          <w:color w:val="auto"/>
        </w:rPr>
      </w:pPr>
      <w:r>
        <w:rPr>
          <w:rFonts w:ascii="Times New Roman" w:cs="Times New Roman" w:eastAsia="Times New Roman" w:hAnsi="Times New Roman"/>
          <w:sz w:val="20"/>
          <w:szCs w:val="20"/>
          <w:b w:val="1"/>
          <w:bCs w:val="1"/>
          <w:color w:val="auto"/>
        </w:rPr>
        <w:t>CONSOLIDATED FINANCIAL STATEMENTS</w:t>
      </w:r>
    </w:p>
    <w:p>
      <w:pPr>
        <w:ind w:left="1500"/>
        <w:spacing w:after="0"/>
        <w:rPr>
          <w:sz w:val="20"/>
          <w:szCs w:val="20"/>
          <w:color w:val="auto"/>
        </w:rPr>
      </w:pPr>
      <w:r>
        <w:rPr>
          <w:rFonts w:ascii="Times New Roman" w:cs="Times New Roman" w:eastAsia="Times New Roman" w:hAnsi="Times New Roman"/>
          <w:sz w:val="20"/>
          <w:szCs w:val="20"/>
          <w:b w:val="1"/>
          <w:bCs w:val="1"/>
          <w:color w:val="auto"/>
        </w:rPr>
        <w:t>(In thousands of U.S. dollars unless otherwise noted, except per share data)</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fair value of each stock option granted during the year is estimated at the date of grant using the Black-</w:t>
      </w:r>
    </w:p>
    <w:p>
      <w:pPr>
        <w:spacing w:after="0"/>
        <w:rPr>
          <w:sz w:val="20"/>
          <w:szCs w:val="20"/>
          <w:color w:val="auto"/>
        </w:rPr>
      </w:pPr>
      <w:r>
        <w:rPr>
          <w:rFonts w:ascii="Times New Roman" w:cs="Times New Roman" w:eastAsia="Times New Roman" w:hAnsi="Times New Roman"/>
          <w:sz w:val="20"/>
          <w:szCs w:val="20"/>
          <w:color w:val="auto"/>
        </w:rPr>
        <w:t>Scholes option pricing model with the following assumptions: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90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shd w:val="clear" w:color="auto" w:fill="FBE5D6"/>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Dec-25</w:t>
            </w:r>
          </w:p>
        </w:tc>
        <w:tc>
          <w:tcPr>
            <w:tcW w:w="140" w:type="dxa"/>
            <w:vAlign w:val="bottom"/>
            <w:tcBorders>
              <w:bottom w:val="single" w:sz="8" w:color="CCEEFF"/>
            </w:tcBorders>
            <w:shd w:val="clear" w:color="auto" w:fill="FBE5D6"/>
          </w:tcPr>
          <w:p>
            <w:pPr>
              <w:spacing w:after="0"/>
              <w:rPr>
                <w:sz w:val="16"/>
                <w:szCs w:val="16"/>
                <w:color w:val="auto"/>
              </w:rPr>
            </w:pPr>
          </w:p>
        </w:tc>
        <w:tc>
          <w:tcPr>
            <w:tcW w:w="620" w:type="dxa"/>
            <w:vAlign w:val="bottom"/>
            <w:tcBorders>
              <w:bottom w:val="single" w:sz="8" w:color="auto"/>
            </w:tcBorders>
            <w:shd w:val="clear" w:color="auto" w:fill="FBE5D6"/>
          </w:tcPr>
          <w:p>
            <w:pPr>
              <w:jc w:val="right"/>
              <w:spacing w:after="0"/>
              <w:rPr>
                <w:sz w:val="20"/>
                <w:szCs w:val="20"/>
                <w:color w:val="auto"/>
              </w:rPr>
            </w:pPr>
            <w:r>
              <w:rPr>
                <w:rFonts w:ascii="Times New Roman" w:cs="Times New Roman" w:eastAsia="Times New Roman" w:hAnsi="Times New Roman"/>
                <w:sz w:val="16"/>
                <w:szCs w:val="16"/>
                <w:b w:val="1"/>
                <w:bCs w:val="1"/>
                <w:color w:val="auto"/>
              </w:rPr>
              <w:t>Nov-25</w:t>
            </w:r>
          </w:p>
        </w:tc>
        <w:tc>
          <w:tcPr>
            <w:tcW w:w="160" w:type="dxa"/>
            <w:vAlign w:val="bottom"/>
            <w:tcBorders>
              <w:bottom w:val="single" w:sz="8" w:color="CCEEFF"/>
            </w:tcBorders>
            <w:shd w:val="clear" w:color="auto" w:fill="FBE5D6"/>
          </w:tcPr>
          <w:p>
            <w:pPr>
              <w:spacing w:after="0"/>
              <w:rPr>
                <w:sz w:val="16"/>
                <w:szCs w:val="16"/>
                <w:color w:val="auto"/>
              </w:rPr>
            </w:pPr>
          </w:p>
        </w:tc>
        <w:tc>
          <w:tcPr>
            <w:tcW w:w="600" w:type="dxa"/>
            <w:vAlign w:val="bottom"/>
            <w:tcBorders>
              <w:bottom w:val="single" w:sz="8" w:color="auto"/>
            </w:tcBorders>
            <w:shd w:val="clear" w:color="auto" w:fill="FBE5D6"/>
          </w:tcPr>
          <w:p>
            <w:pPr>
              <w:jc w:val="right"/>
              <w:spacing w:after="0"/>
              <w:rPr>
                <w:sz w:val="20"/>
                <w:szCs w:val="20"/>
                <w:color w:val="auto"/>
              </w:rPr>
            </w:pPr>
            <w:r>
              <w:rPr>
                <w:rFonts w:ascii="Times New Roman" w:cs="Times New Roman" w:eastAsia="Times New Roman" w:hAnsi="Times New Roman"/>
                <w:sz w:val="16"/>
                <w:szCs w:val="16"/>
                <w:b w:val="1"/>
                <w:bCs w:val="1"/>
                <w:color w:val="auto"/>
              </w:rPr>
              <w:t>Sep-25</w:t>
            </w:r>
          </w:p>
        </w:tc>
        <w:tc>
          <w:tcPr>
            <w:tcW w:w="160" w:type="dxa"/>
            <w:vAlign w:val="bottom"/>
            <w:tcBorders>
              <w:bottom w:val="single" w:sz="8" w:color="CCEEFF"/>
            </w:tcBorders>
            <w:shd w:val="clear" w:color="auto" w:fill="FBE5D6"/>
          </w:tcPr>
          <w:p>
            <w:pPr>
              <w:spacing w:after="0"/>
              <w:rPr>
                <w:sz w:val="16"/>
                <w:szCs w:val="16"/>
                <w:color w:val="auto"/>
              </w:rPr>
            </w:pPr>
          </w:p>
        </w:tc>
        <w:tc>
          <w:tcPr>
            <w:tcW w:w="620" w:type="dxa"/>
            <w:vAlign w:val="bottom"/>
            <w:tcBorders>
              <w:bottom w:val="single" w:sz="8" w:color="auto"/>
            </w:tcBorders>
            <w:shd w:val="clear" w:color="auto" w:fill="FBE5D6"/>
          </w:tcPr>
          <w:p>
            <w:pPr>
              <w:jc w:val="right"/>
              <w:spacing w:after="0"/>
              <w:rPr>
                <w:sz w:val="20"/>
                <w:szCs w:val="20"/>
                <w:color w:val="auto"/>
              </w:rPr>
            </w:pPr>
            <w:r>
              <w:rPr>
                <w:rFonts w:ascii="Times New Roman" w:cs="Times New Roman" w:eastAsia="Times New Roman" w:hAnsi="Times New Roman"/>
                <w:sz w:val="16"/>
                <w:szCs w:val="16"/>
                <w:b w:val="1"/>
                <w:bCs w:val="1"/>
                <w:color w:val="auto"/>
              </w:rPr>
              <w:t>Jun-25</w:t>
            </w:r>
          </w:p>
        </w:tc>
        <w:tc>
          <w:tcPr>
            <w:tcW w:w="160" w:type="dxa"/>
            <w:vAlign w:val="bottom"/>
            <w:tcBorders>
              <w:bottom w:val="single" w:sz="8" w:color="CCEEFF"/>
            </w:tcBorders>
            <w:shd w:val="clear" w:color="auto" w:fill="FBE5D6"/>
          </w:tcPr>
          <w:p>
            <w:pPr>
              <w:spacing w:after="0"/>
              <w:rPr>
                <w:sz w:val="16"/>
                <w:szCs w:val="16"/>
                <w:color w:val="auto"/>
              </w:rPr>
            </w:pPr>
          </w:p>
        </w:tc>
        <w:tc>
          <w:tcPr>
            <w:tcW w:w="620" w:type="dxa"/>
            <w:vAlign w:val="bottom"/>
            <w:tcBorders>
              <w:bottom w:val="single" w:sz="8" w:color="auto"/>
            </w:tcBorders>
            <w:shd w:val="clear" w:color="auto" w:fill="FBE5D6"/>
          </w:tcPr>
          <w:p>
            <w:pPr>
              <w:jc w:val="right"/>
              <w:spacing w:after="0"/>
              <w:rPr>
                <w:sz w:val="20"/>
                <w:szCs w:val="20"/>
                <w:color w:val="auto"/>
              </w:rPr>
            </w:pPr>
            <w:r>
              <w:rPr>
                <w:rFonts w:ascii="Times New Roman" w:cs="Times New Roman" w:eastAsia="Times New Roman" w:hAnsi="Times New Roman"/>
                <w:sz w:val="16"/>
                <w:szCs w:val="16"/>
                <w:b w:val="1"/>
                <w:bCs w:val="1"/>
                <w:color w:val="auto"/>
              </w:rPr>
              <w:t>May-25</w:t>
            </w:r>
          </w:p>
        </w:tc>
        <w:tc>
          <w:tcPr>
            <w:tcW w:w="140" w:type="dxa"/>
            <w:vAlign w:val="bottom"/>
            <w:tcBorders>
              <w:bottom w:val="single" w:sz="8" w:color="CCEEFF"/>
            </w:tcBorders>
            <w:shd w:val="clear" w:color="auto" w:fill="FBE5D6"/>
          </w:tcPr>
          <w:p>
            <w:pPr>
              <w:spacing w:after="0"/>
              <w:rPr>
                <w:sz w:val="16"/>
                <w:szCs w:val="16"/>
                <w:color w:val="auto"/>
              </w:rPr>
            </w:pPr>
          </w:p>
        </w:tc>
        <w:tc>
          <w:tcPr>
            <w:tcW w:w="620" w:type="dxa"/>
            <w:vAlign w:val="bottom"/>
            <w:tcBorders>
              <w:bottom w:val="single" w:sz="8" w:color="auto"/>
            </w:tcBorders>
            <w:shd w:val="clear" w:color="auto" w:fill="FBE5D6"/>
          </w:tcPr>
          <w:p>
            <w:pPr>
              <w:jc w:val="right"/>
              <w:spacing w:after="0"/>
              <w:rPr>
                <w:sz w:val="20"/>
                <w:szCs w:val="20"/>
                <w:color w:val="auto"/>
              </w:rPr>
            </w:pPr>
            <w:r>
              <w:rPr>
                <w:rFonts w:ascii="Times New Roman" w:cs="Times New Roman" w:eastAsia="Times New Roman" w:hAnsi="Times New Roman"/>
                <w:sz w:val="16"/>
                <w:szCs w:val="16"/>
                <w:b w:val="1"/>
                <w:bCs w:val="1"/>
                <w:color w:val="auto"/>
              </w:rPr>
              <w:t>Apr-25</w:t>
            </w:r>
          </w:p>
        </w:tc>
        <w:tc>
          <w:tcPr>
            <w:tcW w:w="160" w:type="dxa"/>
            <w:vAlign w:val="bottom"/>
            <w:tcBorders>
              <w:bottom w:val="single" w:sz="8" w:color="CCEEFF"/>
            </w:tcBorders>
            <w:shd w:val="clear" w:color="auto" w:fill="FBE5D6"/>
          </w:tcPr>
          <w:p>
            <w:pPr>
              <w:spacing w:after="0"/>
              <w:rPr>
                <w:sz w:val="16"/>
                <w:szCs w:val="16"/>
                <w:color w:val="auto"/>
              </w:rPr>
            </w:pPr>
          </w:p>
        </w:tc>
        <w:tc>
          <w:tcPr>
            <w:tcW w:w="620" w:type="dxa"/>
            <w:vAlign w:val="bottom"/>
            <w:tcBorders>
              <w:bottom w:val="single" w:sz="8" w:color="auto"/>
            </w:tcBorders>
            <w:shd w:val="clear" w:color="auto" w:fill="FBE5D6"/>
          </w:tcPr>
          <w:p>
            <w:pPr>
              <w:jc w:val="right"/>
              <w:spacing w:after="0"/>
              <w:rPr>
                <w:sz w:val="20"/>
                <w:szCs w:val="20"/>
                <w:color w:val="auto"/>
              </w:rPr>
            </w:pPr>
            <w:r>
              <w:rPr>
                <w:rFonts w:ascii="Times New Roman" w:cs="Times New Roman" w:eastAsia="Times New Roman" w:hAnsi="Times New Roman"/>
                <w:sz w:val="16"/>
                <w:szCs w:val="16"/>
                <w:b w:val="1"/>
                <w:bCs w:val="1"/>
                <w:color w:val="auto"/>
              </w:rPr>
              <w:t>Mar-25</w:t>
            </w:r>
          </w:p>
        </w:tc>
        <w:tc>
          <w:tcPr>
            <w:tcW w:w="160" w:type="dxa"/>
            <w:vAlign w:val="bottom"/>
            <w:tcBorders>
              <w:bottom w:val="single" w:sz="8" w:color="CCEEFF"/>
            </w:tcBorders>
            <w:shd w:val="clear" w:color="auto" w:fill="FBE5D6"/>
          </w:tcPr>
          <w:p>
            <w:pPr>
              <w:spacing w:after="0"/>
              <w:rPr>
                <w:sz w:val="16"/>
                <w:szCs w:val="16"/>
                <w:color w:val="auto"/>
              </w:rPr>
            </w:pPr>
          </w:p>
        </w:tc>
      </w:tr>
      <w:tr>
        <w:trPr>
          <w:trHeight w:val="174"/>
        </w:trPr>
        <w:tc>
          <w:tcPr>
            <w:tcW w:w="390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Weighted-average expected life (years)</w:t>
            </w:r>
          </w:p>
        </w:tc>
        <w:tc>
          <w:tcPr>
            <w:tcW w:w="7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5.79</w:t>
            </w: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5.79</w:t>
            </w: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5.79</w:t>
            </w: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5.79</w:t>
            </w: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5.79</w:t>
            </w: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5.79</w:t>
            </w: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5.79</w:t>
            </w:r>
          </w:p>
        </w:tc>
        <w:tc>
          <w:tcPr>
            <w:tcW w:w="160" w:type="dxa"/>
            <w:vAlign w:val="bottom"/>
            <w:shd w:val="clear" w:color="auto" w:fill="CCEEFF"/>
          </w:tcPr>
          <w:p>
            <w:pPr>
              <w:spacing w:after="0"/>
              <w:rPr>
                <w:sz w:val="15"/>
                <w:szCs w:val="15"/>
                <w:color w:val="auto"/>
              </w:rPr>
            </w:pPr>
          </w:p>
        </w:tc>
      </w:tr>
      <w:tr>
        <w:trPr>
          <w:trHeight w:val="185"/>
        </w:trPr>
        <w:tc>
          <w:tcPr>
            <w:tcW w:w="3900" w:type="dxa"/>
            <w:vAlign w:val="bottom"/>
          </w:tcPr>
          <w:p>
            <w:pPr>
              <w:spacing w:after="0" w:line="184" w:lineRule="exact"/>
              <w:rPr>
                <w:sz w:val="20"/>
                <w:szCs w:val="20"/>
                <w:color w:val="auto"/>
              </w:rPr>
            </w:pPr>
            <w:r>
              <w:rPr>
                <w:rFonts w:ascii="Times New Roman" w:cs="Times New Roman" w:eastAsia="Times New Roman" w:hAnsi="Times New Roman"/>
                <w:sz w:val="16"/>
                <w:szCs w:val="16"/>
                <w:color w:val="auto"/>
              </w:rPr>
              <w:t>Expected volatility rates</w:t>
            </w:r>
            <w:r>
              <w:rPr>
                <w:rFonts w:ascii="Times New Roman" w:cs="Times New Roman" w:eastAsia="Times New Roman" w:hAnsi="Times New Roman"/>
                <w:sz w:val="20"/>
                <w:szCs w:val="20"/>
                <w:color w:val="auto"/>
                <w:vertAlign w:val="superscript"/>
              </w:rPr>
              <w:t>(1)</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64.86</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63.59</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61.53</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59.41</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59.05</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59.02</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58.24</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9"/>
              </w:rPr>
              <w:t>%</w:t>
            </w:r>
          </w:p>
        </w:tc>
      </w:tr>
      <w:tr>
        <w:trPr>
          <w:trHeight w:val="185"/>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Expected dividend yield</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0 %</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0 %</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0 %</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0 %</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0 %</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0 %</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0 %</w:t>
            </w:r>
          </w:p>
        </w:tc>
      </w:tr>
      <w:tr>
        <w:trPr>
          <w:trHeight w:val="185"/>
        </w:trPr>
        <w:tc>
          <w:tcPr>
            <w:tcW w:w="3900" w:type="dxa"/>
            <w:vAlign w:val="bottom"/>
          </w:tcPr>
          <w:p>
            <w:pPr>
              <w:spacing w:after="0"/>
              <w:rPr>
                <w:sz w:val="20"/>
                <w:szCs w:val="20"/>
                <w:color w:val="auto"/>
              </w:rPr>
            </w:pPr>
            <w:r>
              <w:rPr>
                <w:rFonts w:ascii="Times New Roman" w:cs="Times New Roman" w:eastAsia="Times New Roman" w:hAnsi="Times New Roman"/>
                <w:sz w:val="16"/>
                <w:szCs w:val="16"/>
                <w:color w:val="auto"/>
              </w:rPr>
              <w:t>Risk-free interest rate</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3.75% %</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3.77% %</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3.82% %</w:t>
            </w:r>
          </w:p>
        </w:tc>
        <w:tc>
          <w:tcPr>
            <w:tcW w:w="2320" w:type="dxa"/>
            <w:vAlign w:val="bottom"/>
            <w:gridSpan w:val="6"/>
          </w:tcPr>
          <w:p>
            <w:pPr>
              <w:jc w:val="right"/>
              <w:spacing w:after="0"/>
              <w:rPr>
                <w:sz w:val="20"/>
                <w:szCs w:val="20"/>
                <w:color w:val="auto"/>
              </w:rPr>
            </w:pPr>
            <w:r>
              <w:rPr>
                <w:rFonts w:ascii="Times New Roman" w:cs="Times New Roman" w:eastAsia="Times New Roman" w:hAnsi="Times New Roman"/>
                <w:sz w:val="16"/>
                <w:szCs w:val="16"/>
                <w:color w:val="auto"/>
              </w:rPr>
              <w:t>4.05% %  4.25% %  4.07% %</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4.16% %</w:t>
            </w:r>
          </w:p>
        </w:tc>
      </w:tr>
      <w:tr>
        <w:trPr>
          <w:trHeight w:val="185"/>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Weighted-average exercise price ($)</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w:t>
            </w: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w:t>
            </w: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w:t>
            </w: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160" w:type="dxa"/>
            <w:vAlign w:val="bottom"/>
            <w:shd w:val="clear" w:color="auto" w:fill="CCEEFF"/>
          </w:tcPr>
          <w:p>
            <w:pPr>
              <w:spacing w:after="0"/>
              <w:rPr>
                <w:sz w:val="16"/>
                <w:szCs w:val="16"/>
                <w:color w:val="auto"/>
              </w:rPr>
            </w:pPr>
          </w:p>
        </w:tc>
      </w:tr>
      <w:tr>
        <w:trPr>
          <w:trHeight w:val="169"/>
        </w:trPr>
        <w:tc>
          <w:tcPr>
            <w:tcW w:w="3900" w:type="dxa"/>
            <w:vAlign w:val="bottom"/>
          </w:tcPr>
          <w:p>
            <w:pPr>
              <w:spacing w:after="0" w:line="169" w:lineRule="exact"/>
              <w:rPr>
                <w:sz w:val="20"/>
                <w:szCs w:val="20"/>
                <w:color w:val="auto"/>
              </w:rPr>
            </w:pPr>
            <w:r>
              <w:rPr>
                <w:rFonts w:ascii="Times New Roman" w:cs="Times New Roman" w:eastAsia="Times New Roman" w:hAnsi="Times New Roman"/>
                <w:sz w:val="16"/>
                <w:szCs w:val="16"/>
                <w:color w:val="auto"/>
              </w:rPr>
              <w:t>Weighted-average fair value of options granted during the</w:t>
            </w: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215"/>
        </w:trPr>
        <w:tc>
          <w:tcPr>
            <w:tcW w:w="3900" w:type="dxa"/>
            <w:vAlign w:val="bottom"/>
          </w:tcPr>
          <w:p>
            <w:pPr>
              <w:spacing w:after="0"/>
              <w:rPr>
                <w:sz w:val="20"/>
                <w:szCs w:val="20"/>
                <w:color w:val="auto"/>
              </w:rPr>
            </w:pPr>
            <w:r>
              <w:rPr>
                <w:rFonts w:ascii="Times New Roman" w:cs="Times New Roman" w:eastAsia="Times New Roman" w:hAnsi="Times New Roman"/>
                <w:sz w:val="16"/>
                <w:szCs w:val="16"/>
                <w:color w:val="auto"/>
              </w:rPr>
              <w:t>year ($)</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0.98</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0.78</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16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232410</wp:posOffset>
                </wp:positionH>
                <wp:positionV relativeFrom="paragraph">
                  <wp:posOffset>98425</wp:posOffset>
                </wp:positionV>
                <wp:extent cx="1431925" cy="0"/>
                <wp:wrapNone/>
                <wp:docPr id="217" name="Shape 2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31925" cy="4763"/>
                        </a:xfrm>
                        <a:prstGeom prst="line">
                          <a:avLst/>
                        </a:prstGeom>
                        <a:solidFill>
                          <a:srgbClr val="FFFFFF"/>
                        </a:solidFill>
                        <a:ln w="12065">
                          <a:solidFill>
                            <a:srgbClr val="000000"/>
                          </a:solidFill>
                          <a:miter lim="800000"/>
                          <a:headEnd/>
                          <a:tailEnd/>
                        </a:ln>
                      </wps:spPr>
                      <wps:bodyPr/>
                    </wps:wsp>
                  </a:graphicData>
                </a:graphic>
              </wp:anchor>
            </w:drawing>
          </mc:Choice>
          <mc:Fallback>
            <w:pict>
              <v:line id="Shape 217" o:spid="_x0000_s12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3pt,7.75pt" to="131.05pt,7.75pt" o:allowincell="f" strokecolor="#000000" strokeweight="0.95pt"/>
            </w:pict>
          </mc:Fallback>
        </mc:AlternateContent>
      </w:r>
    </w:p>
    <w:p>
      <w:pPr>
        <w:spacing w:after="0" w:line="176" w:lineRule="exact"/>
        <w:rPr>
          <w:sz w:val="20"/>
          <w:szCs w:val="20"/>
          <w:color w:val="auto"/>
        </w:rPr>
      </w:pPr>
    </w:p>
    <w:p>
      <w:pPr>
        <w:ind w:left="720" w:hanging="353"/>
        <w:spacing w:after="0"/>
        <w:tabs>
          <w:tab w:leader="none" w:pos="720" w:val="left"/>
        </w:tabs>
        <w:numPr>
          <w:ilvl w:val="0"/>
          <w:numId w:val="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Historical volatility calculated over the weighted-average expected life.</w:t>
      </w:r>
    </w:p>
    <w:p>
      <w:pPr>
        <w:spacing w:after="0" w:line="309" w:lineRule="exact"/>
        <w:rPr>
          <w:sz w:val="20"/>
          <w:szCs w:val="20"/>
          <w:color w:val="auto"/>
        </w:rPr>
      </w:pPr>
    </w:p>
    <w:p>
      <w:pPr>
        <w:ind w:firstLine="720"/>
        <w:spacing w:after="0" w:line="279" w:lineRule="auto"/>
        <w:rPr>
          <w:sz w:val="20"/>
          <w:szCs w:val="20"/>
          <w:color w:val="auto"/>
        </w:rPr>
      </w:pPr>
      <w:r>
        <w:rPr>
          <w:rFonts w:ascii="Times New Roman" w:cs="Times New Roman" w:eastAsia="Times New Roman" w:hAnsi="Times New Roman"/>
          <w:sz w:val="20"/>
          <w:szCs w:val="20"/>
          <w:color w:val="auto"/>
        </w:rPr>
        <w:t>As of December 31, 2025, a summary of stock option activity to purchase or to subscribe to shares under these plans is as follows:</w:t>
      </w:r>
    </w:p>
    <w:p>
      <w:pPr>
        <w:sectPr>
          <w:pgSz w:w="11900" w:h="16838" w:orient="portrait"/>
          <w:cols w:equalWidth="0" w:num="1">
            <w:col w:w="9380"/>
          </w:cols>
          <w:pgMar w:left="1260" w:top="838" w:right="1266" w:bottom="723" w:gutter="0" w:footer="0" w:header="0"/>
        </w:sectPr>
      </w:pPr>
    </w:p>
    <w:p>
      <w:pPr>
        <w:spacing w:after="0" w:line="178"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6"/>
          <w:szCs w:val="16"/>
          <w:b w:val="1"/>
          <w:bCs w:val="1"/>
          <w:color w:val="auto"/>
        </w:rPr>
        <w:t>2025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3285490</wp:posOffset>
                </wp:positionH>
                <wp:positionV relativeFrom="paragraph">
                  <wp:posOffset>14605</wp:posOffset>
                </wp:positionV>
                <wp:extent cx="1248410" cy="0"/>
                <wp:wrapNone/>
                <wp:docPr id="218" name="Shape 2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4841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218" o:spid="_x0000_s12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8.7pt,1.15pt" to="357pt,1.15pt" o:allowincell="f" strokecolor="#000000" strokeweight="0.4799pt"/>
            </w:pict>
          </mc:Fallback>
        </mc:AlternateContent>
      </w:r>
    </w:p>
    <w:p>
      <w:pPr>
        <w:spacing w:after="0" w:line="8" w:lineRule="exact"/>
        <w:rPr>
          <w:sz w:val="20"/>
          <w:szCs w:val="20"/>
          <w:color w:val="auto"/>
        </w:rPr>
      </w:pPr>
    </w:p>
    <w:p>
      <w:pPr>
        <w:ind w:left="5420"/>
        <w:spacing w:after="0"/>
        <w:tabs>
          <w:tab w:leader="none" w:pos="6320" w:val="left"/>
        </w:tabs>
        <w:rPr>
          <w:sz w:val="20"/>
          <w:szCs w:val="20"/>
          <w:color w:val="auto"/>
        </w:rPr>
      </w:pPr>
      <w:r>
        <w:rPr>
          <w:rFonts w:ascii="Times New Roman" w:cs="Times New Roman" w:eastAsia="Times New Roman" w:hAnsi="Times New Roman"/>
          <w:sz w:val="16"/>
          <w:szCs w:val="16"/>
          <w:b w:val="1"/>
          <w:bCs w:val="1"/>
          <w:color w:val="auto"/>
        </w:rPr>
        <w:t>Options</w:t>
      </w:r>
      <w:r>
        <w:rPr>
          <w:sz w:val="20"/>
          <w:szCs w:val="20"/>
          <w:color w:val="auto"/>
        </w:rPr>
        <w:tab/>
      </w:r>
      <w:r>
        <w:rPr>
          <w:rFonts w:ascii="Times New Roman" w:cs="Times New Roman" w:eastAsia="Times New Roman" w:hAnsi="Times New Roman"/>
          <w:sz w:val="16"/>
          <w:szCs w:val="16"/>
          <w:b w:val="1"/>
          <w:bCs w:val="1"/>
          <w:color w:val="auto"/>
        </w:rPr>
        <w:t>Weighted</w:t>
      </w:r>
    </w:p>
    <w:p>
      <w:pPr>
        <w:ind w:left="6400"/>
        <w:spacing w:after="0"/>
        <w:rPr>
          <w:sz w:val="20"/>
          <w:szCs w:val="20"/>
          <w:color w:val="auto"/>
        </w:rPr>
      </w:pPr>
      <w:r>
        <w:rPr>
          <w:rFonts w:ascii="Times New Roman" w:cs="Times New Roman" w:eastAsia="Times New Roman" w:hAnsi="Times New Roman"/>
          <w:sz w:val="16"/>
          <w:szCs w:val="16"/>
          <w:b w:val="1"/>
          <w:bCs w:val="1"/>
          <w:color w:val="auto"/>
        </w:rPr>
        <w:t>average</w:t>
      </w:r>
    </w:p>
    <w:p>
      <w:pPr>
        <w:ind w:left="6400"/>
        <w:spacing w:after="0"/>
        <w:rPr>
          <w:sz w:val="20"/>
          <w:szCs w:val="20"/>
          <w:color w:val="auto"/>
        </w:rPr>
      </w:pPr>
      <w:r>
        <w:rPr>
          <w:rFonts w:ascii="Times New Roman" w:cs="Times New Roman" w:eastAsia="Times New Roman" w:hAnsi="Times New Roman"/>
          <w:sz w:val="16"/>
          <w:szCs w:val="16"/>
          <w:b w:val="1"/>
          <w:bCs w:val="1"/>
          <w:color w:val="auto"/>
        </w:rPr>
        <w:t>exercice</w:t>
      </w:r>
    </w:p>
    <w:p>
      <w:pPr>
        <w:spacing w:after="0" w:line="1"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6"/>
          <w:szCs w:val="16"/>
          <w:b w:val="1"/>
          <w:bCs w:val="1"/>
          <w:color w:val="auto"/>
        </w:rPr>
        <w:t>price ($)</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color w:val="auto"/>
        </w:rPr>
        <w:t>2024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-154940</wp:posOffset>
                </wp:positionH>
                <wp:positionV relativeFrom="paragraph">
                  <wp:posOffset>14605</wp:posOffset>
                </wp:positionV>
                <wp:extent cx="1246505" cy="0"/>
                <wp:wrapNone/>
                <wp:docPr id="219" name="Shape 2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4650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219" o:spid="_x0000_s12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1999pt,1.15pt" to="85.95pt,1.15pt" o:allowincell="f" strokecolor="#000000" strokeweight="0.4799pt"/>
            </w:pict>
          </mc:Fallback>
        </mc:AlternateContent>
      </w:r>
    </w:p>
    <w:p>
      <w:pPr>
        <w:spacing w:after="0" w:line="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6"/>
          <w:szCs w:val="16"/>
          <w:b w:val="1"/>
          <w:bCs w:val="1"/>
          <w:color w:val="auto"/>
        </w:rPr>
        <w:t>Options</w:t>
      </w:r>
      <w:r>
        <w:rPr>
          <w:sz w:val="20"/>
          <w:szCs w:val="20"/>
          <w:color w:val="auto"/>
        </w:rPr>
        <w:tab/>
      </w:r>
      <w:r>
        <w:rPr>
          <w:rFonts w:ascii="Times New Roman" w:cs="Times New Roman" w:eastAsia="Times New Roman" w:hAnsi="Times New Roman"/>
          <w:sz w:val="16"/>
          <w:szCs w:val="16"/>
          <w:b w:val="1"/>
          <w:bCs w:val="1"/>
          <w:color w:val="auto"/>
        </w:rPr>
        <w:t>Weighted</w:t>
      </w:r>
    </w:p>
    <w:p>
      <w:pPr>
        <w:ind w:left="980"/>
        <w:spacing w:after="0"/>
        <w:rPr>
          <w:sz w:val="20"/>
          <w:szCs w:val="20"/>
          <w:color w:val="auto"/>
        </w:rPr>
      </w:pPr>
      <w:r>
        <w:rPr>
          <w:rFonts w:ascii="Times New Roman" w:cs="Times New Roman" w:eastAsia="Times New Roman" w:hAnsi="Times New Roman"/>
          <w:sz w:val="16"/>
          <w:szCs w:val="16"/>
          <w:b w:val="1"/>
          <w:bCs w:val="1"/>
          <w:color w:val="auto"/>
        </w:rPr>
        <w:t>average</w:t>
      </w:r>
    </w:p>
    <w:p>
      <w:pPr>
        <w:ind w:left="980"/>
        <w:spacing w:after="0"/>
        <w:rPr>
          <w:sz w:val="20"/>
          <w:szCs w:val="20"/>
          <w:color w:val="auto"/>
        </w:rPr>
      </w:pPr>
      <w:r>
        <w:rPr>
          <w:rFonts w:ascii="Times New Roman" w:cs="Times New Roman" w:eastAsia="Times New Roman" w:hAnsi="Times New Roman"/>
          <w:sz w:val="16"/>
          <w:szCs w:val="16"/>
          <w:b w:val="1"/>
          <w:bCs w:val="1"/>
          <w:color w:val="auto"/>
        </w:rPr>
        <w:t>exercice</w:t>
      </w:r>
    </w:p>
    <w:p>
      <w:pPr>
        <w:spacing w:after="0" w:line="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6"/>
          <w:szCs w:val="16"/>
          <w:b w:val="1"/>
          <w:bCs w:val="1"/>
          <w:color w:val="auto"/>
        </w:rPr>
        <w:t>price ($)</w:t>
      </w:r>
    </w:p>
    <w:p>
      <w:pPr>
        <w:spacing w:after="0" w:line="1" w:lineRule="exact"/>
        <w:rPr>
          <w:sz w:val="20"/>
          <w:szCs w:val="20"/>
          <w:color w:val="auto"/>
        </w:rPr>
      </w:pPr>
    </w:p>
    <w:p>
      <w:pPr>
        <w:sectPr>
          <w:pgSz w:w="11900" w:h="16838" w:orient="portrait"/>
          <w:cols w:equalWidth="0" w:num="2">
            <w:col w:w="7000" w:space="660"/>
            <w:col w:w="1720"/>
          </w:cols>
          <w:pgMar w:left="1260" w:top="838" w:right="1266" w:bottom="723" w:gutter="0" w:footer="0" w:header="0"/>
          <w:type w:val="continuous"/>
        </w:sectPr>
      </w:pPr>
    </w:p>
    <w:tbl>
      <w:tblPr>
        <w:tblLayout w:type="fixed"/>
        <w:tblInd w:w="0" w:type="dxa"/>
        <w:tblCellMar>
          <w:top w:w="0" w:type="dxa"/>
          <w:left w:w="0" w:type="dxa"/>
          <w:bottom w:w="0" w:type="dxa"/>
          <w:right w:w="0" w:type="dxa"/>
        </w:tblCellMar>
      </w:tblPr>
      <w:tr>
        <w:trPr>
          <w:trHeight w:val="220"/>
        </w:trPr>
        <w:tc>
          <w:tcPr>
            <w:tcW w:w="5180" w:type="dxa"/>
            <w:vAlign w:val="bottom"/>
            <w:tcBorders>
              <w:top w:val="single" w:sz="8" w:color="CCEEFF"/>
            </w:tcBorders>
            <w:gridSpan w:val="2"/>
            <w:shd w:val="clear" w:color="auto" w:fill="CCEEFF"/>
          </w:tcPr>
          <w:p>
            <w:pPr>
              <w:spacing w:after="0" w:line="220" w:lineRule="exact"/>
              <w:rPr>
                <w:sz w:val="20"/>
                <w:szCs w:val="20"/>
                <w:color w:val="auto"/>
              </w:rPr>
            </w:pPr>
            <w:r>
              <w:rPr>
                <w:rFonts w:ascii="Times New Roman" w:cs="Times New Roman" w:eastAsia="Times New Roman" w:hAnsi="Times New Roman"/>
                <w:sz w:val="20"/>
                <w:szCs w:val="20"/>
                <w:color w:val="auto"/>
              </w:rPr>
              <w:t>Outstanding on January 1,</w:t>
            </w:r>
          </w:p>
        </w:tc>
        <w:tc>
          <w:tcPr>
            <w:tcW w:w="1280" w:type="dxa"/>
            <w:vAlign w:val="bottom"/>
            <w:tcBorders>
              <w:top w:val="single" w:sz="8" w:color="auto"/>
            </w:tcBorders>
            <w:shd w:val="clear" w:color="auto" w:fill="CCEEFF"/>
          </w:tcPr>
          <w:p>
            <w:pPr>
              <w:jc w:val="right"/>
              <w:ind w:right="220"/>
              <w:spacing w:after="0" w:line="220" w:lineRule="exact"/>
              <w:rPr>
                <w:sz w:val="20"/>
                <w:szCs w:val="20"/>
                <w:color w:val="auto"/>
              </w:rPr>
            </w:pPr>
            <w:r>
              <w:rPr>
                <w:rFonts w:ascii="Times New Roman" w:cs="Times New Roman" w:eastAsia="Times New Roman" w:hAnsi="Times New Roman"/>
                <w:sz w:val="20"/>
                <w:szCs w:val="20"/>
                <w:color w:val="auto"/>
              </w:rPr>
              <w:t>3,030,913</w:t>
            </w:r>
          </w:p>
        </w:tc>
        <w:tc>
          <w:tcPr>
            <w:tcW w:w="680" w:type="dxa"/>
            <w:vAlign w:val="bottom"/>
            <w:tcBorders>
              <w:top w:val="single" w:sz="8" w:color="auto"/>
            </w:tcBorders>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6.67</w:t>
            </w:r>
          </w:p>
        </w:tc>
        <w:tc>
          <w:tcPr>
            <w:tcW w:w="280" w:type="dxa"/>
            <w:vAlign w:val="bottom"/>
            <w:tcBorders>
              <w:top w:val="single" w:sz="8" w:color="CCEEFF"/>
            </w:tcBorders>
            <w:gridSpan w:val="2"/>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ind w:right="180"/>
              <w:spacing w:after="0" w:line="220" w:lineRule="exact"/>
              <w:rPr>
                <w:sz w:val="20"/>
                <w:szCs w:val="20"/>
                <w:color w:val="auto"/>
              </w:rPr>
            </w:pPr>
            <w:r>
              <w:rPr>
                <w:rFonts w:ascii="Times New Roman" w:cs="Times New Roman" w:eastAsia="Times New Roman" w:hAnsi="Times New Roman"/>
                <w:sz w:val="20"/>
                <w:szCs w:val="20"/>
                <w:color w:val="auto"/>
              </w:rPr>
              <w:t>3,198,913</w:t>
            </w:r>
          </w:p>
        </w:tc>
        <w:tc>
          <w:tcPr>
            <w:tcW w:w="720" w:type="dxa"/>
            <w:vAlign w:val="bottom"/>
            <w:tcBorders>
              <w:top w:val="single" w:sz="8" w:color="auto"/>
            </w:tcBorders>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6.92</w:t>
            </w:r>
          </w:p>
        </w:tc>
      </w:tr>
      <w:tr>
        <w:trPr>
          <w:trHeight w:val="228"/>
        </w:trPr>
        <w:tc>
          <w:tcPr>
            <w:tcW w:w="5180" w:type="dxa"/>
            <w:vAlign w:val="bottom"/>
            <w:gridSpan w:val="2"/>
          </w:tcPr>
          <w:p>
            <w:pPr>
              <w:spacing w:after="0" w:line="228" w:lineRule="exact"/>
              <w:rPr>
                <w:sz w:val="20"/>
                <w:szCs w:val="20"/>
                <w:color w:val="auto"/>
              </w:rPr>
            </w:pPr>
            <w:r>
              <w:rPr>
                <w:rFonts w:ascii="Times New Roman" w:cs="Times New Roman" w:eastAsia="Times New Roman" w:hAnsi="Times New Roman"/>
                <w:sz w:val="20"/>
                <w:szCs w:val="20"/>
                <w:color w:val="auto"/>
              </w:rPr>
              <w:t>Exchange rate impact</w:t>
            </w:r>
          </w:p>
        </w:tc>
        <w:tc>
          <w:tcPr>
            <w:tcW w:w="1280" w:type="dxa"/>
            <w:vAlign w:val="bottom"/>
          </w:tcPr>
          <w:p>
            <w:pPr>
              <w:spacing w:after="0"/>
              <w:rPr>
                <w:sz w:val="19"/>
                <w:szCs w:val="19"/>
                <w:color w:val="auto"/>
              </w:rPr>
            </w:pPr>
          </w:p>
        </w:tc>
        <w:tc>
          <w:tcPr>
            <w:tcW w:w="68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auto"/>
              </w:rPr>
              <w:t>0.52</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2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auto"/>
              </w:rPr>
              <w:t>(0.41)</w:t>
            </w:r>
          </w:p>
        </w:tc>
      </w:tr>
      <w:tr>
        <w:trPr>
          <w:trHeight w:val="230"/>
        </w:trPr>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Granted</w:t>
            </w:r>
          </w:p>
        </w:tc>
        <w:tc>
          <w:tcPr>
            <w:tcW w:w="128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20"/>
                <w:szCs w:val="20"/>
                <w:color w:val="auto"/>
              </w:rPr>
              <w:t>2,215,000</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1.73</w:t>
            </w:r>
          </w:p>
        </w:tc>
        <w:tc>
          <w:tcPr>
            <w:tcW w:w="15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20"/>
                <w:szCs w:val="20"/>
                <w:color w:val="auto"/>
              </w:rPr>
              <w:t>599,000</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5.55</w:t>
            </w:r>
          </w:p>
        </w:tc>
      </w:tr>
      <w:tr>
        <w:trPr>
          <w:trHeight w:val="230"/>
        </w:trPr>
        <w:tc>
          <w:tcPr>
            <w:tcW w:w="51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Exercised</w:t>
            </w:r>
          </w:p>
        </w:tc>
        <w:tc>
          <w:tcPr>
            <w:tcW w:w="128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52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(24,584)</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4.89</w:t>
            </w:r>
          </w:p>
        </w:tc>
      </w:tr>
      <w:tr>
        <w:trPr>
          <w:trHeight w:val="230"/>
        </w:trPr>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Forfeited</w:t>
            </w:r>
          </w:p>
        </w:tc>
        <w:tc>
          <w:tcPr>
            <w:tcW w:w="128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20"/>
                <w:szCs w:val="20"/>
                <w:color w:val="auto"/>
              </w:rPr>
              <w:t>(233,878)</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5.45</w:t>
            </w:r>
          </w:p>
        </w:tc>
        <w:tc>
          <w:tcPr>
            <w:tcW w:w="15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20"/>
                <w:szCs w:val="20"/>
                <w:color w:val="auto"/>
              </w:rPr>
              <w:t>(742,416)</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5.11</w:t>
            </w:r>
          </w:p>
        </w:tc>
      </w:tr>
      <w:tr>
        <w:trPr>
          <w:trHeight w:val="230"/>
        </w:trPr>
        <w:tc>
          <w:tcPr>
            <w:tcW w:w="51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20"/>
                <w:szCs w:val="20"/>
                <w:color w:val="auto"/>
              </w:rPr>
              <w:t>Expired</w:t>
            </w:r>
          </w:p>
        </w:tc>
        <w:tc>
          <w:tcPr>
            <w:tcW w:w="128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29"/>
        </w:trPr>
        <w:tc>
          <w:tcPr>
            <w:tcW w:w="5180" w:type="dxa"/>
            <w:vAlign w:val="bottom"/>
            <w:gridSpan w:val="2"/>
            <w:shd w:val="clear" w:color="auto" w:fill="CCEEFF"/>
          </w:tcPr>
          <w:p>
            <w:pPr>
              <w:spacing w:after="0" w:line="220" w:lineRule="exact"/>
              <w:rPr>
                <w:sz w:val="20"/>
                <w:szCs w:val="20"/>
                <w:color w:val="auto"/>
              </w:rPr>
            </w:pPr>
            <w:r>
              <w:rPr>
                <w:rFonts w:ascii="Times New Roman" w:cs="Times New Roman" w:eastAsia="Times New Roman" w:hAnsi="Times New Roman"/>
                <w:sz w:val="20"/>
                <w:szCs w:val="20"/>
                <w:color w:val="auto"/>
              </w:rPr>
              <w:t>Outstanding on December 31,</w:t>
            </w:r>
          </w:p>
        </w:tc>
        <w:tc>
          <w:tcPr>
            <w:tcW w:w="1280" w:type="dxa"/>
            <w:vAlign w:val="bottom"/>
            <w:shd w:val="clear" w:color="auto" w:fill="CCEEFF"/>
          </w:tcPr>
          <w:p>
            <w:pPr>
              <w:jc w:val="right"/>
              <w:ind w:right="220"/>
              <w:spacing w:after="0" w:line="220" w:lineRule="exact"/>
              <w:rPr>
                <w:sz w:val="20"/>
                <w:szCs w:val="20"/>
                <w:color w:val="auto"/>
              </w:rPr>
            </w:pPr>
            <w:r>
              <w:rPr>
                <w:rFonts w:ascii="Times New Roman" w:cs="Times New Roman" w:eastAsia="Times New Roman" w:hAnsi="Times New Roman"/>
                <w:sz w:val="20"/>
                <w:szCs w:val="20"/>
                <w:color w:val="auto"/>
              </w:rPr>
              <w:t>5,012,035</w:t>
            </w:r>
          </w:p>
        </w:tc>
        <w:tc>
          <w:tcPr>
            <w:tcW w:w="680" w:type="dxa"/>
            <w:vAlign w:val="bottom"/>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4.11</w:t>
            </w:r>
          </w:p>
        </w:tc>
        <w:tc>
          <w:tcPr>
            <w:tcW w:w="1520" w:type="dxa"/>
            <w:vAlign w:val="bottom"/>
            <w:gridSpan w:val="3"/>
            <w:shd w:val="clear" w:color="auto" w:fill="CCEEFF"/>
          </w:tcPr>
          <w:p>
            <w:pPr>
              <w:jc w:val="right"/>
              <w:ind w:right="180"/>
              <w:spacing w:after="0" w:line="220" w:lineRule="exact"/>
              <w:rPr>
                <w:sz w:val="20"/>
                <w:szCs w:val="20"/>
                <w:color w:val="auto"/>
              </w:rPr>
            </w:pPr>
            <w:r>
              <w:rPr>
                <w:rFonts w:ascii="Times New Roman" w:cs="Times New Roman" w:eastAsia="Times New Roman" w:hAnsi="Times New Roman"/>
                <w:sz w:val="20"/>
                <w:szCs w:val="20"/>
                <w:color w:val="auto"/>
              </w:rPr>
              <w:t>3,030,913</w:t>
            </w:r>
          </w:p>
        </w:tc>
        <w:tc>
          <w:tcPr>
            <w:tcW w:w="720" w:type="dxa"/>
            <w:vAlign w:val="bottom"/>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6.67</w:t>
            </w:r>
          </w:p>
        </w:tc>
      </w:tr>
      <w:tr>
        <w:trPr>
          <w:trHeight w:val="239"/>
        </w:trPr>
        <w:tc>
          <w:tcPr>
            <w:tcW w:w="5160" w:type="dxa"/>
            <w:vAlign w:val="bottom"/>
          </w:tcPr>
          <w:p>
            <w:pPr>
              <w:spacing w:after="0"/>
              <w:rPr>
                <w:sz w:val="20"/>
                <w:szCs w:val="20"/>
                <w:color w:val="auto"/>
              </w:rPr>
            </w:pPr>
            <w:r>
              <w:rPr>
                <w:rFonts w:ascii="Times New Roman" w:cs="Times New Roman" w:eastAsia="Times New Roman" w:hAnsi="Times New Roman"/>
                <w:sz w:val="20"/>
                <w:szCs w:val="20"/>
                <w:color w:val="auto"/>
              </w:rPr>
              <w:t>Exercisable on December 31,</w:t>
            </w:r>
          </w:p>
        </w:tc>
        <w:tc>
          <w:tcPr>
            <w:tcW w:w="20" w:type="dxa"/>
            <w:vAlign w:val="bottom"/>
            <w:tcBorders>
              <w:bottom w:val="single" w:sz="8" w:color="auto"/>
            </w:tcBorders>
          </w:tcPr>
          <w:p>
            <w:pPr>
              <w:spacing w:after="0"/>
              <w:rPr>
                <w:sz w:val="20"/>
                <w:szCs w:val="20"/>
                <w:color w:val="auto"/>
              </w:rPr>
            </w:pPr>
          </w:p>
        </w:tc>
        <w:tc>
          <w:tcPr>
            <w:tcW w:w="1280" w:type="dxa"/>
            <w:vAlign w:val="bottom"/>
            <w:tcBorders>
              <w:top w:val="single" w:sz="8" w:color="auto"/>
              <w:bottom w:val="single" w:sz="8" w:color="auto"/>
            </w:tcBorders>
          </w:tcPr>
          <w:p>
            <w:pPr>
              <w:jc w:val="right"/>
              <w:ind w:right="220"/>
              <w:spacing w:after="0"/>
              <w:rPr>
                <w:sz w:val="20"/>
                <w:szCs w:val="20"/>
                <w:color w:val="auto"/>
              </w:rPr>
            </w:pPr>
            <w:r>
              <w:rPr>
                <w:rFonts w:ascii="Times New Roman" w:cs="Times New Roman" w:eastAsia="Times New Roman" w:hAnsi="Times New Roman"/>
                <w:sz w:val="20"/>
                <w:szCs w:val="20"/>
                <w:color w:val="auto"/>
              </w:rPr>
              <w:t>2,849,313</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6.43</w:t>
            </w:r>
          </w:p>
        </w:tc>
        <w:tc>
          <w:tcPr>
            <w:tcW w:w="2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180"/>
              <w:spacing w:after="0"/>
              <w:rPr>
                <w:sz w:val="20"/>
                <w:szCs w:val="20"/>
                <w:color w:val="auto"/>
              </w:rPr>
            </w:pPr>
            <w:r>
              <w:rPr>
                <w:rFonts w:ascii="Times New Roman" w:cs="Times New Roman" w:eastAsia="Times New Roman" w:hAnsi="Times New Roman"/>
                <w:sz w:val="20"/>
                <w:szCs w:val="20"/>
                <w:color w:val="auto"/>
              </w:rPr>
              <w:t>2,130,107</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6.41</w:t>
            </w:r>
          </w:p>
        </w:tc>
      </w:tr>
    </w:tbl>
    <w:p>
      <w:pPr>
        <w:spacing w:after="0" w:line="21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As of December 31, 2025, 1,679,000 options to subscribe to new shares are available for future grants.</w:t>
      </w:r>
    </w:p>
    <w:p>
      <w:pPr>
        <w:sectPr>
          <w:pgSz w:w="11900" w:h="16838" w:orient="portrait"/>
          <w:cols w:equalWidth="0" w:num="1">
            <w:col w:w="9380"/>
          </w:cols>
          <w:pgMar w:left="1260" w:top="838" w:right="1266" w:bottom="723"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F-40</w:t>
      </w:r>
    </w:p>
    <w:p>
      <w:pPr>
        <w:sectPr>
          <w:pgSz w:w="11900" w:h="16838" w:orient="portrait"/>
          <w:cols w:equalWidth="0" w:num="1">
            <w:col w:w="9380"/>
          </w:cols>
          <w:pgMar w:left="1260" w:top="838" w:right="1266" w:bottom="723" w:gutter="0" w:footer="0" w:header="0"/>
          <w:type w:val="continuous"/>
        </w:sectPr>
      </w:pPr>
    </w:p>
    <w:bookmarkStart w:id="95" w:name="page96"/>
    <w:bookmarkEnd w:id="95"/>
    <w:p>
      <w:pPr>
        <w:ind w:left="3180"/>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795655</wp:posOffset>
            </wp:positionH>
            <wp:positionV relativeFrom="page">
              <wp:posOffset>292735</wp:posOffset>
            </wp:positionV>
            <wp:extent cx="929005" cy="1149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122">
                      <a:extLst>
                        <a:ext uri="{28A0092B-C50C-407E-A947-70E740481C1C}"/>
                      </a:extLst>
                    </a:blip>
                    <a:srcRect/>
                    <a:stretch>
                      <a:fillRect/>
                    </a:stretch>
                  </pic:blipFill>
                  <pic:spPr bwMode="auto">
                    <a:xfrm>
                      <a:off x="0" y="0"/>
                      <a:ext cx="929005" cy="114935"/>
                    </a:xfrm>
                    <a:prstGeom prst="rect">
                      <a:avLst/>
                    </a:prstGeom>
                    <a:noFill/>
                  </pic:spPr>
                </pic:pic>
              </a:graphicData>
            </a:graphic>
          </wp:anchor>
        </w:drawing>
        <w:t>EDAP TMS S.A. AND SUBSIDIARIES</w:t>
      </w:r>
    </w:p>
    <w:p>
      <w:pPr>
        <w:ind w:left="2760"/>
        <w:spacing w:after="0"/>
        <w:rPr>
          <w:sz w:val="20"/>
          <w:szCs w:val="20"/>
          <w:color w:val="auto"/>
        </w:rPr>
      </w:pPr>
      <w:r>
        <w:rPr>
          <w:rFonts w:ascii="Times New Roman" w:cs="Times New Roman" w:eastAsia="Times New Roman" w:hAnsi="Times New Roman"/>
          <w:sz w:val="20"/>
          <w:szCs w:val="20"/>
          <w:b w:val="1"/>
          <w:bCs w:val="1"/>
          <w:color w:val="auto"/>
        </w:rPr>
        <w:t>CONSOLIDATED FINANCIAL STATEMENTS</w:t>
      </w:r>
    </w:p>
    <w:p>
      <w:pPr>
        <w:ind w:left="1500"/>
        <w:spacing w:after="0"/>
        <w:rPr>
          <w:sz w:val="20"/>
          <w:szCs w:val="20"/>
          <w:color w:val="auto"/>
        </w:rPr>
      </w:pPr>
      <w:r>
        <w:rPr>
          <w:rFonts w:ascii="Times New Roman" w:cs="Times New Roman" w:eastAsia="Times New Roman" w:hAnsi="Times New Roman"/>
          <w:sz w:val="20"/>
          <w:szCs w:val="20"/>
          <w:b w:val="1"/>
          <w:bCs w:val="1"/>
          <w:color w:val="auto"/>
        </w:rPr>
        <w:t>(In thousands of U.S. dollars unless otherwise noted, except per share data)</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firstLine="720"/>
        <w:spacing w:after="0" w:line="279" w:lineRule="auto"/>
        <w:rPr>
          <w:sz w:val="20"/>
          <w:szCs w:val="20"/>
          <w:color w:val="auto"/>
        </w:rPr>
      </w:pPr>
      <w:r>
        <w:rPr>
          <w:rFonts w:ascii="Times New Roman" w:cs="Times New Roman" w:eastAsia="Times New Roman" w:hAnsi="Times New Roman"/>
          <w:sz w:val="20"/>
          <w:szCs w:val="20"/>
          <w:color w:val="auto"/>
        </w:rPr>
        <w:t>The following table summarizes information about options to purchase existing shares held by the Company, or to subscribe to new shares, at December 31, 2025:</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4"/>
          </w:tcPr>
          <w:p>
            <w:pPr>
              <w:jc w:val="right"/>
              <w:ind w:right="56"/>
              <w:spacing w:after="0"/>
              <w:rPr>
                <w:sz w:val="20"/>
                <w:szCs w:val="20"/>
                <w:color w:val="auto"/>
              </w:rPr>
            </w:pPr>
            <w:r>
              <w:rPr>
                <w:rFonts w:ascii="Times New Roman" w:cs="Times New Roman" w:eastAsia="Times New Roman" w:hAnsi="Times New Roman"/>
                <w:sz w:val="16"/>
                <w:szCs w:val="16"/>
                <w:b w:val="1"/>
                <w:bCs w:val="1"/>
                <w:color w:val="auto"/>
              </w:rPr>
              <w:t>Outstanding options</w:t>
            </w:r>
          </w:p>
        </w:tc>
        <w:tc>
          <w:tcPr>
            <w:tcW w:w="1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80" w:type="dxa"/>
            <w:vAlign w:val="bottom"/>
            <w:tcBorders>
              <w:bottom w:val="single" w:sz="8" w:color="auto"/>
            </w:tcBorders>
            <w:gridSpan w:val="7"/>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 xml:space="preserve">Fully vested options </w:t>
            </w:r>
            <w:r>
              <w:rPr>
                <w:rFonts w:ascii="Times New Roman" w:cs="Times New Roman" w:eastAsia="Times New Roman" w:hAnsi="Times New Roman"/>
                <w:sz w:val="20"/>
                <w:szCs w:val="20"/>
                <w:b w:val="1"/>
                <w:bCs w:val="1"/>
                <w:color w:val="auto"/>
                <w:w w:val="97"/>
                <w:vertAlign w:val="superscript"/>
              </w:rPr>
              <w:t>(1)</w:t>
            </w:r>
          </w:p>
        </w:tc>
      </w:tr>
      <w:tr>
        <w:trPr>
          <w:trHeight w:val="156"/>
        </w:trPr>
        <w:tc>
          <w:tcPr>
            <w:tcW w:w="2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jc w:val="center"/>
              <w:spacing w:after="0" w:line="157" w:lineRule="exact"/>
              <w:rPr>
                <w:sz w:val="20"/>
                <w:szCs w:val="20"/>
                <w:color w:val="auto"/>
              </w:rPr>
            </w:pPr>
            <w:r>
              <w:rPr>
                <w:rFonts w:ascii="Times New Roman" w:cs="Times New Roman" w:eastAsia="Times New Roman" w:hAnsi="Times New Roman"/>
                <w:sz w:val="16"/>
                <w:szCs w:val="16"/>
                <w:b w:val="1"/>
                <w:bCs w:val="1"/>
                <w:color w:val="auto"/>
              </w:rPr>
              <w:t>Weighted</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jc w:val="center"/>
              <w:spacing w:after="0" w:line="157" w:lineRule="exact"/>
              <w:rPr>
                <w:sz w:val="20"/>
                <w:szCs w:val="20"/>
                <w:color w:val="auto"/>
              </w:rPr>
            </w:pPr>
            <w:r>
              <w:rPr>
                <w:rFonts w:ascii="Times New Roman" w:cs="Times New Roman" w:eastAsia="Times New Roman" w:hAnsi="Times New Roman"/>
                <w:sz w:val="16"/>
                <w:szCs w:val="16"/>
                <w:b w:val="1"/>
                <w:bCs w:val="1"/>
                <w:color w:val="auto"/>
              </w:rPr>
              <w:t>Weighted</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jc w:val="center"/>
              <w:spacing w:after="0" w:line="157" w:lineRule="exact"/>
              <w:rPr>
                <w:sz w:val="20"/>
                <w:szCs w:val="20"/>
                <w:color w:val="auto"/>
              </w:rPr>
            </w:pPr>
            <w:r>
              <w:rPr>
                <w:rFonts w:ascii="Times New Roman" w:cs="Times New Roman" w:eastAsia="Times New Roman" w:hAnsi="Times New Roman"/>
                <w:sz w:val="16"/>
                <w:szCs w:val="16"/>
                <w:b w:val="1"/>
                <w:bCs w:val="1"/>
                <w:color w:val="auto"/>
              </w:rPr>
              <w:t>Weighted</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83"/>
        </w:trPr>
        <w:tc>
          <w:tcPr>
            <w:tcW w:w="2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b w:val="1"/>
                <w:bCs w:val="1"/>
                <w:color w:val="auto"/>
              </w:rPr>
              <w:t>average</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b w:val="1"/>
                <w:bCs w:val="1"/>
                <w:color w:val="auto"/>
                <w:w w:val="97"/>
              </w:rPr>
              <w:t>average</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b w:val="1"/>
                <w:bCs w:val="1"/>
                <w:color w:val="auto"/>
                <w:w w:val="99"/>
              </w:rPr>
              <w:t>Aggregate</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b w:val="1"/>
                <w:bCs w:val="1"/>
                <w:color w:val="auto"/>
                <w:w w:val="97"/>
              </w:rPr>
              <w:t>average</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b w:val="1"/>
                <w:bCs w:val="1"/>
                <w:color w:val="auto"/>
                <w:w w:val="99"/>
              </w:rPr>
              <w:t>Aggregate</w:t>
            </w:r>
          </w:p>
        </w:tc>
      </w:tr>
      <w:tr>
        <w:trPr>
          <w:trHeight w:val="184"/>
        </w:trPr>
        <w:tc>
          <w:tcPr>
            <w:tcW w:w="2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remaining</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exercise</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Intrinsic</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exercise</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Intrinsic</w:t>
            </w:r>
          </w:p>
        </w:tc>
      </w:tr>
      <w:tr>
        <w:trPr>
          <w:trHeight w:val="185"/>
        </w:trPr>
        <w:tc>
          <w:tcPr>
            <w:tcW w:w="2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contractual</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price</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price</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Value</w:t>
            </w:r>
          </w:p>
        </w:tc>
      </w:tr>
      <w:tr>
        <w:trPr>
          <w:trHeight w:val="203"/>
        </w:trPr>
        <w:tc>
          <w:tcPr>
            <w:tcW w:w="24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Exercise price ($)</w:t>
            </w:r>
          </w:p>
        </w:tc>
        <w:tc>
          <w:tcPr>
            <w:tcW w:w="90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1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life</w:t>
            </w:r>
          </w:p>
        </w:tc>
        <w:tc>
          <w:tcPr>
            <w:tcW w:w="200" w:type="dxa"/>
            <w:vAlign w:val="bottom"/>
            <w:tcBorders>
              <w:bottom w:val="single" w:sz="8" w:color="CCEEFF"/>
            </w:tcBorders>
            <w:gridSpan w:val="2"/>
          </w:tcPr>
          <w:p>
            <w:pPr>
              <w:spacing w:after="0"/>
              <w:rPr>
                <w:sz w:val="17"/>
                <w:szCs w:val="17"/>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tcBorders>
              <w:bottom w:val="single" w:sz="8" w:color="CCEEFF"/>
            </w:tcBorders>
            <w:gridSpan w:val="2"/>
          </w:tcPr>
          <w:p>
            <w:pPr>
              <w:spacing w:after="0"/>
              <w:rPr>
                <w:sz w:val="17"/>
                <w:szCs w:val="17"/>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(2)</w:t>
            </w:r>
          </w:p>
        </w:tc>
        <w:tc>
          <w:tcPr>
            <w:tcW w:w="1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200" w:type="dxa"/>
            <w:vAlign w:val="bottom"/>
            <w:tcBorders>
              <w:bottom w:val="single" w:sz="8" w:color="CCEEFF"/>
            </w:tcBorders>
            <w:gridSpan w:val="2"/>
          </w:tcPr>
          <w:p>
            <w:pPr>
              <w:spacing w:after="0"/>
              <w:rPr>
                <w:sz w:val="17"/>
                <w:szCs w:val="17"/>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tcBorders>
              <w:bottom w:val="single" w:sz="8" w:color="CCEEFF"/>
            </w:tcBorders>
            <w:gridSpan w:val="2"/>
          </w:tcPr>
          <w:p>
            <w:pPr>
              <w:spacing w:after="0"/>
              <w:rPr>
                <w:sz w:val="17"/>
                <w:szCs w:val="17"/>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(2)</w:t>
            </w:r>
          </w:p>
        </w:tc>
      </w:tr>
      <w:tr>
        <w:trPr>
          <w:trHeight w:val="220"/>
        </w:trPr>
        <w:tc>
          <w:tcPr>
            <w:tcW w:w="2460" w:type="dxa"/>
            <w:vAlign w:val="bottom"/>
            <w:shd w:val="clear" w:color="auto" w:fill="CCEEFF"/>
          </w:tcPr>
          <w:p>
            <w:pPr>
              <w:spacing w:after="0" w:line="220" w:lineRule="exact"/>
              <w:rPr>
                <w:sz w:val="20"/>
                <w:szCs w:val="20"/>
                <w:color w:val="auto"/>
              </w:rPr>
            </w:pPr>
            <w:r>
              <w:rPr>
                <w:rFonts w:ascii="Times New Roman" w:cs="Times New Roman" w:eastAsia="Times New Roman" w:hAnsi="Times New Roman"/>
                <w:sz w:val="20"/>
                <w:szCs w:val="20"/>
                <w:color w:val="auto"/>
              </w:rPr>
              <w:t>11.09</w:t>
            </w:r>
          </w:p>
        </w:tc>
        <w:tc>
          <w:tcPr>
            <w:tcW w:w="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200,000</w:t>
            </w:r>
          </w:p>
        </w:tc>
        <w:tc>
          <w:tcPr>
            <w:tcW w:w="960" w:type="dxa"/>
            <w:vAlign w:val="bottom"/>
            <w:gridSpan w:val="3"/>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7.3</w:t>
            </w:r>
          </w:p>
        </w:tc>
        <w:tc>
          <w:tcPr>
            <w:tcW w:w="1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11.09</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172,222</w:t>
            </w:r>
          </w:p>
        </w:tc>
        <w:tc>
          <w:tcPr>
            <w:tcW w:w="900" w:type="dxa"/>
            <w:vAlign w:val="bottom"/>
            <w:gridSpan w:val="3"/>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shd w:val="clear" w:color="auto" w:fill="CCEEFF"/>
              </w:rPr>
              <w:t>11.09</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r>
      <w:tr>
        <w:trPr>
          <w:trHeight w:val="228"/>
        </w:trPr>
        <w:tc>
          <w:tcPr>
            <w:tcW w:w="2460" w:type="dxa"/>
            <w:vAlign w:val="bottom"/>
          </w:tcPr>
          <w:p>
            <w:pPr>
              <w:spacing w:after="0" w:line="228" w:lineRule="exact"/>
              <w:rPr>
                <w:sz w:val="20"/>
                <w:szCs w:val="20"/>
                <w:color w:val="auto"/>
              </w:rPr>
            </w:pPr>
            <w:r>
              <w:rPr>
                <w:rFonts w:ascii="Times New Roman" w:cs="Times New Roman" w:eastAsia="Times New Roman" w:hAnsi="Times New Roman"/>
                <w:sz w:val="20"/>
                <w:szCs w:val="20"/>
                <w:color w:val="auto"/>
              </w:rPr>
              <w:t>10.86</w:t>
            </w:r>
          </w:p>
        </w:tc>
        <w:tc>
          <w:tcPr>
            <w:tcW w:w="20" w:type="dxa"/>
            <w:vAlign w:val="bottom"/>
          </w:tcPr>
          <w:p>
            <w:pPr>
              <w:spacing w:after="0"/>
              <w:rPr>
                <w:sz w:val="19"/>
                <w:szCs w:val="19"/>
                <w:color w:val="auto"/>
              </w:rPr>
            </w:pPr>
          </w:p>
        </w:tc>
        <w:tc>
          <w:tcPr>
            <w:tcW w:w="90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auto"/>
              </w:rPr>
              <w:t>69,000</w:t>
            </w:r>
          </w:p>
        </w:tc>
        <w:tc>
          <w:tcPr>
            <w:tcW w:w="960" w:type="dxa"/>
            <w:vAlign w:val="bottom"/>
            <w:gridSpan w:val="3"/>
          </w:tcPr>
          <w:p>
            <w:pPr>
              <w:jc w:val="right"/>
              <w:spacing w:after="0" w:line="228" w:lineRule="exact"/>
              <w:rPr>
                <w:sz w:val="20"/>
                <w:szCs w:val="20"/>
                <w:color w:val="auto"/>
              </w:rPr>
            </w:pPr>
            <w:r>
              <w:rPr>
                <w:rFonts w:ascii="Times New Roman" w:cs="Times New Roman" w:eastAsia="Times New Roman" w:hAnsi="Times New Roman"/>
                <w:sz w:val="20"/>
                <w:szCs w:val="20"/>
                <w:color w:val="auto"/>
              </w:rPr>
              <w:t>7.3</w:t>
            </w:r>
          </w:p>
        </w:tc>
        <w:tc>
          <w:tcPr>
            <w:tcW w:w="900" w:type="dxa"/>
            <w:vAlign w:val="bottom"/>
            <w:gridSpan w:val="3"/>
          </w:tcPr>
          <w:p>
            <w:pPr>
              <w:jc w:val="right"/>
              <w:spacing w:after="0" w:line="228" w:lineRule="exact"/>
              <w:rPr>
                <w:sz w:val="20"/>
                <w:szCs w:val="20"/>
                <w:color w:val="auto"/>
              </w:rPr>
            </w:pPr>
            <w:r>
              <w:rPr>
                <w:rFonts w:ascii="Times New Roman" w:cs="Times New Roman" w:eastAsia="Times New Roman" w:hAnsi="Times New Roman"/>
                <w:sz w:val="20"/>
                <w:szCs w:val="20"/>
                <w:color w:val="auto"/>
              </w:rPr>
              <w:t>10.86</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auto"/>
              </w:rPr>
              <w:t>—</w:t>
            </w:r>
          </w:p>
        </w:tc>
        <w:tc>
          <w:tcPr>
            <w:tcW w:w="1080" w:type="dxa"/>
            <w:vAlign w:val="bottom"/>
            <w:gridSpan w:val="3"/>
          </w:tcPr>
          <w:p>
            <w:pPr>
              <w:jc w:val="right"/>
              <w:spacing w:after="0" w:line="228" w:lineRule="exact"/>
              <w:rPr>
                <w:sz w:val="20"/>
                <w:szCs w:val="20"/>
                <w:color w:val="auto"/>
              </w:rPr>
            </w:pPr>
            <w:r>
              <w:rPr>
                <w:rFonts w:ascii="Times New Roman" w:cs="Times New Roman" w:eastAsia="Times New Roman" w:hAnsi="Times New Roman"/>
                <w:sz w:val="20"/>
                <w:szCs w:val="20"/>
                <w:color w:val="auto"/>
              </w:rPr>
              <w:t>61,333</w:t>
            </w:r>
          </w:p>
        </w:tc>
        <w:tc>
          <w:tcPr>
            <w:tcW w:w="900" w:type="dxa"/>
            <w:vAlign w:val="bottom"/>
            <w:gridSpan w:val="3"/>
          </w:tcPr>
          <w:p>
            <w:pPr>
              <w:jc w:val="right"/>
              <w:spacing w:after="0" w:line="228" w:lineRule="exact"/>
              <w:rPr>
                <w:sz w:val="20"/>
                <w:szCs w:val="20"/>
                <w:color w:val="auto"/>
              </w:rPr>
            </w:pPr>
            <w:r>
              <w:rPr>
                <w:rFonts w:ascii="Times New Roman" w:cs="Times New Roman" w:eastAsia="Times New Roman" w:hAnsi="Times New Roman"/>
                <w:sz w:val="20"/>
                <w:szCs w:val="20"/>
                <w:color w:val="auto"/>
              </w:rPr>
              <w:t>10.86</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auto"/>
              </w:rPr>
              <w:t>—</w:t>
            </w:r>
          </w:p>
        </w:tc>
      </w:tr>
      <w:tr>
        <w:trPr>
          <w:trHeight w:val="230"/>
        </w:trPr>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10.59</w:t>
            </w:r>
          </w:p>
        </w:tc>
        <w:tc>
          <w:tcPr>
            <w:tcW w:w="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375,000</w:t>
            </w: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7.0</w:t>
            </w:r>
          </w:p>
        </w:tc>
        <w:tc>
          <w:tcPr>
            <w:tcW w:w="18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10.59</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375,000</w:t>
            </w: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shd w:val="clear" w:color="auto" w:fill="CCEEFF"/>
              </w:rPr>
              <w:t>10.59</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30"/>
        </w:trPr>
        <w:tc>
          <w:tcPr>
            <w:tcW w:w="2460" w:type="dxa"/>
            <w:vAlign w:val="bottom"/>
          </w:tcPr>
          <w:p>
            <w:pPr>
              <w:spacing w:after="0"/>
              <w:rPr>
                <w:sz w:val="20"/>
                <w:szCs w:val="20"/>
                <w:color w:val="auto"/>
              </w:rPr>
            </w:pPr>
            <w:r>
              <w:rPr>
                <w:rFonts w:ascii="Times New Roman" w:cs="Times New Roman" w:eastAsia="Times New Roman" w:hAnsi="Times New Roman"/>
                <w:sz w:val="20"/>
                <w:szCs w:val="20"/>
                <w:color w:val="auto"/>
              </w:rPr>
              <w:t>10.31</w:t>
            </w:r>
          </w:p>
        </w:tc>
        <w:tc>
          <w:tcPr>
            <w:tcW w:w="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20,000</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6.8</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10.31</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20,000</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10.31</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30"/>
        </w:trPr>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10.01</w:t>
            </w:r>
          </w:p>
        </w:tc>
        <w:tc>
          <w:tcPr>
            <w:tcW w:w="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50,000</w:t>
            </w: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7.4</w:t>
            </w:r>
          </w:p>
        </w:tc>
        <w:tc>
          <w:tcPr>
            <w:tcW w:w="18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10.01</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43,056</w:t>
            </w: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shd w:val="clear" w:color="auto" w:fill="CCEEFF"/>
              </w:rPr>
              <w:t>10.01</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30"/>
        </w:trPr>
        <w:tc>
          <w:tcPr>
            <w:tcW w:w="2460" w:type="dxa"/>
            <w:vAlign w:val="bottom"/>
          </w:tcPr>
          <w:p>
            <w:pPr>
              <w:spacing w:after="0"/>
              <w:rPr>
                <w:sz w:val="20"/>
                <w:szCs w:val="20"/>
                <w:color w:val="auto"/>
              </w:rPr>
            </w:pPr>
            <w:r>
              <w:rPr>
                <w:rFonts w:ascii="Times New Roman" w:cs="Times New Roman" w:eastAsia="Times New Roman" w:hAnsi="Times New Roman"/>
                <w:sz w:val="20"/>
                <w:szCs w:val="20"/>
                <w:color w:val="auto"/>
              </w:rPr>
              <w:t>8.20</w:t>
            </w:r>
          </w:p>
        </w:tc>
        <w:tc>
          <w:tcPr>
            <w:tcW w:w="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130,000</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7.7</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8.20</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101,111</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8.20</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30"/>
        </w:trPr>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7.40</w:t>
            </w:r>
          </w:p>
        </w:tc>
        <w:tc>
          <w:tcPr>
            <w:tcW w:w="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160,000</w:t>
            </w: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8.3</w:t>
            </w:r>
          </w:p>
        </w:tc>
        <w:tc>
          <w:tcPr>
            <w:tcW w:w="18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7.40</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93,333</w:t>
            </w: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7.40</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28"/>
        </w:trPr>
        <w:tc>
          <w:tcPr>
            <w:tcW w:w="2460" w:type="dxa"/>
            <w:vAlign w:val="bottom"/>
          </w:tcPr>
          <w:p>
            <w:pPr>
              <w:spacing w:after="0" w:line="228" w:lineRule="exact"/>
              <w:rPr>
                <w:sz w:val="20"/>
                <w:szCs w:val="20"/>
                <w:color w:val="auto"/>
              </w:rPr>
            </w:pPr>
            <w:r>
              <w:rPr>
                <w:rFonts w:ascii="Times New Roman" w:cs="Times New Roman" w:eastAsia="Times New Roman" w:hAnsi="Times New Roman"/>
                <w:sz w:val="20"/>
                <w:szCs w:val="20"/>
                <w:color w:val="auto"/>
              </w:rPr>
              <w:t>7.10</w:t>
            </w:r>
          </w:p>
        </w:tc>
        <w:tc>
          <w:tcPr>
            <w:tcW w:w="20" w:type="dxa"/>
            <w:vAlign w:val="bottom"/>
          </w:tcPr>
          <w:p>
            <w:pPr>
              <w:spacing w:after="0"/>
              <w:rPr>
                <w:sz w:val="19"/>
                <w:szCs w:val="19"/>
                <w:color w:val="auto"/>
              </w:rPr>
            </w:pPr>
          </w:p>
        </w:tc>
        <w:tc>
          <w:tcPr>
            <w:tcW w:w="90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auto"/>
              </w:rPr>
              <w:t>10,000</w:t>
            </w:r>
          </w:p>
        </w:tc>
        <w:tc>
          <w:tcPr>
            <w:tcW w:w="960" w:type="dxa"/>
            <w:vAlign w:val="bottom"/>
            <w:gridSpan w:val="3"/>
          </w:tcPr>
          <w:p>
            <w:pPr>
              <w:jc w:val="right"/>
              <w:spacing w:after="0" w:line="228" w:lineRule="exact"/>
              <w:rPr>
                <w:sz w:val="20"/>
                <w:szCs w:val="20"/>
                <w:color w:val="auto"/>
              </w:rPr>
            </w:pPr>
            <w:r>
              <w:rPr>
                <w:rFonts w:ascii="Times New Roman" w:cs="Times New Roman" w:eastAsia="Times New Roman" w:hAnsi="Times New Roman"/>
                <w:sz w:val="20"/>
                <w:szCs w:val="20"/>
                <w:color w:val="auto"/>
              </w:rPr>
              <w:t>7.8</w:t>
            </w:r>
          </w:p>
        </w:tc>
        <w:tc>
          <w:tcPr>
            <w:tcW w:w="900" w:type="dxa"/>
            <w:vAlign w:val="bottom"/>
            <w:gridSpan w:val="3"/>
          </w:tcPr>
          <w:p>
            <w:pPr>
              <w:jc w:val="right"/>
              <w:spacing w:after="0" w:line="228" w:lineRule="exact"/>
              <w:rPr>
                <w:sz w:val="20"/>
                <w:szCs w:val="20"/>
                <w:color w:val="auto"/>
              </w:rPr>
            </w:pPr>
            <w:r>
              <w:rPr>
                <w:rFonts w:ascii="Times New Roman" w:cs="Times New Roman" w:eastAsia="Times New Roman" w:hAnsi="Times New Roman"/>
                <w:sz w:val="20"/>
                <w:szCs w:val="20"/>
                <w:color w:val="auto"/>
              </w:rPr>
              <w:t>7.10</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auto"/>
              </w:rPr>
              <w:t>—</w:t>
            </w:r>
          </w:p>
        </w:tc>
        <w:tc>
          <w:tcPr>
            <w:tcW w:w="1080" w:type="dxa"/>
            <w:vAlign w:val="bottom"/>
            <w:gridSpan w:val="3"/>
          </w:tcPr>
          <w:p>
            <w:pPr>
              <w:jc w:val="right"/>
              <w:spacing w:after="0" w:line="228" w:lineRule="exact"/>
              <w:rPr>
                <w:sz w:val="20"/>
                <w:szCs w:val="20"/>
                <w:color w:val="auto"/>
              </w:rPr>
            </w:pPr>
            <w:r>
              <w:rPr>
                <w:rFonts w:ascii="Times New Roman" w:cs="Times New Roman" w:eastAsia="Times New Roman" w:hAnsi="Times New Roman"/>
                <w:sz w:val="20"/>
                <w:szCs w:val="20"/>
                <w:color w:val="auto"/>
              </w:rPr>
              <w:t>6,944</w:t>
            </w:r>
          </w:p>
        </w:tc>
        <w:tc>
          <w:tcPr>
            <w:tcW w:w="900" w:type="dxa"/>
            <w:vAlign w:val="bottom"/>
            <w:gridSpan w:val="3"/>
          </w:tcPr>
          <w:p>
            <w:pPr>
              <w:jc w:val="right"/>
              <w:spacing w:after="0" w:line="228" w:lineRule="exact"/>
              <w:rPr>
                <w:sz w:val="20"/>
                <w:szCs w:val="20"/>
                <w:color w:val="auto"/>
              </w:rPr>
            </w:pPr>
            <w:r>
              <w:rPr>
                <w:rFonts w:ascii="Times New Roman" w:cs="Times New Roman" w:eastAsia="Times New Roman" w:hAnsi="Times New Roman"/>
                <w:sz w:val="20"/>
                <w:szCs w:val="20"/>
                <w:color w:val="auto"/>
              </w:rPr>
              <w:t>7.10</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auto"/>
              </w:rPr>
              <w:t>—</w:t>
            </w:r>
          </w:p>
        </w:tc>
      </w:tr>
      <w:tr>
        <w:trPr>
          <w:trHeight w:val="230"/>
        </w:trPr>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6.81</w:t>
            </w:r>
          </w:p>
        </w:tc>
        <w:tc>
          <w:tcPr>
            <w:tcW w:w="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932,655</w:t>
            </w: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5.4</w:t>
            </w:r>
          </w:p>
        </w:tc>
        <w:tc>
          <w:tcPr>
            <w:tcW w:w="18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6.81</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932,655</w:t>
            </w: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6.81</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30"/>
        </w:trPr>
        <w:tc>
          <w:tcPr>
            <w:tcW w:w="2460" w:type="dxa"/>
            <w:vAlign w:val="bottom"/>
          </w:tcPr>
          <w:p>
            <w:pPr>
              <w:spacing w:after="0"/>
              <w:rPr>
                <w:sz w:val="20"/>
                <w:szCs w:val="20"/>
                <w:color w:val="auto"/>
              </w:rPr>
            </w:pPr>
            <w:r>
              <w:rPr>
                <w:rFonts w:ascii="Times New Roman" w:cs="Times New Roman" w:eastAsia="Times New Roman" w:hAnsi="Times New Roman"/>
                <w:sz w:val="20"/>
                <w:szCs w:val="20"/>
                <w:color w:val="auto"/>
              </w:rPr>
              <w:t>6.68</w:t>
            </w:r>
          </w:p>
        </w:tc>
        <w:tc>
          <w:tcPr>
            <w:tcW w:w="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60,000</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6.3</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6.68</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60,000</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6.68</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30"/>
        </w:trPr>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6.51</w:t>
            </w:r>
          </w:p>
        </w:tc>
        <w:tc>
          <w:tcPr>
            <w:tcW w:w="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33,000</w:t>
            </w: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7.8</w:t>
            </w:r>
          </w:p>
        </w:tc>
        <w:tc>
          <w:tcPr>
            <w:tcW w:w="18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6.51</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24,750</w:t>
            </w: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6.51</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30"/>
        </w:trPr>
        <w:tc>
          <w:tcPr>
            <w:tcW w:w="2460" w:type="dxa"/>
            <w:vAlign w:val="bottom"/>
          </w:tcPr>
          <w:p>
            <w:pPr>
              <w:spacing w:after="0"/>
              <w:rPr>
                <w:sz w:val="20"/>
                <w:szCs w:val="20"/>
                <w:color w:val="auto"/>
              </w:rPr>
            </w:pPr>
            <w:r>
              <w:rPr>
                <w:rFonts w:ascii="Times New Roman" w:cs="Times New Roman" w:eastAsia="Times New Roman" w:hAnsi="Times New Roman"/>
                <w:sz w:val="20"/>
                <w:szCs w:val="20"/>
                <w:color w:val="auto"/>
              </w:rPr>
              <w:t>5.95</w:t>
            </w:r>
          </w:p>
        </w:tc>
        <w:tc>
          <w:tcPr>
            <w:tcW w:w="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167,000</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8.5</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5.95</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83,500</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5.95</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28"/>
        </w:trPr>
        <w:tc>
          <w:tcPr>
            <w:tcW w:w="2460" w:type="dxa"/>
            <w:vAlign w:val="bottom"/>
            <w:shd w:val="clear" w:color="auto" w:fill="CCEEFF"/>
          </w:tcPr>
          <w:p>
            <w:pPr>
              <w:spacing w:after="0" w:line="228" w:lineRule="exact"/>
              <w:rPr>
                <w:sz w:val="20"/>
                <w:szCs w:val="20"/>
                <w:color w:val="auto"/>
              </w:rPr>
            </w:pPr>
            <w:r>
              <w:rPr>
                <w:rFonts w:ascii="Times New Roman" w:cs="Times New Roman" w:eastAsia="Times New Roman" w:hAnsi="Times New Roman"/>
                <w:sz w:val="20"/>
                <w:szCs w:val="20"/>
                <w:color w:val="auto"/>
              </w:rPr>
              <w:t>5.93</w:t>
            </w:r>
          </w:p>
        </w:tc>
        <w:tc>
          <w:tcPr>
            <w:tcW w:w="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line="228" w:lineRule="exact"/>
              <w:rPr>
                <w:sz w:val="20"/>
                <w:szCs w:val="20"/>
                <w:color w:val="auto"/>
              </w:rPr>
            </w:pPr>
            <w:r>
              <w:rPr>
                <w:rFonts w:ascii="Times New Roman" w:cs="Times New Roman" w:eastAsia="Times New Roman" w:hAnsi="Times New Roman"/>
                <w:sz w:val="20"/>
                <w:szCs w:val="20"/>
                <w:color w:val="auto"/>
              </w:rPr>
              <w:t>12,000</w:t>
            </w:r>
          </w:p>
        </w:tc>
        <w:tc>
          <w:tcPr>
            <w:tcW w:w="960" w:type="dxa"/>
            <w:vAlign w:val="bottom"/>
            <w:gridSpan w:val="3"/>
            <w:shd w:val="clear" w:color="auto" w:fill="CCEEFF"/>
          </w:tcPr>
          <w:p>
            <w:pPr>
              <w:jc w:val="right"/>
              <w:spacing w:after="0" w:line="228" w:lineRule="exact"/>
              <w:rPr>
                <w:sz w:val="20"/>
                <w:szCs w:val="20"/>
                <w:color w:val="auto"/>
              </w:rPr>
            </w:pPr>
            <w:r>
              <w:rPr>
                <w:rFonts w:ascii="Times New Roman" w:cs="Times New Roman" w:eastAsia="Times New Roman" w:hAnsi="Times New Roman"/>
                <w:sz w:val="20"/>
                <w:szCs w:val="20"/>
                <w:color w:val="auto"/>
              </w:rPr>
              <w:t>8.2</w:t>
            </w:r>
          </w:p>
        </w:tc>
        <w:tc>
          <w:tcPr>
            <w:tcW w:w="1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spacing w:after="0" w:line="228" w:lineRule="exact"/>
              <w:rPr>
                <w:sz w:val="20"/>
                <w:szCs w:val="20"/>
                <w:color w:val="auto"/>
              </w:rPr>
            </w:pPr>
            <w:r>
              <w:rPr>
                <w:rFonts w:ascii="Times New Roman" w:cs="Times New Roman" w:eastAsia="Times New Roman" w:hAnsi="Times New Roman"/>
                <w:sz w:val="20"/>
                <w:szCs w:val="20"/>
                <w:color w:val="auto"/>
              </w:rPr>
              <w:t>5.93</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line="228" w:lineRule="exact"/>
              <w:rPr>
                <w:sz w:val="20"/>
                <w:szCs w:val="20"/>
                <w:color w:val="auto"/>
              </w:rPr>
            </w:pPr>
            <w:r>
              <w:rPr>
                <w:rFonts w:ascii="Times New Roman" w:cs="Times New Roman" w:eastAsia="Times New Roman" w:hAnsi="Times New Roman"/>
                <w:sz w:val="20"/>
                <w:szCs w:val="20"/>
                <w:color w:val="auto"/>
              </w:rPr>
              <w:t>—</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line="228" w:lineRule="exact"/>
              <w:rPr>
                <w:sz w:val="20"/>
                <w:szCs w:val="20"/>
                <w:color w:val="auto"/>
              </w:rPr>
            </w:pPr>
            <w:r>
              <w:rPr>
                <w:rFonts w:ascii="Times New Roman" w:cs="Times New Roman" w:eastAsia="Times New Roman" w:hAnsi="Times New Roman"/>
                <w:sz w:val="20"/>
                <w:szCs w:val="20"/>
                <w:color w:val="auto"/>
              </w:rPr>
              <w:t>7,333</w:t>
            </w:r>
          </w:p>
        </w:tc>
        <w:tc>
          <w:tcPr>
            <w:tcW w:w="900" w:type="dxa"/>
            <w:vAlign w:val="bottom"/>
            <w:gridSpan w:val="3"/>
            <w:shd w:val="clear" w:color="auto" w:fill="CCEEFF"/>
          </w:tcPr>
          <w:p>
            <w:pPr>
              <w:jc w:val="right"/>
              <w:spacing w:after="0" w:line="228" w:lineRule="exact"/>
              <w:rPr>
                <w:sz w:val="20"/>
                <w:szCs w:val="20"/>
                <w:color w:val="auto"/>
              </w:rPr>
            </w:pPr>
            <w:r>
              <w:rPr>
                <w:rFonts w:ascii="Times New Roman" w:cs="Times New Roman" w:eastAsia="Times New Roman" w:hAnsi="Times New Roman"/>
                <w:sz w:val="20"/>
                <w:szCs w:val="20"/>
                <w:color w:val="auto"/>
              </w:rPr>
              <w:t>5.93</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line="228" w:lineRule="exact"/>
              <w:rPr>
                <w:sz w:val="20"/>
                <w:szCs w:val="20"/>
                <w:color w:val="auto"/>
              </w:rPr>
            </w:pPr>
            <w:r>
              <w:rPr>
                <w:rFonts w:ascii="Times New Roman" w:cs="Times New Roman" w:eastAsia="Times New Roman" w:hAnsi="Times New Roman"/>
                <w:sz w:val="20"/>
                <w:szCs w:val="20"/>
                <w:color w:val="auto"/>
              </w:rPr>
              <w:t>—</w:t>
            </w:r>
          </w:p>
        </w:tc>
      </w:tr>
      <w:tr>
        <w:trPr>
          <w:trHeight w:val="230"/>
        </w:trPr>
        <w:tc>
          <w:tcPr>
            <w:tcW w:w="2460" w:type="dxa"/>
            <w:vAlign w:val="bottom"/>
          </w:tcPr>
          <w:p>
            <w:pPr>
              <w:spacing w:after="0"/>
              <w:rPr>
                <w:sz w:val="20"/>
                <w:szCs w:val="20"/>
                <w:color w:val="auto"/>
              </w:rPr>
            </w:pPr>
            <w:r>
              <w:rPr>
                <w:rFonts w:ascii="Times New Roman" w:cs="Times New Roman" w:eastAsia="Times New Roman" w:hAnsi="Times New Roman"/>
                <w:sz w:val="20"/>
                <w:szCs w:val="20"/>
                <w:color w:val="auto"/>
              </w:rPr>
              <w:t>5.88</w:t>
            </w:r>
          </w:p>
        </w:tc>
        <w:tc>
          <w:tcPr>
            <w:tcW w:w="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83,300</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5.8</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5.88</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83,300</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5.88</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30"/>
        </w:trPr>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5.75</w:t>
            </w:r>
          </w:p>
        </w:tc>
        <w:tc>
          <w:tcPr>
            <w:tcW w:w="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123,000</w:t>
            </w: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8.1</w:t>
            </w:r>
          </w:p>
        </w:tc>
        <w:tc>
          <w:tcPr>
            <w:tcW w:w="18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5.75</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78,583</w:t>
            </w: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5.75</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30"/>
        </w:trPr>
        <w:tc>
          <w:tcPr>
            <w:tcW w:w="2460" w:type="dxa"/>
            <w:vAlign w:val="bottom"/>
          </w:tcPr>
          <w:p>
            <w:pPr>
              <w:spacing w:after="0"/>
              <w:rPr>
                <w:sz w:val="20"/>
                <w:szCs w:val="20"/>
                <w:color w:val="auto"/>
              </w:rPr>
            </w:pPr>
            <w:r>
              <w:rPr>
                <w:rFonts w:ascii="Times New Roman" w:cs="Times New Roman" w:eastAsia="Times New Roman" w:hAnsi="Times New Roman"/>
                <w:sz w:val="20"/>
                <w:szCs w:val="20"/>
                <w:color w:val="auto"/>
              </w:rPr>
              <w:t>5.39</w:t>
            </w:r>
          </w:p>
        </w:tc>
        <w:tc>
          <w:tcPr>
            <w:tcW w:w="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24,000</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7.9</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4.98</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16,000</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4.98</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30"/>
        </w:trPr>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4.38</w:t>
            </w:r>
          </w:p>
        </w:tc>
        <w:tc>
          <w:tcPr>
            <w:tcW w:w="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50,000</w:t>
            </w: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3.8</w:t>
            </w:r>
          </w:p>
        </w:tc>
        <w:tc>
          <w:tcPr>
            <w:tcW w:w="18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4.38</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50,000</w:t>
            </w: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4.38</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30"/>
        </w:trPr>
        <w:tc>
          <w:tcPr>
            <w:tcW w:w="2460" w:type="dxa"/>
            <w:vAlign w:val="bottom"/>
          </w:tcPr>
          <w:p>
            <w:pPr>
              <w:spacing w:after="0"/>
              <w:rPr>
                <w:sz w:val="20"/>
                <w:szCs w:val="20"/>
                <w:color w:val="auto"/>
              </w:rPr>
            </w:pPr>
            <w:r>
              <w:rPr>
                <w:rFonts w:ascii="Times New Roman" w:cs="Times New Roman" w:eastAsia="Times New Roman" w:hAnsi="Times New Roman"/>
                <w:sz w:val="20"/>
                <w:szCs w:val="20"/>
                <w:color w:val="auto"/>
              </w:rPr>
              <w:t>4.21</w:t>
            </w:r>
          </w:p>
        </w:tc>
        <w:tc>
          <w:tcPr>
            <w:tcW w:w="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34,000</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8.7</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4.21</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15,111</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4.21</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28"/>
        </w:trPr>
        <w:tc>
          <w:tcPr>
            <w:tcW w:w="2460" w:type="dxa"/>
            <w:vAlign w:val="bottom"/>
            <w:shd w:val="clear" w:color="auto" w:fill="CCEEFF"/>
          </w:tcPr>
          <w:p>
            <w:pPr>
              <w:spacing w:after="0" w:line="228" w:lineRule="exact"/>
              <w:rPr>
                <w:sz w:val="20"/>
                <w:szCs w:val="20"/>
                <w:color w:val="auto"/>
              </w:rPr>
            </w:pPr>
            <w:r>
              <w:rPr>
                <w:rFonts w:ascii="Times New Roman" w:cs="Times New Roman" w:eastAsia="Times New Roman" w:hAnsi="Times New Roman"/>
                <w:sz w:val="20"/>
                <w:szCs w:val="20"/>
                <w:color w:val="auto"/>
              </w:rPr>
              <w:t>3.64</w:t>
            </w:r>
          </w:p>
        </w:tc>
        <w:tc>
          <w:tcPr>
            <w:tcW w:w="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line="228" w:lineRule="exact"/>
              <w:rPr>
                <w:sz w:val="20"/>
                <w:szCs w:val="20"/>
                <w:color w:val="auto"/>
              </w:rPr>
            </w:pPr>
            <w:r>
              <w:rPr>
                <w:rFonts w:ascii="Times New Roman" w:cs="Times New Roman" w:eastAsia="Times New Roman" w:hAnsi="Times New Roman"/>
                <w:sz w:val="20"/>
                <w:szCs w:val="20"/>
                <w:color w:val="auto"/>
              </w:rPr>
              <w:t>105,000</w:t>
            </w:r>
          </w:p>
        </w:tc>
        <w:tc>
          <w:tcPr>
            <w:tcW w:w="960" w:type="dxa"/>
            <w:vAlign w:val="bottom"/>
            <w:gridSpan w:val="3"/>
            <w:shd w:val="clear" w:color="auto" w:fill="CCEEFF"/>
          </w:tcPr>
          <w:p>
            <w:pPr>
              <w:jc w:val="right"/>
              <w:spacing w:after="0" w:line="228" w:lineRule="exact"/>
              <w:rPr>
                <w:sz w:val="20"/>
                <w:szCs w:val="20"/>
                <w:color w:val="auto"/>
              </w:rPr>
            </w:pPr>
            <w:r>
              <w:rPr>
                <w:rFonts w:ascii="Times New Roman" w:cs="Times New Roman" w:eastAsia="Times New Roman" w:hAnsi="Times New Roman"/>
                <w:sz w:val="20"/>
                <w:szCs w:val="20"/>
                <w:color w:val="auto"/>
              </w:rPr>
              <w:t>0.3</w:t>
            </w:r>
          </w:p>
        </w:tc>
        <w:tc>
          <w:tcPr>
            <w:tcW w:w="1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spacing w:after="0" w:line="228" w:lineRule="exact"/>
              <w:rPr>
                <w:sz w:val="20"/>
                <w:szCs w:val="20"/>
                <w:color w:val="auto"/>
              </w:rPr>
            </w:pPr>
            <w:r>
              <w:rPr>
                <w:rFonts w:ascii="Times New Roman" w:cs="Times New Roman" w:eastAsia="Times New Roman" w:hAnsi="Times New Roman"/>
                <w:sz w:val="20"/>
                <w:szCs w:val="20"/>
                <w:color w:val="auto"/>
              </w:rPr>
              <w:t>3.64</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line="228" w:lineRule="exact"/>
              <w:rPr>
                <w:sz w:val="20"/>
                <w:szCs w:val="20"/>
                <w:color w:val="auto"/>
              </w:rPr>
            </w:pPr>
            <w:r>
              <w:rPr>
                <w:rFonts w:ascii="Times New Roman" w:cs="Times New Roman" w:eastAsia="Times New Roman" w:hAnsi="Times New Roman"/>
                <w:sz w:val="20"/>
                <w:szCs w:val="20"/>
                <w:color w:val="auto"/>
              </w:rPr>
              <w:t>—</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line="228" w:lineRule="exact"/>
              <w:rPr>
                <w:sz w:val="20"/>
                <w:szCs w:val="20"/>
                <w:color w:val="auto"/>
              </w:rPr>
            </w:pPr>
            <w:r>
              <w:rPr>
                <w:rFonts w:ascii="Times New Roman" w:cs="Times New Roman" w:eastAsia="Times New Roman" w:hAnsi="Times New Roman"/>
                <w:sz w:val="20"/>
                <w:szCs w:val="20"/>
                <w:color w:val="auto"/>
              </w:rPr>
              <w:t>105,000</w:t>
            </w:r>
          </w:p>
        </w:tc>
        <w:tc>
          <w:tcPr>
            <w:tcW w:w="900" w:type="dxa"/>
            <w:vAlign w:val="bottom"/>
            <w:gridSpan w:val="3"/>
            <w:shd w:val="clear" w:color="auto" w:fill="CCEEFF"/>
          </w:tcPr>
          <w:p>
            <w:pPr>
              <w:jc w:val="right"/>
              <w:spacing w:after="0" w:line="228" w:lineRule="exact"/>
              <w:rPr>
                <w:sz w:val="20"/>
                <w:szCs w:val="20"/>
                <w:color w:val="auto"/>
              </w:rPr>
            </w:pPr>
            <w:r>
              <w:rPr>
                <w:rFonts w:ascii="Times New Roman" w:cs="Times New Roman" w:eastAsia="Times New Roman" w:hAnsi="Times New Roman"/>
                <w:sz w:val="20"/>
                <w:szCs w:val="20"/>
                <w:color w:val="auto"/>
              </w:rPr>
              <w:t>3.64</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line="228" w:lineRule="exact"/>
              <w:rPr>
                <w:sz w:val="20"/>
                <w:szCs w:val="20"/>
                <w:color w:val="auto"/>
              </w:rPr>
            </w:pPr>
            <w:r>
              <w:rPr>
                <w:rFonts w:ascii="Times New Roman" w:cs="Times New Roman" w:eastAsia="Times New Roman" w:hAnsi="Times New Roman"/>
                <w:sz w:val="20"/>
                <w:szCs w:val="20"/>
                <w:color w:val="auto"/>
              </w:rPr>
              <w:t>—</w:t>
            </w:r>
          </w:p>
        </w:tc>
      </w:tr>
      <w:tr>
        <w:trPr>
          <w:trHeight w:val="230"/>
        </w:trPr>
        <w:tc>
          <w:tcPr>
            <w:tcW w:w="2460" w:type="dxa"/>
            <w:vAlign w:val="bottom"/>
          </w:tcPr>
          <w:p>
            <w:pPr>
              <w:spacing w:after="0"/>
              <w:rPr>
                <w:sz w:val="20"/>
                <w:szCs w:val="20"/>
                <w:color w:val="auto"/>
              </w:rPr>
            </w:pPr>
            <w:r>
              <w:rPr>
                <w:rFonts w:ascii="Times New Roman" w:cs="Times New Roman" w:eastAsia="Times New Roman" w:hAnsi="Times New Roman"/>
                <w:sz w:val="20"/>
                <w:szCs w:val="20"/>
                <w:color w:val="auto"/>
              </w:rPr>
              <w:t>3.10</w:t>
            </w:r>
          </w:p>
        </w:tc>
        <w:tc>
          <w:tcPr>
            <w:tcW w:w="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55,000</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2.7</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3.10</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170,500</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55,000</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3.10</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170,500</w:t>
            </w:r>
          </w:p>
        </w:tc>
      </w:tr>
      <w:tr>
        <w:trPr>
          <w:trHeight w:val="230"/>
        </w:trPr>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2.76</w:t>
            </w:r>
          </w:p>
        </w:tc>
        <w:tc>
          <w:tcPr>
            <w:tcW w:w="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60,000</w:t>
            </w: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8.8</w:t>
            </w:r>
          </w:p>
        </w:tc>
        <w:tc>
          <w:tcPr>
            <w:tcW w:w="18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2.76</w:t>
            </w:r>
          </w:p>
        </w:tc>
        <w:tc>
          <w:tcPr>
            <w:tcW w:w="1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shd w:val="clear" w:color="auto" w:fill="CCEEFF"/>
              </w:rPr>
              <w:t>165,600</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21,667</w:t>
            </w: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2.76</w:t>
            </w:r>
          </w:p>
        </w:tc>
        <w:tc>
          <w:tcPr>
            <w:tcW w:w="1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59,800</w:t>
            </w:r>
          </w:p>
        </w:tc>
      </w:tr>
      <w:tr>
        <w:trPr>
          <w:trHeight w:val="230"/>
        </w:trPr>
        <w:tc>
          <w:tcPr>
            <w:tcW w:w="2460" w:type="dxa"/>
            <w:vAlign w:val="bottom"/>
          </w:tcPr>
          <w:p>
            <w:pPr>
              <w:spacing w:after="0"/>
              <w:rPr>
                <w:sz w:val="20"/>
                <w:szCs w:val="20"/>
                <w:color w:val="auto"/>
              </w:rPr>
            </w:pPr>
            <w:r>
              <w:rPr>
                <w:rFonts w:ascii="Times New Roman" w:cs="Times New Roman" w:eastAsia="Times New Roman" w:hAnsi="Times New Roman"/>
                <w:sz w:val="20"/>
                <w:szCs w:val="20"/>
                <w:color w:val="auto"/>
              </w:rPr>
              <w:t>2.65</w:t>
            </w:r>
          </w:p>
        </w:tc>
        <w:tc>
          <w:tcPr>
            <w:tcW w:w="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56,000</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10.0</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2.65</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148,400</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30"/>
        </w:trPr>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2.59</w:t>
            </w:r>
          </w:p>
        </w:tc>
        <w:tc>
          <w:tcPr>
            <w:tcW w:w="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71,080</w:t>
            </w: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1.3</w:t>
            </w:r>
          </w:p>
        </w:tc>
        <w:tc>
          <w:tcPr>
            <w:tcW w:w="18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2.59</w:t>
            </w:r>
          </w:p>
        </w:tc>
        <w:tc>
          <w:tcPr>
            <w:tcW w:w="1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shd w:val="clear" w:color="auto" w:fill="CCEEFF"/>
              </w:rPr>
              <w:t>184,097</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71,080</w:t>
            </w: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2.59</w:t>
            </w:r>
          </w:p>
        </w:tc>
        <w:tc>
          <w:tcPr>
            <w:tcW w:w="1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shd w:val="clear" w:color="auto" w:fill="CCEEFF"/>
              </w:rPr>
              <w:t>184,097</w:t>
            </w:r>
          </w:p>
        </w:tc>
      </w:tr>
      <w:tr>
        <w:trPr>
          <w:trHeight w:val="230"/>
        </w:trPr>
        <w:tc>
          <w:tcPr>
            <w:tcW w:w="2460" w:type="dxa"/>
            <w:vAlign w:val="bottom"/>
          </w:tcPr>
          <w:p>
            <w:pPr>
              <w:spacing w:after="0"/>
              <w:rPr>
                <w:sz w:val="20"/>
                <w:szCs w:val="20"/>
                <w:color w:val="auto"/>
              </w:rPr>
            </w:pPr>
            <w:r>
              <w:rPr>
                <w:rFonts w:ascii="Times New Roman" w:cs="Times New Roman" w:eastAsia="Times New Roman" w:hAnsi="Times New Roman"/>
                <w:sz w:val="20"/>
                <w:szCs w:val="20"/>
                <w:color w:val="auto"/>
              </w:rPr>
              <w:t>2.40</w:t>
            </w:r>
          </w:p>
        </w:tc>
        <w:tc>
          <w:tcPr>
            <w:tcW w:w="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201,000</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9.8</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2.40</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482,400</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28"/>
        </w:trPr>
        <w:tc>
          <w:tcPr>
            <w:tcW w:w="2460" w:type="dxa"/>
            <w:vAlign w:val="bottom"/>
            <w:shd w:val="clear" w:color="auto" w:fill="CCEEFF"/>
          </w:tcPr>
          <w:p>
            <w:pPr>
              <w:spacing w:after="0" w:line="228" w:lineRule="exact"/>
              <w:rPr>
                <w:sz w:val="20"/>
                <w:szCs w:val="20"/>
                <w:color w:val="auto"/>
              </w:rPr>
            </w:pPr>
            <w:r>
              <w:rPr>
                <w:rFonts w:ascii="Times New Roman" w:cs="Times New Roman" w:eastAsia="Times New Roman" w:hAnsi="Times New Roman"/>
                <w:sz w:val="20"/>
                <w:szCs w:val="20"/>
                <w:color w:val="auto"/>
              </w:rPr>
              <w:t>2.18</w:t>
            </w:r>
          </w:p>
        </w:tc>
        <w:tc>
          <w:tcPr>
            <w:tcW w:w="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line="228" w:lineRule="exact"/>
              <w:rPr>
                <w:sz w:val="20"/>
                <w:szCs w:val="20"/>
                <w:color w:val="auto"/>
              </w:rPr>
            </w:pPr>
            <w:r>
              <w:rPr>
                <w:rFonts w:ascii="Times New Roman" w:cs="Times New Roman" w:eastAsia="Times New Roman" w:hAnsi="Times New Roman"/>
                <w:sz w:val="20"/>
                <w:szCs w:val="20"/>
                <w:color w:val="auto"/>
              </w:rPr>
              <w:t>54,000</w:t>
            </w:r>
          </w:p>
        </w:tc>
        <w:tc>
          <w:tcPr>
            <w:tcW w:w="960" w:type="dxa"/>
            <w:vAlign w:val="bottom"/>
            <w:gridSpan w:val="3"/>
            <w:shd w:val="clear" w:color="auto" w:fill="CCEEFF"/>
          </w:tcPr>
          <w:p>
            <w:pPr>
              <w:jc w:val="right"/>
              <w:spacing w:after="0" w:line="228" w:lineRule="exact"/>
              <w:rPr>
                <w:sz w:val="20"/>
                <w:szCs w:val="20"/>
                <w:color w:val="auto"/>
              </w:rPr>
            </w:pPr>
            <w:r>
              <w:rPr>
                <w:rFonts w:ascii="Times New Roman" w:cs="Times New Roman" w:eastAsia="Times New Roman" w:hAnsi="Times New Roman"/>
                <w:sz w:val="20"/>
                <w:szCs w:val="20"/>
                <w:color w:val="auto"/>
              </w:rPr>
              <w:t>9.5</w:t>
            </w:r>
          </w:p>
        </w:tc>
        <w:tc>
          <w:tcPr>
            <w:tcW w:w="1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spacing w:after="0" w:line="228" w:lineRule="exact"/>
              <w:rPr>
                <w:sz w:val="20"/>
                <w:szCs w:val="20"/>
                <w:color w:val="auto"/>
              </w:rPr>
            </w:pPr>
            <w:r>
              <w:rPr>
                <w:rFonts w:ascii="Times New Roman" w:cs="Times New Roman" w:eastAsia="Times New Roman" w:hAnsi="Times New Roman"/>
                <w:sz w:val="20"/>
                <w:szCs w:val="20"/>
                <w:color w:val="auto"/>
              </w:rPr>
              <w:t>2.18</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line="228" w:lineRule="exact"/>
              <w:rPr>
                <w:sz w:val="20"/>
                <w:szCs w:val="20"/>
                <w:color w:val="auto"/>
              </w:rPr>
            </w:pPr>
            <w:r>
              <w:rPr>
                <w:rFonts w:ascii="Times New Roman" w:cs="Times New Roman" w:eastAsia="Times New Roman" w:hAnsi="Times New Roman"/>
                <w:sz w:val="20"/>
                <w:szCs w:val="20"/>
                <w:color w:val="auto"/>
                <w:shd w:val="clear" w:color="auto" w:fill="CCEEFF"/>
              </w:rPr>
              <w:t>117,720</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line="228" w:lineRule="exact"/>
              <w:rPr>
                <w:sz w:val="20"/>
                <w:szCs w:val="20"/>
                <w:color w:val="auto"/>
              </w:rPr>
            </w:pPr>
            <w:r>
              <w:rPr>
                <w:rFonts w:ascii="Times New Roman" w:cs="Times New Roman" w:eastAsia="Times New Roman" w:hAnsi="Times New Roman"/>
                <w:sz w:val="20"/>
                <w:szCs w:val="20"/>
                <w:color w:val="auto"/>
              </w:rPr>
              <w:t>10,500</w:t>
            </w:r>
          </w:p>
        </w:tc>
        <w:tc>
          <w:tcPr>
            <w:tcW w:w="1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spacing w:after="0" w:line="228" w:lineRule="exact"/>
              <w:rPr>
                <w:sz w:val="20"/>
                <w:szCs w:val="20"/>
                <w:color w:val="auto"/>
              </w:rPr>
            </w:pPr>
            <w:r>
              <w:rPr>
                <w:rFonts w:ascii="Times New Roman" w:cs="Times New Roman" w:eastAsia="Times New Roman" w:hAnsi="Times New Roman"/>
                <w:sz w:val="20"/>
                <w:szCs w:val="20"/>
                <w:color w:val="auto"/>
              </w:rPr>
              <w:t>2.18</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line="228" w:lineRule="exact"/>
              <w:rPr>
                <w:sz w:val="20"/>
                <w:szCs w:val="20"/>
                <w:color w:val="auto"/>
              </w:rPr>
            </w:pPr>
            <w:r>
              <w:rPr>
                <w:rFonts w:ascii="Times New Roman" w:cs="Times New Roman" w:eastAsia="Times New Roman" w:hAnsi="Times New Roman"/>
                <w:sz w:val="20"/>
                <w:szCs w:val="20"/>
                <w:color w:val="auto"/>
              </w:rPr>
              <w:t>22,890</w:t>
            </w:r>
          </w:p>
        </w:tc>
      </w:tr>
      <w:tr>
        <w:trPr>
          <w:trHeight w:val="230"/>
        </w:trPr>
        <w:tc>
          <w:tcPr>
            <w:tcW w:w="2460" w:type="dxa"/>
            <w:vAlign w:val="bottom"/>
          </w:tcPr>
          <w:p>
            <w:pPr>
              <w:spacing w:after="0"/>
              <w:rPr>
                <w:sz w:val="20"/>
                <w:szCs w:val="20"/>
                <w:color w:val="auto"/>
              </w:rPr>
            </w:pPr>
            <w:r>
              <w:rPr>
                <w:rFonts w:ascii="Times New Roman" w:cs="Times New Roman" w:eastAsia="Times New Roman" w:hAnsi="Times New Roman"/>
                <w:sz w:val="20"/>
                <w:szCs w:val="20"/>
                <w:color w:val="auto"/>
              </w:rPr>
              <w:t>2.12</w:t>
            </w:r>
          </w:p>
        </w:tc>
        <w:tc>
          <w:tcPr>
            <w:tcW w:w="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52,000</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9.8</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2.12</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110,240</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30"/>
        </w:trPr>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2.06</w:t>
            </w:r>
          </w:p>
        </w:tc>
        <w:tc>
          <w:tcPr>
            <w:tcW w:w="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172,000</w:t>
            </w: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9.3</w:t>
            </w:r>
          </w:p>
        </w:tc>
        <w:tc>
          <w:tcPr>
            <w:tcW w:w="18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2.06</w:t>
            </w:r>
          </w:p>
        </w:tc>
        <w:tc>
          <w:tcPr>
            <w:tcW w:w="1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shd w:val="clear" w:color="auto" w:fill="CCEEFF"/>
              </w:rPr>
              <w:t>353,761</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43,000</w:t>
            </w: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2.06</w:t>
            </w:r>
          </w:p>
        </w:tc>
        <w:tc>
          <w:tcPr>
            <w:tcW w:w="1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88,440</w:t>
            </w:r>
          </w:p>
        </w:tc>
      </w:tr>
      <w:tr>
        <w:trPr>
          <w:trHeight w:val="230"/>
        </w:trPr>
        <w:tc>
          <w:tcPr>
            <w:tcW w:w="2460" w:type="dxa"/>
            <w:vAlign w:val="bottom"/>
          </w:tcPr>
          <w:p>
            <w:pPr>
              <w:spacing w:after="0"/>
              <w:rPr>
                <w:sz w:val="20"/>
                <w:szCs w:val="20"/>
                <w:color w:val="auto"/>
              </w:rPr>
            </w:pPr>
            <w:r>
              <w:rPr>
                <w:rFonts w:ascii="Times New Roman" w:cs="Times New Roman" w:eastAsia="Times New Roman" w:hAnsi="Times New Roman"/>
                <w:sz w:val="20"/>
                <w:szCs w:val="20"/>
                <w:color w:val="auto"/>
              </w:rPr>
              <w:t>1.70</w:t>
            </w:r>
          </w:p>
        </w:tc>
        <w:tc>
          <w:tcPr>
            <w:tcW w:w="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873,000</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9.5</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1.70</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1,484,100</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145,500</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1.70</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247,350</w:t>
            </w:r>
          </w:p>
        </w:tc>
      </w:tr>
      <w:tr>
        <w:trPr>
          <w:trHeight w:val="250"/>
        </w:trPr>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1.38</w:t>
            </w:r>
          </w:p>
        </w:tc>
        <w:tc>
          <w:tcPr>
            <w:tcW w:w="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780,000</w:t>
            </w: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9.4</w:t>
            </w:r>
          </w:p>
        </w:tc>
        <w:tc>
          <w:tcPr>
            <w:tcW w:w="18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1.38</w:t>
            </w:r>
          </w:p>
        </w:tc>
        <w:tc>
          <w:tcPr>
            <w:tcW w:w="1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shd w:val="clear" w:color="auto" w:fill="CCEEFF"/>
              </w:rPr>
              <w:t>1,076,400</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173,333</w:t>
            </w: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1.38</w:t>
            </w:r>
          </w:p>
        </w:tc>
        <w:tc>
          <w:tcPr>
            <w:tcW w:w="1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shd w:val="clear" w:color="auto" w:fill="CCEEFF"/>
              </w:rPr>
              <w:t>239,200</w:t>
            </w:r>
          </w:p>
        </w:tc>
      </w:tr>
      <w:tr>
        <w:trPr>
          <w:trHeight w:val="209"/>
        </w:trPr>
        <w:tc>
          <w:tcPr>
            <w:tcW w:w="2460" w:type="dxa"/>
            <w:vAlign w:val="bottom"/>
            <w:tcBorders>
              <w:top w:val="single" w:sz="8" w:color="CCEEFF"/>
            </w:tcBorders>
          </w:tcPr>
          <w:p>
            <w:pPr>
              <w:spacing w:after="0" w:line="200" w:lineRule="exact"/>
              <w:rPr>
                <w:sz w:val="20"/>
                <w:szCs w:val="20"/>
                <w:color w:val="auto"/>
              </w:rPr>
            </w:pPr>
            <w:r>
              <w:rPr>
                <w:rFonts w:ascii="Times New Roman" w:cs="Times New Roman" w:eastAsia="Times New Roman" w:hAnsi="Times New Roman"/>
                <w:sz w:val="20"/>
                <w:szCs w:val="20"/>
                <w:color w:val="auto"/>
              </w:rPr>
              <w:t>1.38 to 11.09</w:t>
            </w:r>
          </w:p>
        </w:tc>
        <w:tc>
          <w:tcPr>
            <w:tcW w:w="20" w:type="dxa"/>
            <w:vAlign w:val="bottom"/>
            <w:tcBorders>
              <w:top w:val="single" w:sz="8" w:color="CCEEFF"/>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5,012,035</w:t>
            </w: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7.3</w:t>
            </w: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0.86</w:t>
            </w: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4,293,218</w:t>
            </w: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2,849,313</w:t>
            </w: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0.36</w:t>
            </w: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1,012,277</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232410</wp:posOffset>
                </wp:positionH>
                <wp:positionV relativeFrom="paragraph">
                  <wp:posOffset>107950</wp:posOffset>
                </wp:positionV>
                <wp:extent cx="1431925" cy="0"/>
                <wp:wrapNone/>
                <wp:docPr id="221" name="Shape 2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31925" cy="4763"/>
                        </a:xfrm>
                        <a:prstGeom prst="line">
                          <a:avLst/>
                        </a:prstGeom>
                        <a:solidFill>
                          <a:srgbClr val="FFFFFF"/>
                        </a:solidFill>
                        <a:ln w="12064">
                          <a:solidFill>
                            <a:srgbClr val="000000"/>
                          </a:solidFill>
                          <a:miter lim="800000"/>
                          <a:headEnd/>
                          <a:tailEnd/>
                        </a:ln>
                      </wps:spPr>
                      <wps:bodyPr/>
                    </wps:wsp>
                  </a:graphicData>
                </a:graphic>
              </wp:anchor>
            </w:drawing>
          </mc:Choice>
          <mc:Fallback>
            <w:pict>
              <v:line id="Shape 221" o:spid="_x0000_s12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3pt,8.5pt" to="131.05pt,8.5pt" o:allowincell="f" strokecolor="#000000" strokeweight="0.9499pt"/>
            </w:pict>
          </mc:Fallback>
        </mc:AlternateContent>
      </w:r>
    </w:p>
    <w:p>
      <w:pPr>
        <w:spacing w:after="0" w:line="210" w:lineRule="exact"/>
        <w:rPr>
          <w:sz w:val="20"/>
          <w:szCs w:val="20"/>
          <w:color w:val="auto"/>
        </w:rPr>
      </w:pPr>
    </w:p>
    <w:p>
      <w:pPr>
        <w:ind w:left="720" w:hanging="353"/>
        <w:spacing w:after="0"/>
        <w:tabs>
          <w:tab w:leader="none" w:pos="72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Fully vested options are all exercisable options.</w:t>
      </w:r>
    </w:p>
    <w:p>
      <w:pPr>
        <w:jc w:val="both"/>
        <w:ind w:left="720" w:hanging="353"/>
        <w:spacing w:after="0" w:line="241" w:lineRule="auto"/>
        <w:tabs>
          <w:tab w:leader="none" w:pos="72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The aggregate intrinsic value represents the total pre-tax intrinsic value, based on the Company’s closing stock price of $3.29 at December 31, 2025, which would have been received by the option holders had all in-the-money option holders exercised their options as of that date. If closing stock price is under exercise price, then the aggregate intrinsic value is not considered.</w:t>
      </w:r>
    </w:p>
    <w:p>
      <w:pPr>
        <w:sectPr>
          <w:pgSz w:w="11900" w:h="16838" w:orient="portrait"/>
          <w:cols w:equalWidth="0" w:num="1">
            <w:col w:w="9380"/>
          </w:cols>
          <w:pgMar w:left="1260" w:top="838" w:right="1266" w:bottom="72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F-41</w:t>
      </w:r>
    </w:p>
    <w:p>
      <w:pPr>
        <w:sectPr>
          <w:pgSz w:w="11900" w:h="16838" w:orient="portrait"/>
          <w:cols w:equalWidth="0" w:num="1">
            <w:col w:w="9380"/>
          </w:cols>
          <w:pgMar w:left="1260" w:top="838" w:right="1266" w:bottom="723" w:gutter="0" w:footer="0" w:header="0"/>
          <w:type w:val="continuous"/>
        </w:sectPr>
      </w:pPr>
    </w:p>
    <w:bookmarkStart w:id="96" w:name="page97"/>
    <w:bookmarkEnd w:id="96"/>
    <w:p>
      <w:pPr>
        <w:ind w:left="3180"/>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795655</wp:posOffset>
            </wp:positionH>
            <wp:positionV relativeFrom="page">
              <wp:posOffset>292735</wp:posOffset>
            </wp:positionV>
            <wp:extent cx="929005" cy="1149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123">
                      <a:extLst>
                        <a:ext uri="{28A0092B-C50C-407E-A947-70E740481C1C}"/>
                      </a:extLst>
                    </a:blip>
                    <a:srcRect/>
                    <a:stretch>
                      <a:fillRect/>
                    </a:stretch>
                  </pic:blipFill>
                  <pic:spPr bwMode="auto">
                    <a:xfrm>
                      <a:off x="0" y="0"/>
                      <a:ext cx="929005" cy="114935"/>
                    </a:xfrm>
                    <a:prstGeom prst="rect">
                      <a:avLst/>
                    </a:prstGeom>
                    <a:noFill/>
                  </pic:spPr>
                </pic:pic>
              </a:graphicData>
            </a:graphic>
          </wp:anchor>
        </w:drawing>
        <w:t>EDAP TMS S.A. AND SUBSIDIARIES</w:t>
      </w:r>
    </w:p>
    <w:p>
      <w:pPr>
        <w:ind w:left="2760"/>
        <w:spacing w:after="0"/>
        <w:rPr>
          <w:sz w:val="20"/>
          <w:szCs w:val="20"/>
          <w:color w:val="auto"/>
        </w:rPr>
      </w:pPr>
      <w:r>
        <w:rPr>
          <w:rFonts w:ascii="Times New Roman" w:cs="Times New Roman" w:eastAsia="Times New Roman" w:hAnsi="Times New Roman"/>
          <w:sz w:val="20"/>
          <w:szCs w:val="20"/>
          <w:b w:val="1"/>
          <w:bCs w:val="1"/>
          <w:color w:val="auto"/>
        </w:rPr>
        <w:t>CONSOLIDATED FINANCIAL STATEMENTS</w:t>
      </w:r>
    </w:p>
    <w:p>
      <w:pPr>
        <w:ind w:left="1500"/>
        <w:spacing w:after="0"/>
        <w:rPr>
          <w:sz w:val="20"/>
          <w:szCs w:val="20"/>
          <w:color w:val="auto"/>
        </w:rPr>
      </w:pPr>
      <w:r>
        <w:rPr>
          <w:rFonts w:ascii="Times New Roman" w:cs="Times New Roman" w:eastAsia="Times New Roman" w:hAnsi="Times New Roman"/>
          <w:sz w:val="20"/>
          <w:szCs w:val="20"/>
          <w:b w:val="1"/>
          <w:bCs w:val="1"/>
          <w:color w:val="auto"/>
        </w:rPr>
        <w:t>(In thousands of U.S. dollars unless otherwise noted, except per share data)</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A summary of the status of the non-vested options to purchase shares or to subscribe to new shares as of</w:t>
      </w:r>
    </w:p>
    <w:p>
      <w:pPr>
        <w:spacing w:after="0"/>
        <w:rPr>
          <w:sz w:val="20"/>
          <w:szCs w:val="20"/>
          <w:color w:val="auto"/>
        </w:rPr>
      </w:pPr>
      <w:r>
        <w:rPr>
          <w:rFonts w:ascii="Times New Roman" w:cs="Times New Roman" w:eastAsia="Times New Roman" w:hAnsi="Times New Roman"/>
          <w:sz w:val="20"/>
          <w:szCs w:val="20"/>
          <w:color w:val="auto"/>
        </w:rPr>
        <w:t>December 31, 2025, and changes during the two years ended December 31, 2025, is presented below:</w:t>
      </w:r>
    </w:p>
    <w:p>
      <w:pPr>
        <w:spacing w:after="0" w:line="252" w:lineRule="exact"/>
        <w:rPr>
          <w:sz w:val="20"/>
          <w:szCs w:val="20"/>
          <w:color w:val="auto"/>
        </w:rPr>
      </w:pPr>
    </w:p>
    <w:tbl>
      <w:tblPr>
        <w:tblLayout w:type="fixed"/>
        <w:tblInd w:w="940" w:type="dxa"/>
        <w:tblCellMar>
          <w:top w:w="0" w:type="dxa"/>
          <w:left w:w="0" w:type="dxa"/>
          <w:bottom w:w="0" w:type="dxa"/>
          <w:right w:w="0" w:type="dxa"/>
        </w:tblCellMar>
      </w:tblPr>
      <w:tr>
        <w:trPr>
          <w:trHeight w:val="187"/>
        </w:trPr>
        <w:tc>
          <w:tcPr>
            <w:tcW w:w="5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7"/>
              </w:rPr>
              <w:t>Weighted average</w:t>
            </w:r>
          </w:p>
        </w:tc>
      </w:tr>
      <w:tr>
        <w:trPr>
          <w:trHeight w:val="185"/>
        </w:trPr>
        <w:tc>
          <w:tcPr>
            <w:tcW w:w="5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Grant-Date Fair</w:t>
            </w:r>
          </w:p>
        </w:tc>
      </w:tr>
      <w:tr>
        <w:trPr>
          <w:trHeight w:val="212"/>
        </w:trPr>
        <w:tc>
          <w:tcPr>
            <w:tcW w:w="5200" w:type="dxa"/>
            <w:vAlign w:val="bottom"/>
          </w:tcPr>
          <w:p>
            <w:pPr>
              <w:spacing w:after="0"/>
              <w:rPr>
                <w:sz w:val="18"/>
                <w:szCs w:val="18"/>
                <w:color w:val="auto"/>
              </w:rPr>
            </w:pPr>
          </w:p>
        </w:tc>
        <w:tc>
          <w:tcPr>
            <w:tcW w:w="1080" w:type="dxa"/>
            <w:vAlign w:val="bottom"/>
            <w:gridSpan w:val="3"/>
          </w:tcPr>
          <w:p>
            <w:pPr>
              <w:ind w:left="180"/>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1220" w:type="dxa"/>
            <w:vAlign w:val="bottom"/>
          </w:tcPr>
          <w:p>
            <w:pPr>
              <w:jc w:val="right"/>
              <w:ind w:right="205"/>
              <w:spacing w:after="0"/>
              <w:rPr>
                <w:sz w:val="20"/>
                <w:szCs w:val="20"/>
                <w:color w:val="auto"/>
              </w:rPr>
            </w:pPr>
            <w:r>
              <w:rPr>
                <w:rFonts w:ascii="Times New Roman" w:cs="Times New Roman" w:eastAsia="Times New Roman" w:hAnsi="Times New Roman"/>
                <w:sz w:val="16"/>
                <w:szCs w:val="16"/>
                <w:b w:val="1"/>
                <w:bCs w:val="1"/>
                <w:color w:val="auto"/>
              </w:rPr>
              <w:t>Value ($)</w:t>
            </w:r>
          </w:p>
        </w:tc>
      </w:tr>
      <w:tr>
        <w:trPr>
          <w:trHeight w:val="230"/>
        </w:trPr>
        <w:tc>
          <w:tcPr>
            <w:tcW w:w="5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20"/>
                <w:szCs w:val="20"/>
                <w:color w:val="auto"/>
              </w:rPr>
              <w:t>Non-vested at December 31, 2023</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1,201,247</w:t>
            </w:r>
          </w:p>
        </w:tc>
        <w:tc>
          <w:tcPr>
            <w:tcW w:w="14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4.57</w:t>
            </w:r>
          </w:p>
        </w:tc>
      </w:tr>
      <w:tr>
        <w:trPr>
          <w:trHeight w:val="222"/>
        </w:trPr>
        <w:tc>
          <w:tcPr>
            <w:tcW w:w="520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Granted</w:t>
            </w:r>
          </w:p>
        </w:tc>
        <w:tc>
          <w:tcPr>
            <w:tcW w:w="92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599,000</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3.35</w:t>
            </w:r>
          </w:p>
        </w:tc>
      </w:tr>
      <w:tr>
        <w:trPr>
          <w:trHeight w:val="230"/>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Vested</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(461,526)</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4.77</w:t>
            </w:r>
          </w:p>
        </w:tc>
      </w:tr>
      <w:tr>
        <w:trPr>
          <w:trHeight w:val="239"/>
        </w:trPr>
        <w:tc>
          <w:tcPr>
            <w:tcW w:w="5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20"/>
                <w:szCs w:val="20"/>
                <w:color w:val="auto"/>
              </w:rPr>
              <w:t>Forfeited</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(437,916)</w:t>
            </w:r>
          </w:p>
        </w:tc>
        <w:tc>
          <w:tcPr>
            <w:tcW w:w="14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3.44</w:t>
            </w:r>
          </w:p>
        </w:tc>
      </w:tr>
      <w:tr>
        <w:trPr>
          <w:trHeight w:val="233"/>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Non-vested at December 31, 2024</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900,806</w:t>
            </w:r>
          </w:p>
        </w:tc>
        <w:tc>
          <w:tcPr>
            <w:tcW w:w="140" w:type="dxa"/>
            <w:vAlign w:val="bottom"/>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4.22</w:t>
            </w:r>
          </w:p>
        </w:tc>
      </w:tr>
      <w:tr>
        <w:trPr>
          <w:trHeight w:val="220"/>
        </w:trPr>
        <w:tc>
          <w:tcPr>
            <w:tcW w:w="520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Granted</w:t>
            </w:r>
          </w:p>
        </w:tc>
        <w:tc>
          <w:tcPr>
            <w:tcW w:w="92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2,215,000</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0.99</w:t>
            </w:r>
          </w:p>
        </w:tc>
      </w:tr>
      <w:tr>
        <w:trPr>
          <w:trHeight w:val="233"/>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Vested</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(821,083)</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2.93</w:t>
            </w:r>
          </w:p>
        </w:tc>
      </w:tr>
      <w:tr>
        <w:trPr>
          <w:trHeight w:val="239"/>
        </w:trPr>
        <w:tc>
          <w:tcPr>
            <w:tcW w:w="5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20"/>
                <w:szCs w:val="20"/>
                <w:color w:val="auto"/>
              </w:rPr>
              <w:t>Forfeited</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(132,000)</w:t>
            </w:r>
          </w:p>
        </w:tc>
        <w:tc>
          <w:tcPr>
            <w:tcW w:w="14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3.49</w:t>
            </w:r>
          </w:p>
        </w:tc>
      </w:tr>
      <w:tr>
        <w:trPr>
          <w:trHeight w:val="233"/>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Non-vested at December 31, 2025</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2,162,722</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0.60</w:t>
            </w:r>
          </w:p>
        </w:tc>
      </w:tr>
    </w:tbl>
    <w:p>
      <w:pPr>
        <w:spacing w:after="0" w:line="208" w:lineRule="exact"/>
        <w:rPr>
          <w:sz w:val="20"/>
          <w:szCs w:val="20"/>
          <w:color w:val="auto"/>
        </w:rPr>
      </w:pPr>
    </w:p>
    <w:p>
      <w:pPr>
        <w:jc w:val="both"/>
        <w:ind w:firstLine="720"/>
        <w:spacing w:after="0" w:line="279" w:lineRule="auto"/>
        <w:rPr>
          <w:sz w:val="20"/>
          <w:szCs w:val="20"/>
          <w:color w:val="auto"/>
        </w:rPr>
      </w:pPr>
      <w:r>
        <w:rPr>
          <w:rFonts w:ascii="Times New Roman" w:cs="Times New Roman" w:eastAsia="Times New Roman" w:hAnsi="Times New Roman"/>
          <w:sz w:val="20"/>
          <w:szCs w:val="20"/>
          <w:color w:val="auto"/>
        </w:rPr>
        <w:t>As of December 31, 2025, there were €1,455 thousand of total unrecognized compensation expenses related to non-vested stock-options, over a period of 2.9 years.</w:t>
      </w:r>
    </w:p>
    <w:p>
      <w:pPr>
        <w:spacing w:after="0" w:line="125" w:lineRule="exact"/>
        <w:rPr>
          <w:sz w:val="20"/>
          <w:szCs w:val="20"/>
          <w:color w:val="auto"/>
        </w:rPr>
      </w:pPr>
    </w:p>
    <w:p>
      <w:pPr>
        <w:jc w:val="both"/>
        <w:ind w:firstLine="720"/>
        <w:spacing w:after="0" w:line="259" w:lineRule="auto"/>
        <w:rPr>
          <w:sz w:val="20"/>
          <w:szCs w:val="20"/>
          <w:color w:val="auto"/>
        </w:rPr>
      </w:pPr>
      <w:r>
        <w:rPr>
          <w:rFonts w:ascii="Times New Roman" w:cs="Times New Roman" w:eastAsia="Times New Roman" w:hAnsi="Times New Roman"/>
          <w:sz w:val="20"/>
          <w:szCs w:val="20"/>
          <w:color w:val="auto"/>
        </w:rPr>
        <w:t>On June 30, 2022, the shareholders authorized the Board of Directors to grant up to 600,000 free shares. This new resolution superseded the June 30, 2021 resolution, cancelling the unused portion of the 2021 resolution. Conforming to this June 30, 2022 authorization, the Board of Directors granted RSU / free shares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6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Fair Value at</w:t>
            </w:r>
          </w:p>
        </w:tc>
      </w:tr>
      <w:tr>
        <w:trPr>
          <w:trHeight w:val="185"/>
        </w:trPr>
        <w:tc>
          <w:tcPr>
            <w:tcW w:w="1640" w:type="dxa"/>
            <w:vAlign w:val="bottom"/>
          </w:tcPr>
          <w:p>
            <w:pPr>
              <w:spacing w:after="0"/>
              <w:rPr>
                <w:sz w:val="16"/>
                <w:szCs w:val="16"/>
                <w:color w:val="auto"/>
              </w:rPr>
            </w:pPr>
          </w:p>
        </w:tc>
        <w:tc>
          <w:tcPr>
            <w:tcW w:w="860" w:type="dxa"/>
            <w:vAlign w:val="bottom"/>
          </w:tcPr>
          <w:p>
            <w:pPr>
              <w:jc w:val="right"/>
              <w:ind w:right="128"/>
              <w:spacing w:after="0"/>
              <w:rPr>
                <w:sz w:val="20"/>
                <w:szCs w:val="20"/>
                <w:color w:val="auto"/>
              </w:rPr>
            </w:pPr>
            <w:r>
              <w:rPr>
                <w:rFonts w:ascii="Times New Roman" w:cs="Times New Roman" w:eastAsia="Times New Roman" w:hAnsi="Times New Roman"/>
                <w:sz w:val="16"/>
                <w:szCs w:val="16"/>
                <w:b w:val="1"/>
                <w:bCs w:val="1"/>
                <w:color w:val="auto"/>
              </w:rPr>
              <w:t>RSU</w:t>
            </w:r>
          </w:p>
        </w:tc>
        <w:tc>
          <w:tcPr>
            <w:tcW w:w="150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Grant Date ($ in</w:t>
            </w:r>
          </w:p>
        </w:tc>
      </w:tr>
      <w:tr>
        <w:trPr>
          <w:trHeight w:val="203"/>
        </w:trPr>
        <w:tc>
          <w:tcPr>
            <w:tcW w:w="164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6"/>
                <w:szCs w:val="16"/>
                <w:b w:val="1"/>
                <w:bCs w:val="1"/>
                <w:color w:val="auto"/>
              </w:rPr>
              <w:t>Grant Date</w:t>
            </w: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6"/>
                <w:szCs w:val="16"/>
                <w:b w:val="1"/>
                <w:bCs w:val="1"/>
                <w:color w:val="auto"/>
              </w:rPr>
              <w:t>Granted</w:t>
            </w:r>
          </w:p>
        </w:tc>
        <w:tc>
          <w:tcPr>
            <w:tcW w:w="15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6"/>
                <w:szCs w:val="16"/>
                <w:b w:val="1"/>
                <w:bCs w:val="1"/>
                <w:color w:val="auto"/>
              </w:rPr>
              <w:t>Beneficiaries</w:t>
            </w:r>
          </w:p>
        </w:tc>
        <w:tc>
          <w:tcPr>
            <w:tcW w:w="204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6"/>
                <w:szCs w:val="16"/>
                <w:b w:val="1"/>
                <w:bCs w:val="1"/>
                <w:color w:val="auto"/>
              </w:rPr>
              <w:t>Vesting Terms</w:t>
            </w:r>
          </w:p>
        </w:tc>
        <w:tc>
          <w:tcPr>
            <w:tcW w:w="21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Expense Recognition Method</w:t>
            </w: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thousands)</w:t>
            </w:r>
          </w:p>
        </w:tc>
      </w:tr>
      <w:tr>
        <w:trPr>
          <w:trHeight w:val="200"/>
        </w:trPr>
        <w:tc>
          <w:tcPr>
            <w:tcW w:w="1640" w:type="dxa"/>
            <w:vAlign w:val="bottom"/>
            <w:shd w:val="clear" w:color="auto" w:fill="CCEEFF"/>
          </w:tcPr>
          <w:p>
            <w:pPr>
              <w:spacing w:after="0" w:line="200" w:lineRule="exact"/>
              <w:rPr>
                <w:sz w:val="20"/>
                <w:szCs w:val="20"/>
                <w:color w:val="auto"/>
              </w:rPr>
            </w:pPr>
            <w:r>
              <w:rPr>
                <w:rFonts w:ascii="Times New Roman" w:cs="Times New Roman" w:eastAsia="Times New Roman" w:hAnsi="Times New Roman"/>
                <w:sz w:val="20"/>
                <w:szCs w:val="20"/>
                <w:color w:val="auto"/>
              </w:rPr>
              <w:t>November 8, 2022</w:t>
            </w:r>
          </w:p>
        </w:tc>
        <w:tc>
          <w:tcPr>
            <w:tcW w:w="860" w:type="dxa"/>
            <w:vAlign w:val="bottom"/>
            <w:shd w:val="clear" w:color="auto" w:fill="CCEEFF"/>
          </w:tcPr>
          <w:p>
            <w:pPr>
              <w:jc w:val="right"/>
              <w:spacing w:after="0" w:line="200" w:lineRule="exact"/>
              <w:rPr>
                <w:sz w:val="20"/>
                <w:szCs w:val="20"/>
                <w:color w:val="auto"/>
              </w:rPr>
            </w:pPr>
            <w:r>
              <w:rPr>
                <w:rFonts w:ascii="Times New Roman" w:cs="Times New Roman" w:eastAsia="Times New Roman" w:hAnsi="Times New Roman"/>
                <w:sz w:val="20"/>
                <w:szCs w:val="20"/>
                <w:color w:val="auto"/>
              </w:rPr>
              <w:t>291,500</w:t>
            </w:r>
          </w:p>
        </w:tc>
        <w:tc>
          <w:tcPr>
            <w:tcW w:w="1500" w:type="dxa"/>
            <w:vAlign w:val="bottom"/>
            <w:shd w:val="clear" w:color="auto" w:fill="CCEEFF"/>
          </w:tcPr>
          <w:p>
            <w:pPr>
              <w:spacing w:after="0" w:line="200" w:lineRule="exact"/>
              <w:rPr>
                <w:sz w:val="20"/>
                <w:szCs w:val="20"/>
                <w:color w:val="auto"/>
              </w:rPr>
            </w:pPr>
            <w:r>
              <w:rPr>
                <w:rFonts w:ascii="Times New Roman" w:cs="Times New Roman" w:eastAsia="Times New Roman" w:hAnsi="Times New Roman"/>
                <w:sz w:val="20"/>
                <w:szCs w:val="20"/>
                <w:color w:val="auto"/>
                <w:w w:val="99"/>
                <w:shd w:val="clear" w:color="auto" w:fill="CCEEFF"/>
              </w:rPr>
              <w:t>Certain employees</w:t>
            </w:r>
          </w:p>
        </w:tc>
        <w:tc>
          <w:tcPr>
            <w:tcW w:w="2040" w:type="dxa"/>
            <w:vAlign w:val="bottom"/>
            <w:shd w:val="clear" w:color="auto" w:fill="CCEEFF"/>
          </w:tcPr>
          <w:p>
            <w:pPr>
              <w:spacing w:after="0" w:line="200" w:lineRule="exact"/>
              <w:rPr>
                <w:sz w:val="20"/>
                <w:szCs w:val="20"/>
                <w:color w:val="auto"/>
              </w:rPr>
            </w:pPr>
            <w:r>
              <w:rPr>
                <w:rFonts w:ascii="Times New Roman" w:cs="Times New Roman" w:eastAsia="Times New Roman" w:hAnsi="Times New Roman"/>
                <w:sz w:val="20"/>
                <w:szCs w:val="20"/>
                <w:color w:val="auto"/>
              </w:rPr>
              <w:t>Vest ratably over three</w:t>
            </w:r>
          </w:p>
        </w:tc>
        <w:tc>
          <w:tcPr>
            <w:tcW w:w="2160" w:type="dxa"/>
            <w:vAlign w:val="bottom"/>
            <w:shd w:val="clear" w:color="auto" w:fill="CCEEFF"/>
          </w:tcPr>
          <w:p>
            <w:pPr>
              <w:spacing w:after="0" w:line="200" w:lineRule="exact"/>
              <w:rPr>
                <w:sz w:val="20"/>
                <w:szCs w:val="20"/>
                <w:color w:val="auto"/>
              </w:rPr>
            </w:pPr>
            <w:r>
              <w:rPr>
                <w:rFonts w:ascii="Times New Roman" w:cs="Times New Roman" w:eastAsia="Times New Roman" w:hAnsi="Times New Roman"/>
                <w:sz w:val="20"/>
                <w:szCs w:val="20"/>
                <w:color w:val="auto"/>
              </w:rPr>
              <w:t>As operating expenses</w:t>
            </w:r>
          </w:p>
        </w:tc>
        <w:tc>
          <w:tcPr>
            <w:tcW w:w="1180" w:type="dxa"/>
            <w:vAlign w:val="bottom"/>
            <w:shd w:val="clear" w:color="auto" w:fill="CCEEFF"/>
          </w:tcPr>
          <w:p>
            <w:pPr>
              <w:jc w:val="right"/>
              <w:spacing w:after="0" w:line="200" w:lineRule="exact"/>
              <w:rPr>
                <w:sz w:val="20"/>
                <w:szCs w:val="20"/>
                <w:color w:val="auto"/>
              </w:rPr>
            </w:pPr>
            <w:r>
              <w:rPr>
                <w:rFonts w:ascii="Times New Roman" w:cs="Times New Roman" w:eastAsia="Times New Roman" w:hAnsi="Times New Roman"/>
                <w:sz w:val="20"/>
                <w:szCs w:val="20"/>
                <w:color w:val="auto"/>
              </w:rPr>
              <w:t>3,008</w:t>
            </w:r>
          </w:p>
        </w:tc>
      </w:tr>
      <w:tr>
        <w:trPr>
          <w:trHeight w:val="230"/>
        </w:trPr>
        <w:tc>
          <w:tcPr>
            <w:tcW w:w="16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years beginning six</w:t>
            </w:r>
          </w:p>
        </w:tc>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over 36 months using</w:t>
            </w:r>
          </w:p>
        </w:tc>
        <w:tc>
          <w:tcPr>
            <w:tcW w:w="1180" w:type="dxa"/>
            <w:vAlign w:val="bottom"/>
            <w:shd w:val="clear" w:color="auto" w:fill="CCEEFF"/>
          </w:tcPr>
          <w:p>
            <w:pPr>
              <w:spacing w:after="0"/>
              <w:rPr>
                <w:sz w:val="20"/>
                <w:szCs w:val="20"/>
                <w:color w:val="auto"/>
              </w:rPr>
            </w:pPr>
          </w:p>
        </w:tc>
      </w:tr>
      <w:tr>
        <w:trPr>
          <w:trHeight w:val="230"/>
        </w:trPr>
        <w:tc>
          <w:tcPr>
            <w:tcW w:w="16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months after the date of</w:t>
            </w:r>
          </w:p>
        </w:tc>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graded vesting method</w:t>
            </w:r>
          </w:p>
        </w:tc>
        <w:tc>
          <w:tcPr>
            <w:tcW w:w="1180" w:type="dxa"/>
            <w:vAlign w:val="bottom"/>
            <w:shd w:val="clear" w:color="auto" w:fill="CCEEFF"/>
          </w:tcPr>
          <w:p>
            <w:pPr>
              <w:spacing w:after="0"/>
              <w:rPr>
                <w:sz w:val="20"/>
                <w:szCs w:val="20"/>
                <w:color w:val="auto"/>
              </w:rPr>
            </w:pPr>
          </w:p>
        </w:tc>
      </w:tr>
      <w:tr>
        <w:trPr>
          <w:trHeight w:val="250"/>
        </w:trPr>
        <w:tc>
          <w:tcPr>
            <w:tcW w:w="164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grant</w:t>
            </w:r>
          </w:p>
        </w:tc>
        <w:tc>
          <w:tcPr>
            <w:tcW w:w="21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r>
      <w:tr>
        <w:trPr>
          <w:trHeight w:val="210"/>
        </w:trPr>
        <w:tc>
          <w:tcPr>
            <w:tcW w:w="1640" w:type="dxa"/>
            <w:vAlign w:val="bottom"/>
          </w:tcPr>
          <w:p>
            <w:pPr>
              <w:spacing w:after="0" w:line="210" w:lineRule="exact"/>
              <w:rPr>
                <w:sz w:val="20"/>
                <w:szCs w:val="20"/>
                <w:color w:val="auto"/>
              </w:rPr>
            </w:pPr>
            <w:r>
              <w:rPr>
                <w:rFonts w:ascii="Times New Roman" w:cs="Times New Roman" w:eastAsia="Times New Roman" w:hAnsi="Times New Roman"/>
                <w:sz w:val="20"/>
                <w:szCs w:val="20"/>
                <w:color w:val="auto"/>
              </w:rPr>
              <w:t>March 29, 2023</w:t>
            </w:r>
          </w:p>
        </w:tc>
        <w:tc>
          <w:tcPr>
            <w:tcW w:w="860" w:type="dxa"/>
            <w:vAlign w:val="bottom"/>
          </w:tcPr>
          <w:p>
            <w:pPr>
              <w:jc w:val="right"/>
              <w:spacing w:after="0" w:line="210" w:lineRule="exact"/>
              <w:rPr>
                <w:sz w:val="20"/>
                <w:szCs w:val="20"/>
                <w:color w:val="auto"/>
              </w:rPr>
            </w:pPr>
            <w:r>
              <w:rPr>
                <w:rFonts w:ascii="Times New Roman" w:cs="Times New Roman" w:eastAsia="Times New Roman" w:hAnsi="Times New Roman"/>
                <w:sz w:val="20"/>
                <w:szCs w:val="20"/>
                <w:color w:val="auto"/>
              </w:rPr>
              <w:t>150,000</w:t>
            </w:r>
          </w:p>
        </w:tc>
        <w:tc>
          <w:tcPr>
            <w:tcW w:w="1500" w:type="dxa"/>
            <w:vAlign w:val="bottom"/>
          </w:tcPr>
          <w:p>
            <w:pPr>
              <w:spacing w:after="0" w:line="210" w:lineRule="exact"/>
              <w:rPr>
                <w:sz w:val="20"/>
                <w:szCs w:val="20"/>
                <w:color w:val="auto"/>
              </w:rPr>
            </w:pPr>
            <w:r>
              <w:rPr>
                <w:rFonts w:ascii="Times New Roman" w:cs="Times New Roman" w:eastAsia="Times New Roman" w:hAnsi="Times New Roman"/>
                <w:sz w:val="20"/>
                <w:szCs w:val="20"/>
                <w:color w:val="auto"/>
              </w:rPr>
              <w:t>CEO of the</w:t>
            </w:r>
          </w:p>
        </w:tc>
        <w:tc>
          <w:tcPr>
            <w:tcW w:w="2040" w:type="dxa"/>
            <w:vAlign w:val="bottom"/>
          </w:tcPr>
          <w:p>
            <w:pPr>
              <w:spacing w:after="0" w:line="210" w:lineRule="exact"/>
              <w:rPr>
                <w:sz w:val="20"/>
                <w:szCs w:val="20"/>
                <w:color w:val="auto"/>
              </w:rPr>
            </w:pPr>
            <w:r>
              <w:rPr>
                <w:rFonts w:ascii="Times New Roman" w:cs="Times New Roman" w:eastAsia="Times New Roman" w:hAnsi="Times New Roman"/>
                <w:sz w:val="20"/>
                <w:szCs w:val="20"/>
                <w:color w:val="auto"/>
              </w:rPr>
              <w:t>Will be definitely</w:t>
            </w:r>
          </w:p>
        </w:tc>
        <w:tc>
          <w:tcPr>
            <w:tcW w:w="2160" w:type="dxa"/>
            <w:vAlign w:val="bottom"/>
          </w:tcPr>
          <w:p>
            <w:pPr>
              <w:spacing w:after="0" w:line="210" w:lineRule="exact"/>
              <w:rPr>
                <w:sz w:val="20"/>
                <w:szCs w:val="20"/>
                <w:color w:val="auto"/>
              </w:rPr>
            </w:pPr>
            <w:r>
              <w:rPr>
                <w:rFonts w:ascii="Times New Roman" w:cs="Times New Roman" w:eastAsia="Times New Roman" w:hAnsi="Times New Roman"/>
                <w:sz w:val="20"/>
                <w:szCs w:val="20"/>
                <w:color w:val="auto"/>
              </w:rPr>
              <w:t>As operating expenses</w:t>
            </w:r>
          </w:p>
        </w:tc>
        <w:tc>
          <w:tcPr>
            <w:tcW w:w="1180" w:type="dxa"/>
            <w:vAlign w:val="bottom"/>
          </w:tcPr>
          <w:p>
            <w:pPr>
              <w:jc w:val="right"/>
              <w:spacing w:after="0" w:line="210" w:lineRule="exact"/>
              <w:rPr>
                <w:sz w:val="20"/>
                <w:szCs w:val="20"/>
                <w:color w:val="auto"/>
              </w:rPr>
            </w:pPr>
            <w:r>
              <w:rPr>
                <w:rFonts w:ascii="Times New Roman" w:cs="Times New Roman" w:eastAsia="Times New Roman" w:hAnsi="Times New Roman"/>
                <w:sz w:val="20"/>
                <w:szCs w:val="20"/>
                <w:color w:val="auto"/>
              </w:rPr>
              <w:t>1,673</w:t>
            </w:r>
          </w:p>
        </w:tc>
      </w:tr>
      <w:tr>
        <w:trPr>
          <w:trHeight w:val="228"/>
        </w:trPr>
        <w:tc>
          <w:tcPr>
            <w:tcW w:w="16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500" w:type="dxa"/>
            <w:vAlign w:val="bottom"/>
          </w:tcPr>
          <w:p>
            <w:pPr>
              <w:spacing w:after="0" w:line="228" w:lineRule="exact"/>
              <w:rPr>
                <w:sz w:val="20"/>
                <w:szCs w:val="20"/>
                <w:color w:val="auto"/>
              </w:rPr>
            </w:pPr>
            <w:r>
              <w:rPr>
                <w:rFonts w:ascii="Times New Roman" w:cs="Times New Roman" w:eastAsia="Times New Roman" w:hAnsi="Times New Roman"/>
                <w:sz w:val="20"/>
                <w:szCs w:val="20"/>
                <w:color w:val="auto"/>
              </w:rPr>
              <w:t>company</w:t>
            </w:r>
          </w:p>
        </w:tc>
        <w:tc>
          <w:tcPr>
            <w:tcW w:w="4200" w:type="dxa"/>
            <w:vAlign w:val="bottom"/>
            <w:gridSpan w:val="2"/>
          </w:tcPr>
          <w:p>
            <w:pPr>
              <w:spacing w:after="0" w:line="228" w:lineRule="exact"/>
              <w:rPr>
                <w:sz w:val="20"/>
                <w:szCs w:val="20"/>
                <w:color w:val="auto"/>
              </w:rPr>
            </w:pPr>
            <w:r>
              <w:rPr>
                <w:rFonts w:ascii="Times New Roman" w:cs="Times New Roman" w:eastAsia="Times New Roman" w:hAnsi="Times New Roman"/>
                <w:sz w:val="20"/>
                <w:szCs w:val="20"/>
                <w:color w:val="auto"/>
              </w:rPr>
              <w:t>acquired 12 months after upon allocation</w:t>
            </w:r>
          </w:p>
        </w:tc>
        <w:tc>
          <w:tcPr>
            <w:tcW w:w="1180" w:type="dxa"/>
            <w:vAlign w:val="bottom"/>
          </w:tcPr>
          <w:p>
            <w:pPr>
              <w:spacing w:after="0"/>
              <w:rPr>
                <w:sz w:val="19"/>
                <w:szCs w:val="19"/>
                <w:color w:val="auto"/>
              </w:rPr>
            </w:pPr>
          </w:p>
        </w:tc>
      </w:tr>
      <w:tr>
        <w:trPr>
          <w:trHeight w:val="230"/>
        </w:trPr>
        <w:tc>
          <w:tcPr>
            <w:tcW w:w="16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040" w:type="dxa"/>
            <w:vAlign w:val="bottom"/>
          </w:tcPr>
          <w:p>
            <w:pPr>
              <w:spacing w:after="0"/>
              <w:rPr>
                <w:sz w:val="20"/>
                <w:szCs w:val="20"/>
                <w:color w:val="auto"/>
              </w:rPr>
            </w:pPr>
            <w:r>
              <w:rPr>
                <w:rFonts w:ascii="Times New Roman" w:cs="Times New Roman" w:eastAsia="Times New Roman" w:hAnsi="Times New Roman"/>
                <w:sz w:val="20"/>
                <w:szCs w:val="20"/>
                <w:color w:val="auto"/>
              </w:rPr>
              <w:t>the date of grant</w:t>
            </w:r>
          </w:p>
        </w:tc>
        <w:tc>
          <w:tcPr>
            <w:tcW w:w="216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30"/>
        </w:trPr>
        <w:tc>
          <w:tcPr>
            <w:tcW w:w="16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040" w:type="dxa"/>
            <w:vAlign w:val="bottom"/>
          </w:tcPr>
          <w:p>
            <w:pPr>
              <w:spacing w:after="0"/>
              <w:rPr>
                <w:sz w:val="20"/>
                <w:szCs w:val="20"/>
                <w:color w:val="auto"/>
              </w:rPr>
            </w:pPr>
            <w:r>
              <w:rPr>
                <w:rFonts w:ascii="Times New Roman" w:cs="Times New Roman" w:eastAsia="Times New Roman" w:hAnsi="Times New Roman"/>
                <w:sz w:val="20"/>
                <w:szCs w:val="20"/>
                <w:color w:val="auto"/>
              </w:rPr>
              <w:t>followed by a 12-months</w:t>
            </w:r>
          </w:p>
        </w:tc>
        <w:tc>
          <w:tcPr>
            <w:tcW w:w="216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50"/>
        </w:trPr>
        <w:tc>
          <w:tcPr>
            <w:tcW w:w="16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2040" w:type="dxa"/>
            <w:vAlign w:val="bottom"/>
          </w:tcPr>
          <w:p>
            <w:pPr>
              <w:spacing w:after="0"/>
              <w:rPr>
                <w:sz w:val="20"/>
                <w:szCs w:val="20"/>
                <w:color w:val="auto"/>
              </w:rPr>
            </w:pPr>
            <w:r>
              <w:rPr>
                <w:rFonts w:ascii="Times New Roman" w:cs="Times New Roman" w:eastAsia="Times New Roman" w:hAnsi="Times New Roman"/>
                <w:sz w:val="20"/>
                <w:szCs w:val="20"/>
                <w:color w:val="auto"/>
              </w:rPr>
              <w:t>conservation period</w:t>
            </w:r>
          </w:p>
        </w:tc>
        <w:tc>
          <w:tcPr>
            <w:tcW w:w="216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10"/>
        </w:trPr>
        <w:tc>
          <w:tcPr>
            <w:tcW w:w="1640" w:type="dxa"/>
            <w:vAlign w:val="bottom"/>
            <w:shd w:val="clear" w:color="auto" w:fill="CCEEFF"/>
          </w:tcPr>
          <w:p>
            <w:pPr>
              <w:spacing w:after="0" w:line="210" w:lineRule="exact"/>
              <w:rPr>
                <w:sz w:val="20"/>
                <w:szCs w:val="20"/>
                <w:color w:val="auto"/>
              </w:rPr>
            </w:pPr>
            <w:r>
              <w:rPr>
                <w:rFonts w:ascii="Times New Roman" w:cs="Times New Roman" w:eastAsia="Times New Roman" w:hAnsi="Times New Roman"/>
                <w:sz w:val="20"/>
                <w:szCs w:val="20"/>
                <w:color w:val="auto"/>
              </w:rPr>
              <w:t>May 2, 2023</w:t>
            </w:r>
          </w:p>
        </w:tc>
        <w:tc>
          <w:tcPr>
            <w:tcW w:w="860" w:type="dxa"/>
            <w:vAlign w:val="bottom"/>
            <w:shd w:val="clear" w:color="auto" w:fill="CCEEFF"/>
          </w:tcPr>
          <w:p>
            <w:pPr>
              <w:jc w:val="right"/>
              <w:spacing w:after="0" w:line="210" w:lineRule="exact"/>
              <w:rPr>
                <w:sz w:val="20"/>
                <w:szCs w:val="20"/>
                <w:color w:val="auto"/>
              </w:rPr>
            </w:pPr>
            <w:r>
              <w:rPr>
                <w:rFonts w:ascii="Times New Roman" w:cs="Times New Roman" w:eastAsia="Times New Roman" w:hAnsi="Times New Roman"/>
                <w:sz w:val="20"/>
                <w:szCs w:val="20"/>
                <w:color w:val="auto"/>
              </w:rPr>
              <w:t>50,000</w:t>
            </w:r>
          </w:p>
        </w:tc>
        <w:tc>
          <w:tcPr>
            <w:tcW w:w="1500" w:type="dxa"/>
            <w:vAlign w:val="bottom"/>
            <w:shd w:val="clear" w:color="auto" w:fill="CCEEFF"/>
          </w:tcPr>
          <w:p>
            <w:pPr>
              <w:spacing w:after="0" w:line="210" w:lineRule="exact"/>
              <w:rPr>
                <w:sz w:val="20"/>
                <w:szCs w:val="20"/>
                <w:color w:val="auto"/>
              </w:rPr>
            </w:pPr>
            <w:r>
              <w:rPr>
                <w:rFonts w:ascii="Times New Roman" w:cs="Times New Roman" w:eastAsia="Times New Roman" w:hAnsi="Times New Roman"/>
                <w:sz w:val="20"/>
                <w:szCs w:val="20"/>
                <w:color w:val="auto"/>
              </w:rPr>
              <w:t>President of</w:t>
            </w:r>
          </w:p>
        </w:tc>
        <w:tc>
          <w:tcPr>
            <w:tcW w:w="2040" w:type="dxa"/>
            <w:vAlign w:val="bottom"/>
            <w:shd w:val="clear" w:color="auto" w:fill="CCEEFF"/>
          </w:tcPr>
          <w:p>
            <w:pPr>
              <w:spacing w:after="0" w:line="210" w:lineRule="exact"/>
              <w:rPr>
                <w:sz w:val="20"/>
                <w:szCs w:val="20"/>
                <w:color w:val="auto"/>
              </w:rPr>
            </w:pPr>
            <w:r>
              <w:rPr>
                <w:rFonts w:ascii="Times New Roman" w:cs="Times New Roman" w:eastAsia="Times New Roman" w:hAnsi="Times New Roman"/>
                <w:sz w:val="20"/>
                <w:szCs w:val="20"/>
                <w:color w:val="auto"/>
              </w:rPr>
              <w:t>Vest ratably over three</w:t>
            </w:r>
          </w:p>
        </w:tc>
        <w:tc>
          <w:tcPr>
            <w:tcW w:w="2160" w:type="dxa"/>
            <w:vAlign w:val="bottom"/>
            <w:shd w:val="clear" w:color="auto" w:fill="CCEEFF"/>
          </w:tcPr>
          <w:p>
            <w:pPr>
              <w:spacing w:after="0" w:line="210" w:lineRule="exact"/>
              <w:rPr>
                <w:sz w:val="20"/>
                <w:szCs w:val="20"/>
                <w:color w:val="auto"/>
              </w:rPr>
            </w:pPr>
            <w:r>
              <w:rPr>
                <w:rFonts w:ascii="Times New Roman" w:cs="Times New Roman" w:eastAsia="Times New Roman" w:hAnsi="Times New Roman"/>
                <w:sz w:val="20"/>
                <w:szCs w:val="20"/>
                <w:color w:val="auto"/>
              </w:rPr>
              <w:t>As operating expenses</w:t>
            </w:r>
          </w:p>
        </w:tc>
        <w:tc>
          <w:tcPr>
            <w:tcW w:w="1180" w:type="dxa"/>
            <w:vAlign w:val="bottom"/>
            <w:shd w:val="clear" w:color="auto" w:fill="CCEEFF"/>
          </w:tcPr>
          <w:p>
            <w:pPr>
              <w:jc w:val="right"/>
              <w:spacing w:after="0" w:line="210" w:lineRule="exact"/>
              <w:rPr>
                <w:sz w:val="20"/>
                <w:szCs w:val="20"/>
                <w:color w:val="auto"/>
              </w:rPr>
            </w:pPr>
            <w:r>
              <w:rPr>
                <w:rFonts w:ascii="Times New Roman" w:cs="Times New Roman" w:eastAsia="Times New Roman" w:hAnsi="Times New Roman"/>
                <w:sz w:val="20"/>
                <w:szCs w:val="20"/>
                <w:color w:val="auto"/>
              </w:rPr>
              <w:t>557</w:t>
            </w:r>
          </w:p>
        </w:tc>
      </w:tr>
      <w:tr>
        <w:trPr>
          <w:trHeight w:val="230"/>
        </w:trPr>
        <w:tc>
          <w:tcPr>
            <w:tcW w:w="16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EDAP TMS</w:t>
            </w:r>
          </w:p>
        </w:tc>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years beginning six</w:t>
            </w:r>
          </w:p>
        </w:tc>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over 36 months using</w:t>
            </w:r>
          </w:p>
        </w:tc>
        <w:tc>
          <w:tcPr>
            <w:tcW w:w="1180" w:type="dxa"/>
            <w:vAlign w:val="bottom"/>
            <w:shd w:val="clear" w:color="auto" w:fill="CCEEFF"/>
          </w:tcPr>
          <w:p>
            <w:pPr>
              <w:spacing w:after="0"/>
              <w:rPr>
                <w:sz w:val="20"/>
                <w:szCs w:val="20"/>
                <w:color w:val="auto"/>
              </w:rPr>
            </w:pPr>
          </w:p>
        </w:tc>
      </w:tr>
      <w:tr>
        <w:trPr>
          <w:trHeight w:val="230"/>
        </w:trPr>
        <w:tc>
          <w:tcPr>
            <w:tcW w:w="16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France SAS</w:t>
            </w:r>
          </w:p>
        </w:tc>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months after the date of</w:t>
            </w:r>
          </w:p>
        </w:tc>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graded vesting method</w:t>
            </w:r>
          </w:p>
        </w:tc>
        <w:tc>
          <w:tcPr>
            <w:tcW w:w="1180" w:type="dxa"/>
            <w:vAlign w:val="bottom"/>
            <w:shd w:val="clear" w:color="auto" w:fill="CCEEFF"/>
          </w:tcPr>
          <w:p>
            <w:pPr>
              <w:spacing w:after="0"/>
              <w:rPr>
                <w:sz w:val="20"/>
                <w:szCs w:val="20"/>
                <w:color w:val="auto"/>
              </w:rPr>
            </w:pPr>
          </w:p>
        </w:tc>
      </w:tr>
      <w:tr>
        <w:trPr>
          <w:trHeight w:val="250"/>
        </w:trPr>
        <w:tc>
          <w:tcPr>
            <w:tcW w:w="164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grant</w:t>
            </w:r>
          </w:p>
        </w:tc>
        <w:tc>
          <w:tcPr>
            <w:tcW w:w="21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r>
    </w:tbl>
    <w:p>
      <w:pPr>
        <w:spacing w:after="0" w:line="21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Under the 2022 Plan, 8,334 free shares are outstanding at December 31, 2025.</w:t>
      </w:r>
    </w:p>
    <w:p>
      <w:pPr>
        <w:sectPr>
          <w:pgSz w:w="11900" w:h="16838" w:orient="portrait"/>
          <w:cols w:equalWidth="0" w:num="1">
            <w:col w:w="9380"/>
          </w:cols>
          <w:pgMar w:left="1260" w:top="838" w:right="1266" w:bottom="72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F-42</w:t>
      </w:r>
    </w:p>
    <w:p>
      <w:pPr>
        <w:sectPr>
          <w:pgSz w:w="11900" w:h="16838" w:orient="portrait"/>
          <w:cols w:equalWidth="0" w:num="1">
            <w:col w:w="9380"/>
          </w:cols>
          <w:pgMar w:left="1260" w:top="838" w:right="1266" w:bottom="723" w:gutter="0" w:footer="0" w:header="0"/>
          <w:type w:val="continuous"/>
        </w:sectPr>
      </w:pPr>
    </w:p>
    <w:bookmarkStart w:id="97" w:name="page98"/>
    <w:bookmarkEnd w:id="97"/>
    <w:p>
      <w:pPr>
        <w:ind w:left="3180"/>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795655</wp:posOffset>
            </wp:positionH>
            <wp:positionV relativeFrom="page">
              <wp:posOffset>292735</wp:posOffset>
            </wp:positionV>
            <wp:extent cx="929005" cy="1149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124">
                      <a:extLst>
                        <a:ext uri="{28A0092B-C50C-407E-A947-70E740481C1C}"/>
                      </a:extLst>
                    </a:blip>
                    <a:srcRect/>
                    <a:stretch>
                      <a:fillRect/>
                    </a:stretch>
                  </pic:blipFill>
                  <pic:spPr bwMode="auto">
                    <a:xfrm>
                      <a:off x="0" y="0"/>
                      <a:ext cx="929005" cy="114935"/>
                    </a:xfrm>
                    <a:prstGeom prst="rect">
                      <a:avLst/>
                    </a:prstGeom>
                    <a:noFill/>
                  </pic:spPr>
                </pic:pic>
              </a:graphicData>
            </a:graphic>
          </wp:anchor>
        </w:drawing>
        <w:t>EDAP TMS S.A. AND SUBSIDIARIES</w:t>
      </w:r>
    </w:p>
    <w:p>
      <w:pPr>
        <w:ind w:left="2760"/>
        <w:spacing w:after="0"/>
        <w:rPr>
          <w:sz w:val="20"/>
          <w:szCs w:val="20"/>
          <w:color w:val="auto"/>
        </w:rPr>
      </w:pPr>
      <w:r>
        <w:rPr>
          <w:rFonts w:ascii="Times New Roman" w:cs="Times New Roman" w:eastAsia="Times New Roman" w:hAnsi="Times New Roman"/>
          <w:sz w:val="20"/>
          <w:szCs w:val="20"/>
          <w:b w:val="1"/>
          <w:bCs w:val="1"/>
          <w:color w:val="auto"/>
        </w:rPr>
        <w:t>CONSOLIDATED FINANCIAL STATEMENTS</w:t>
      </w:r>
    </w:p>
    <w:p>
      <w:pPr>
        <w:ind w:left="1500"/>
        <w:spacing w:after="0"/>
        <w:rPr>
          <w:sz w:val="20"/>
          <w:szCs w:val="20"/>
          <w:color w:val="auto"/>
        </w:rPr>
      </w:pPr>
      <w:r>
        <w:rPr>
          <w:rFonts w:ascii="Times New Roman" w:cs="Times New Roman" w:eastAsia="Times New Roman" w:hAnsi="Times New Roman"/>
          <w:sz w:val="20"/>
          <w:szCs w:val="20"/>
          <w:b w:val="1"/>
          <w:bCs w:val="1"/>
          <w:color w:val="auto"/>
        </w:rPr>
        <w:t>(In thousands of U.S. dollars unless otherwise noted, except per share data)</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On June 30, 2024, the shareholders authorized the Board of Directors to grant up to 600,000 free shares.</w:t>
      </w:r>
    </w:p>
    <w:p>
      <w:pPr>
        <w:spacing w:after="0"/>
        <w:rPr>
          <w:sz w:val="20"/>
          <w:szCs w:val="20"/>
          <w:color w:val="auto"/>
        </w:rPr>
      </w:pPr>
      <w:r>
        <w:rPr>
          <w:rFonts w:ascii="Times New Roman" w:cs="Times New Roman" w:eastAsia="Times New Roman" w:hAnsi="Times New Roman"/>
          <w:sz w:val="20"/>
          <w:szCs w:val="20"/>
          <w:color w:val="auto"/>
        </w:rPr>
        <w:t>Conforming to this June 30, 2024 authorization, the Board of Directors granted RSU / free shares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5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240" w:type="dxa"/>
            <w:vAlign w:val="bottom"/>
          </w:tcPr>
          <w:p>
            <w:pPr>
              <w:jc w:val="right"/>
              <w:ind w:right="72"/>
              <w:spacing w:after="0"/>
              <w:rPr>
                <w:sz w:val="20"/>
                <w:szCs w:val="20"/>
                <w:color w:val="auto"/>
              </w:rPr>
            </w:pPr>
            <w:r>
              <w:rPr>
                <w:rFonts w:ascii="Times New Roman" w:cs="Times New Roman" w:eastAsia="Times New Roman" w:hAnsi="Times New Roman"/>
                <w:sz w:val="16"/>
                <w:szCs w:val="16"/>
                <w:b w:val="1"/>
                <w:bCs w:val="1"/>
                <w:color w:val="auto"/>
              </w:rPr>
              <w:t>Fair Value at</w:t>
            </w:r>
          </w:p>
        </w:tc>
      </w:tr>
      <w:tr>
        <w:trPr>
          <w:trHeight w:val="185"/>
        </w:trPr>
        <w:tc>
          <w:tcPr>
            <w:tcW w:w="1580" w:type="dxa"/>
            <w:vAlign w:val="bottom"/>
          </w:tcPr>
          <w:p>
            <w:pPr>
              <w:spacing w:after="0"/>
              <w:rPr>
                <w:sz w:val="16"/>
                <w:szCs w:val="16"/>
                <w:color w:val="auto"/>
              </w:rPr>
            </w:pPr>
          </w:p>
        </w:tc>
        <w:tc>
          <w:tcPr>
            <w:tcW w:w="1000" w:type="dxa"/>
            <w:vAlign w:val="bottom"/>
          </w:tcPr>
          <w:p>
            <w:pPr>
              <w:ind w:left="440"/>
              <w:spacing w:after="0"/>
              <w:rPr>
                <w:sz w:val="20"/>
                <w:szCs w:val="20"/>
                <w:color w:val="auto"/>
              </w:rPr>
            </w:pPr>
            <w:r>
              <w:rPr>
                <w:rFonts w:ascii="Times New Roman" w:cs="Times New Roman" w:eastAsia="Times New Roman" w:hAnsi="Times New Roman"/>
                <w:sz w:val="16"/>
                <w:szCs w:val="16"/>
                <w:b w:val="1"/>
                <w:bCs w:val="1"/>
                <w:color w:val="auto"/>
              </w:rPr>
              <w:t>RSU</w:t>
            </w:r>
          </w:p>
        </w:tc>
        <w:tc>
          <w:tcPr>
            <w:tcW w:w="128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Grant Date ($ in</w:t>
            </w:r>
          </w:p>
        </w:tc>
      </w:tr>
      <w:tr>
        <w:trPr>
          <w:trHeight w:val="203"/>
        </w:trPr>
        <w:tc>
          <w:tcPr>
            <w:tcW w:w="15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6"/>
                <w:szCs w:val="16"/>
                <w:b w:val="1"/>
                <w:bCs w:val="1"/>
                <w:color w:val="auto"/>
              </w:rPr>
              <w:t>Grant Date</w:t>
            </w:r>
          </w:p>
        </w:tc>
        <w:tc>
          <w:tcPr>
            <w:tcW w:w="100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6"/>
                <w:szCs w:val="16"/>
                <w:b w:val="1"/>
                <w:bCs w:val="1"/>
                <w:color w:val="auto"/>
              </w:rPr>
              <w:t>Granted</w:t>
            </w:r>
          </w:p>
        </w:tc>
        <w:tc>
          <w:tcPr>
            <w:tcW w:w="12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6"/>
                <w:szCs w:val="16"/>
                <w:b w:val="1"/>
                <w:bCs w:val="1"/>
                <w:color w:val="auto"/>
              </w:rPr>
              <w:t>Beneficiaries</w:t>
            </w:r>
          </w:p>
        </w:tc>
        <w:tc>
          <w:tcPr>
            <w:tcW w:w="210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6"/>
                <w:szCs w:val="16"/>
                <w:b w:val="1"/>
                <w:bCs w:val="1"/>
                <w:color w:val="auto"/>
              </w:rPr>
              <w:t>Vesting Terms</w:t>
            </w:r>
          </w:p>
        </w:tc>
        <w:tc>
          <w:tcPr>
            <w:tcW w:w="21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Expense Recognition Method</w:t>
            </w:r>
          </w:p>
        </w:tc>
        <w:tc>
          <w:tcPr>
            <w:tcW w:w="12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6"/>
                <w:szCs w:val="16"/>
                <w:b w:val="1"/>
                <w:bCs w:val="1"/>
                <w:color w:val="auto"/>
              </w:rPr>
              <w:t>thousands)</w:t>
            </w:r>
          </w:p>
        </w:tc>
      </w:tr>
      <w:tr>
        <w:trPr>
          <w:trHeight w:val="200"/>
        </w:trPr>
        <w:tc>
          <w:tcPr>
            <w:tcW w:w="1580" w:type="dxa"/>
            <w:vAlign w:val="bottom"/>
            <w:shd w:val="clear" w:color="auto" w:fill="CCEEFF"/>
          </w:tcPr>
          <w:p>
            <w:pPr>
              <w:spacing w:after="0" w:line="200" w:lineRule="exact"/>
              <w:rPr>
                <w:sz w:val="20"/>
                <w:szCs w:val="20"/>
                <w:color w:val="auto"/>
              </w:rPr>
            </w:pPr>
            <w:r>
              <w:rPr>
                <w:rFonts w:ascii="Times New Roman" w:cs="Times New Roman" w:eastAsia="Times New Roman" w:hAnsi="Times New Roman"/>
                <w:sz w:val="20"/>
                <w:szCs w:val="20"/>
                <w:color w:val="auto"/>
              </w:rPr>
              <w:t>June 20, 2025</w:t>
            </w:r>
          </w:p>
        </w:tc>
        <w:tc>
          <w:tcPr>
            <w:tcW w:w="4380" w:type="dxa"/>
            <w:vAlign w:val="bottom"/>
            <w:gridSpan w:val="3"/>
            <w:shd w:val="clear" w:color="auto" w:fill="CCEEFF"/>
          </w:tcPr>
          <w:p>
            <w:pPr>
              <w:ind w:left="300"/>
              <w:spacing w:after="0" w:line="200" w:lineRule="exact"/>
              <w:rPr>
                <w:sz w:val="20"/>
                <w:szCs w:val="20"/>
                <w:color w:val="auto"/>
              </w:rPr>
            </w:pPr>
            <w:r>
              <w:rPr>
                <w:rFonts w:ascii="Times New Roman" w:cs="Times New Roman" w:eastAsia="Times New Roman" w:hAnsi="Times New Roman"/>
                <w:sz w:val="20"/>
                <w:szCs w:val="20"/>
                <w:color w:val="auto"/>
              </w:rPr>
              <w:t>117,500 Certain French Vest ratably over three</w:t>
            </w:r>
          </w:p>
        </w:tc>
        <w:tc>
          <w:tcPr>
            <w:tcW w:w="2180" w:type="dxa"/>
            <w:vAlign w:val="bottom"/>
            <w:shd w:val="clear" w:color="auto" w:fill="CCEEFF"/>
          </w:tcPr>
          <w:p>
            <w:pPr>
              <w:spacing w:after="0" w:line="200" w:lineRule="exact"/>
              <w:rPr>
                <w:sz w:val="20"/>
                <w:szCs w:val="20"/>
                <w:color w:val="auto"/>
              </w:rPr>
            </w:pPr>
            <w:r>
              <w:rPr>
                <w:rFonts w:ascii="Times New Roman" w:cs="Times New Roman" w:eastAsia="Times New Roman" w:hAnsi="Times New Roman"/>
                <w:sz w:val="20"/>
                <w:szCs w:val="20"/>
                <w:color w:val="auto"/>
              </w:rPr>
              <w:t>As operating expenses</w:t>
            </w:r>
          </w:p>
        </w:tc>
        <w:tc>
          <w:tcPr>
            <w:tcW w:w="1240" w:type="dxa"/>
            <w:vAlign w:val="bottom"/>
            <w:shd w:val="clear" w:color="auto" w:fill="CCEEFF"/>
          </w:tcPr>
          <w:p>
            <w:pPr>
              <w:jc w:val="right"/>
              <w:spacing w:after="0" w:line="200" w:lineRule="exact"/>
              <w:rPr>
                <w:sz w:val="20"/>
                <w:szCs w:val="20"/>
                <w:color w:val="auto"/>
              </w:rPr>
            </w:pPr>
            <w:r>
              <w:rPr>
                <w:rFonts w:ascii="Times New Roman" w:cs="Times New Roman" w:eastAsia="Times New Roman" w:hAnsi="Times New Roman"/>
                <w:sz w:val="20"/>
                <w:szCs w:val="20"/>
                <w:color w:val="auto"/>
              </w:rPr>
              <w:t>200</w:t>
            </w:r>
          </w:p>
        </w:tc>
      </w:tr>
      <w:tr>
        <w:trPr>
          <w:trHeight w:val="230"/>
        </w:trPr>
        <w:tc>
          <w:tcPr>
            <w:tcW w:w="15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employees</w:t>
            </w:r>
          </w:p>
        </w:tc>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years beginning six</w:t>
            </w:r>
          </w:p>
        </w:tc>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over 36 months using</w:t>
            </w:r>
          </w:p>
        </w:tc>
        <w:tc>
          <w:tcPr>
            <w:tcW w:w="1240" w:type="dxa"/>
            <w:vAlign w:val="bottom"/>
            <w:shd w:val="clear" w:color="auto" w:fill="CCEEFF"/>
          </w:tcPr>
          <w:p>
            <w:pPr>
              <w:spacing w:after="0"/>
              <w:rPr>
                <w:sz w:val="20"/>
                <w:szCs w:val="20"/>
                <w:color w:val="auto"/>
              </w:rPr>
            </w:pPr>
          </w:p>
        </w:tc>
      </w:tr>
      <w:tr>
        <w:trPr>
          <w:trHeight w:val="230"/>
        </w:trPr>
        <w:tc>
          <w:tcPr>
            <w:tcW w:w="15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months after the date of</w:t>
            </w:r>
          </w:p>
        </w:tc>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graded vesting method</w:t>
            </w:r>
          </w:p>
        </w:tc>
        <w:tc>
          <w:tcPr>
            <w:tcW w:w="1240" w:type="dxa"/>
            <w:vAlign w:val="bottom"/>
            <w:shd w:val="clear" w:color="auto" w:fill="CCEEFF"/>
          </w:tcPr>
          <w:p>
            <w:pPr>
              <w:spacing w:after="0"/>
              <w:rPr>
                <w:sz w:val="20"/>
                <w:szCs w:val="20"/>
                <w:color w:val="auto"/>
              </w:rPr>
            </w:pPr>
          </w:p>
        </w:tc>
      </w:tr>
      <w:tr>
        <w:trPr>
          <w:trHeight w:val="250"/>
        </w:trPr>
        <w:tc>
          <w:tcPr>
            <w:tcW w:w="15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grant</w:t>
            </w:r>
          </w:p>
        </w:tc>
        <w:tc>
          <w:tcPr>
            <w:tcW w:w="218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r>
      <w:tr>
        <w:trPr>
          <w:trHeight w:val="210"/>
        </w:trPr>
        <w:tc>
          <w:tcPr>
            <w:tcW w:w="1580" w:type="dxa"/>
            <w:vAlign w:val="bottom"/>
          </w:tcPr>
          <w:p>
            <w:pPr>
              <w:spacing w:after="0" w:line="210" w:lineRule="exact"/>
              <w:rPr>
                <w:sz w:val="20"/>
                <w:szCs w:val="20"/>
                <w:color w:val="auto"/>
              </w:rPr>
            </w:pPr>
            <w:r>
              <w:rPr>
                <w:rFonts w:ascii="Times New Roman" w:cs="Times New Roman" w:eastAsia="Times New Roman" w:hAnsi="Times New Roman"/>
                <w:sz w:val="20"/>
                <w:szCs w:val="20"/>
                <w:color w:val="auto"/>
              </w:rPr>
              <w:t>June 20, 2025</w:t>
            </w:r>
          </w:p>
        </w:tc>
        <w:tc>
          <w:tcPr>
            <w:tcW w:w="2280" w:type="dxa"/>
            <w:vAlign w:val="bottom"/>
            <w:gridSpan w:val="2"/>
          </w:tcPr>
          <w:p>
            <w:pPr>
              <w:ind w:left="300"/>
              <w:spacing w:after="0" w:line="210" w:lineRule="exact"/>
              <w:rPr>
                <w:sz w:val="20"/>
                <w:szCs w:val="20"/>
                <w:color w:val="auto"/>
              </w:rPr>
            </w:pPr>
            <w:r>
              <w:rPr>
                <w:rFonts w:ascii="Times New Roman" w:cs="Times New Roman" w:eastAsia="Times New Roman" w:hAnsi="Times New Roman"/>
                <w:sz w:val="20"/>
                <w:szCs w:val="20"/>
                <w:color w:val="auto"/>
              </w:rPr>
              <w:t>482,500 Certain U.S.</w:t>
            </w:r>
          </w:p>
        </w:tc>
        <w:tc>
          <w:tcPr>
            <w:tcW w:w="2100" w:type="dxa"/>
            <w:vAlign w:val="bottom"/>
          </w:tcPr>
          <w:p>
            <w:pPr>
              <w:spacing w:after="0" w:line="210" w:lineRule="exact"/>
              <w:rPr>
                <w:sz w:val="20"/>
                <w:szCs w:val="20"/>
                <w:color w:val="auto"/>
              </w:rPr>
            </w:pPr>
            <w:r>
              <w:rPr>
                <w:rFonts w:ascii="Times New Roman" w:cs="Times New Roman" w:eastAsia="Times New Roman" w:hAnsi="Times New Roman"/>
                <w:sz w:val="20"/>
                <w:szCs w:val="20"/>
                <w:color w:val="auto"/>
              </w:rPr>
              <w:t>Vest ratably over three</w:t>
            </w:r>
          </w:p>
        </w:tc>
        <w:tc>
          <w:tcPr>
            <w:tcW w:w="2180" w:type="dxa"/>
            <w:vAlign w:val="bottom"/>
          </w:tcPr>
          <w:p>
            <w:pPr>
              <w:spacing w:after="0" w:line="210" w:lineRule="exact"/>
              <w:rPr>
                <w:sz w:val="20"/>
                <w:szCs w:val="20"/>
                <w:color w:val="auto"/>
              </w:rPr>
            </w:pPr>
            <w:r>
              <w:rPr>
                <w:rFonts w:ascii="Times New Roman" w:cs="Times New Roman" w:eastAsia="Times New Roman" w:hAnsi="Times New Roman"/>
                <w:sz w:val="20"/>
                <w:szCs w:val="20"/>
                <w:color w:val="auto"/>
              </w:rPr>
              <w:t>As operating expenses</w:t>
            </w:r>
          </w:p>
        </w:tc>
        <w:tc>
          <w:tcPr>
            <w:tcW w:w="1240" w:type="dxa"/>
            <w:vAlign w:val="bottom"/>
          </w:tcPr>
          <w:p>
            <w:pPr>
              <w:jc w:val="right"/>
              <w:spacing w:after="0" w:line="210" w:lineRule="exact"/>
              <w:rPr>
                <w:sz w:val="20"/>
                <w:szCs w:val="20"/>
                <w:color w:val="auto"/>
              </w:rPr>
            </w:pPr>
            <w:r>
              <w:rPr>
                <w:rFonts w:ascii="Times New Roman" w:cs="Times New Roman" w:eastAsia="Times New Roman" w:hAnsi="Times New Roman"/>
                <w:sz w:val="20"/>
                <w:szCs w:val="20"/>
                <w:color w:val="auto"/>
              </w:rPr>
              <w:t>819</w:t>
            </w:r>
          </w:p>
        </w:tc>
      </w:tr>
      <w:tr>
        <w:trPr>
          <w:trHeight w:val="230"/>
        </w:trPr>
        <w:tc>
          <w:tcPr>
            <w:tcW w:w="15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Times New Roman" w:cs="Times New Roman" w:eastAsia="Times New Roman" w:hAnsi="Times New Roman"/>
                <w:sz w:val="20"/>
                <w:szCs w:val="20"/>
                <w:color w:val="auto"/>
              </w:rPr>
              <w:t>ecmployees</w:t>
            </w:r>
          </w:p>
        </w:tc>
        <w:tc>
          <w:tcPr>
            <w:tcW w:w="42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years beginning two yearsover 36 months using</w:t>
            </w:r>
          </w:p>
        </w:tc>
        <w:tc>
          <w:tcPr>
            <w:tcW w:w="1240" w:type="dxa"/>
            <w:vAlign w:val="bottom"/>
          </w:tcPr>
          <w:p>
            <w:pPr>
              <w:spacing w:after="0"/>
              <w:rPr>
                <w:sz w:val="20"/>
                <w:szCs w:val="20"/>
                <w:color w:val="auto"/>
              </w:rPr>
            </w:pPr>
          </w:p>
        </w:tc>
      </w:tr>
      <w:tr>
        <w:trPr>
          <w:trHeight w:val="230"/>
        </w:trPr>
        <w:tc>
          <w:tcPr>
            <w:tcW w:w="15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100" w:type="dxa"/>
            <w:vAlign w:val="bottom"/>
          </w:tcPr>
          <w:p>
            <w:pPr>
              <w:spacing w:after="0"/>
              <w:rPr>
                <w:sz w:val="20"/>
                <w:szCs w:val="20"/>
                <w:color w:val="auto"/>
              </w:rPr>
            </w:pPr>
            <w:r>
              <w:rPr>
                <w:rFonts w:ascii="Times New Roman" w:cs="Times New Roman" w:eastAsia="Times New Roman" w:hAnsi="Times New Roman"/>
                <w:sz w:val="20"/>
                <w:szCs w:val="20"/>
                <w:color w:val="auto"/>
              </w:rPr>
              <w:t>after the date of grant</w:t>
            </w:r>
          </w:p>
        </w:tc>
        <w:tc>
          <w:tcPr>
            <w:tcW w:w="2180" w:type="dxa"/>
            <w:vAlign w:val="bottom"/>
          </w:tcPr>
          <w:p>
            <w:pPr>
              <w:spacing w:after="0"/>
              <w:rPr>
                <w:sz w:val="20"/>
                <w:szCs w:val="20"/>
                <w:color w:val="auto"/>
              </w:rPr>
            </w:pPr>
            <w:r>
              <w:rPr>
                <w:rFonts w:ascii="Times New Roman" w:cs="Times New Roman" w:eastAsia="Times New Roman" w:hAnsi="Times New Roman"/>
                <w:sz w:val="20"/>
                <w:szCs w:val="20"/>
                <w:color w:val="auto"/>
              </w:rPr>
              <w:t>graded vesting method</w:t>
            </w:r>
          </w:p>
        </w:tc>
        <w:tc>
          <w:tcPr>
            <w:tcW w:w="1240" w:type="dxa"/>
            <w:vAlign w:val="bottom"/>
          </w:tcPr>
          <w:p>
            <w:pPr>
              <w:spacing w:after="0"/>
              <w:rPr>
                <w:sz w:val="20"/>
                <w:szCs w:val="20"/>
                <w:color w:val="auto"/>
              </w:rPr>
            </w:pPr>
          </w:p>
        </w:tc>
      </w:tr>
      <w:tr>
        <w:trPr>
          <w:trHeight w:val="267"/>
        </w:trPr>
        <w:tc>
          <w:tcPr>
            <w:tcW w:w="8140" w:type="dxa"/>
            <w:vAlign w:val="bottom"/>
            <w:gridSpan w:val="5"/>
          </w:tcPr>
          <w:p>
            <w:pPr>
              <w:ind w:left="720"/>
              <w:spacing w:after="0"/>
              <w:rPr>
                <w:sz w:val="20"/>
                <w:szCs w:val="20"/>
                <w:color w:val="auto"/>
              </w:rPr>
            </w:pPr>
            <w:r>
              <w:rPr>
                <w:rFonts w:ascii="Times New Roman" w:cs="Times New Roman" w:eastAsia="Times New Roman" w:hAnsi="Times New Roman"/>
                <w:sz w:val="20"/>
                <w:szCs w:val="20"/>
                <w:color w:val="auto"/>
              </w:rPr>
              <w:t>Under the 2024 Plan, there are no free shares outstanding at December 31, 2025</w:t>
            </w:r>
          </w:p>
        </w:tc>
        <w:tc>
          <w:tcPr>
            <w:tcW w:w="1240" w:type="dxa"/>
            <w:vAlign w:val="bottom"/>
          </w:tcPr>
          <w:p>
            <w:pPr>
              <w:spacing w:after="0"/>
              <w:rPr>
                <w:sz w:val="23"/>
                <w:szCs w:val="23"/>
                <w:color w:val="auto"/>
              </w:rPr>
            </w:pPr>
          </w:p>
        </w:tc>
      </w:tr>
    </w:tbl>
    <w:p>
      <w:pPr>
        <w:spacing w:after="0" w:line="16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On June 27, 2025, the shareholders authorized the Board of Directors to grant up to 600,000 free shares.</w:t>
      </w:r>
    </w:p>
    <w:p>
      <w:pPr>
        <w:spacing w:after="0"/>
        <w:rPr>
          <w:sz w:val="20"/>
          <w:szCs w:val="20"/>
          <w:color w:val="auto"/>
        </w:rPr>
      </w:pPr>
      <w:r>
        <w:rPr>
          <w:rFonts w:ascii="Times New Roman" w:cs="Times New Roman" w:eastAsia="Times New Roman" w:hAnsi="Times New Roman"/>
          <w:sz w:val="20"/>
          <w:szCs w:val="20"/>
          <w:color w:val="auto"/>
        </w:rPr>
        <w:t>Under this authorization, no free shares have been granted.</w:t>
      </w:r>
    </w:p>
    <w:p>
      <w:pPr>
        <w:spacing w:after="0" w:line="201" w:lineRule="exact"/>
        <w:rPr>
          <w:sz w:val="20"/>
          <w:szCs w:val="20"/>
          <w:color w:val="auto"/>
        </w:rPr>
      </w:pPr>
    </w:p>
    <w:p>
      <w:pPr>
        <w:ind w:left="360"/>
        <w:spacing w:after="0"/>
        <w:tabs>
          <w:tab w:leader="none" w:pos="920" w:val="left"/>
        </w:tabs>
        <w:rPr>
          <w:sz w:val="20"/>
          <w:szCs w:val="20"/>
          <w:color w:val="auto"/>
        </w:rPr>
      </w:pPr>
      <w:r>
        <w:rPr>
          <w:rFonts w:ascii="Times New Roman" w:cs="Times New Roman" w:eastAsia="Times New Roman" w:hAnsi="Times New Roman"/>
          <w:sz w:val="20"/>
          <w:szCs w:val="20"/>
          <w:b w:val="1"/>
          <w:bCs w:val="1"/>
          <w:i w:val="1"/>
          <w:iCs w:val="1"/>
          <w:color w:val="auto"/>
        </w:rPr>
        <w:t>18-6</w:t>
      </w:r>
      <w:r>
        <w:rPr>
          <w:sz w:val="20"/>
          <w:szCs w:val="20"/>
          <w:color w:val="auto"/>
        </w:rPr>
        <w:tab/>
      </w:r>
      <w:r>
        <w:rPr>
          <w:rFonts w:ascii="Times New Roman" w:cs="Times New Roman" w:eastAsia="Times New Roman" w:hAnsi="Times New Roman"/>
          <w:sz w:val="19"/>
          <w:szCs w:val="19"/>
          <w:b w:val="1"/>
          <w:bCs w:val="1"/>
          <w:i w:val="1"/>
          <w:iCs w:val="1"/>
          <w:color w:val="auto"/>
        </w:rPr>
        <w:t>Accumulated other comprehensive income (loss)</w:t>
      </w:r>
    </w:p>
    <w:p>
      <w:pPr>
        <w:spacing w:after="0" w:line="19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components of accumulated other comprehensive income (loss) net of tax, for the years ended</w:t>
      </w:r>
    </w:p>
    <w:p>
      <w:pPr>
        <w:spacing w:after="0"/>
        <w:rPr>
          <w:sz w:val="20"/>
          <w:szCs w:val="20"/>
          <w:color w:val="auto"/>
        </w:rPr>
      </w:pPr>
      <w:r>
        <w:rPr>
          <w:rFonts w:ascii="Times New Roman" w:cs="Times New Roman" w:eastAsia="Times New Roman" w:hAnsi="Times New Roman"/>
          <w:sz w:val="20"/>
          <w:szCs w:val="20"/>
          <w:color w:val="auto"/>
        </w:rPr>
        <w:t>December 31, 2025, and 2024, are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060" w:type="dxa"/>
            <w:vAlign w:val="bottom"/>
            <w:tcBorders>
              <w:bottom w:val="single" w:sz="8" w:color="auto"/>
            </w:tcBorders>
            <w:gridSpan w:val="10"/>
          </w:tcPr>
          <w:p>
            <w:pPr>
              <w:ind w:left="820"/>
              <w:spacing w:after="0"/>
              <w:rPr>
                <w:sz w:val="20"/>
                <w:szCs w:val="20"/>
                <w:color w:val="auto"/>
              </w:rPr>
            </w:pPr>
            <w:r>
              <w:rPr>
                <w:rFonts w:ascii="Times New Roman" w:cs="Times New Roman" w:eastAsia="Times New Roman" w:hAnsi="Times New Roman"/>
                <w:sz w:val="16"/>
                <w:szCs w:val="16"/>
                <w:b w:val="1"/>
                <w:bCs w:val="1"/>
                <w:color w:val="auto"/>
              </w:rPr>
              <w:t>Year Ended December 31, 2025</w:t>
            </w:r>
          </w:p>
        </w:tc>
        <w:tc>
          <w:tcPr>
            <w:tcW w:w="880" w:type="dxa"/>
            <w:vAlign w:val="bottom"/>
            <w:tcBorders>
              <w:bottom w:val="single" w:sz="8" w:color="auto"/>
            </w:tcBorders>
          </w:tcPr>
          <w:p>
            <w:pPr>
              <w:spacing w:after="0"/>
              <w:rPr>
                <w:sz w:val="17"/>
                <w:szCs w:val="17"/>
                <w:color w:val="auto"/>
              </w:rPr>
            </w:pPr>
          </w:p>
        </w:tc>
      </w:tr>
      <w:tr>
        <w:trPr>
          <w:trHeight w:val="154"/>
        </w:trPr>
        <w:tc>
          <w:tcPr>
            <w:tcW w:w="5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80" w:type="dxa"/>
            <w:vAlign w:val="bottom"/>
            <w:gridSpan w:val="5"/>
          </w:tcPr>
          <w:p>
            <w:pPr>
              <w:jc w:val="center"/>
              <w:ind w:right="200"/>
              <w:spacing w:after="0" w:line="155" w:lineRule="exact"/>
              <w:rPr>
                <w:sz w:val="20"/>
                <w:szCs w:val="20"/>
                <w:color w:val="auto"/>
              </w:rPr>
            </w:pPr>
            <w:r>
              <w:rPr>
                <w:rFonts w:ascii="Times New Roman" w:cs="Times New Roman" w:eastAsia="Times New Roman" w:hAnsi="Times New Roman"/>
                <w:sz w:val="16"/>
                <w:szCs w:val="16"/>
                <w:b w:val="1"/>
                <w:bCs w:val="1"/>
                <w:color w:val="auto"/>
                <w:w w:val="99"/>
              </w:rPr>
              <w:t>Foreign currency</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720" w:type="dxa"/>
            <w:vAlign w:val="bottom"/>
            <w:gridSpan w:val="5"/>
          </w:tcPr>
          <w:p>
            <w:pPr>
              <w:jc w:val="center"/>
              <w:ind w:right="340"/>
              <w:spacing w:after="0" w:line="155" w:lineRule="exact"/>
              <w:rPr>
                <w:sz w:val="20"/>
                <w:szCs w:val="20"/>
                <w:color w:val="auto"/>
              </w:rPr>
            </w:pPr>
            <w:r>
              <w:rPr>
                <w:rFonts w:ascii="Times New Roman" w:cs="Times New Roman" w:eastAsia="Times New Roman" w:hAnsi="Times New Roman"/>
                <w:sz w:val="16"/>
                <w:szCs w:val="16"/>
                <w:b w:val="1"/>
                <w:bCs w:val="1"/>
                <w:color w:val="auto"/>
              </w:rPr>
              <w:t>Provision for</w:t>
            </w:r>
          </w:p>
        </w:tc>
        <w:tc>
          <w:tcPr>
            <w:tcW w:w="880" w:type="dxa"/>
            <w:vAlign w:val="bottom"/>
          </w:tcPr>
          <w:p>
            <w:pPr>
              <w:spacing w:after="0"/>
              <w:rPr>
                <w:sz w:val="13"/>
                <w:szCs w:val="13"/>
                <w:color w:val="auto"/>
              </w:rPr>
            </w:pPr>
          </w:p>
        </w:tc>
      </w:tr>
      <w:tr>
        <w:trPr>
          <w:trHeight w:val="184"/>
        </w:trPr>
        <w:tc>
          <w:tcPr>
            <w:tcW w:w="5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40" w:type="dxa"/>
            <w:vAlign w:val="bottom"/>
            <w:gridSpan w:val="3"/>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translation</w:t>
            </w:r>
          </w:p>
        </w:tc>
        <w:tc>
          <w:tcPr>
            <w:tcW w:w="1820" w:type="dxa"/>
            <w:vAlign w:val="bottom"/>
            <w:gridSpan w:val="7"/>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retirement indemnities</w:t>
            </w:r>
          </w:p>
        </w:tc>
        <w:tc>
          <w:tcPr>
            <w:tcW w:w="880" w:type="dxa"/>
            <w:vAlign w:val="bottom"/>
          </w:tcPr>
          <w:p>
            <w:pPr>
              <w:spacing w:after="0"/>
              <w:rPr>
                <w:sz w:val="16"/>
                <w:szCs w:val="16"/>
                <w:color w:val="auto"/>
              </w:rPr>
            </w:pPr>
          </w:p>
        </w:tc>
      </w:tr>
      <w:tr>
        <w:trPr>
          <w:trHeight w:val="203"/>
        </w:trPr>
        <w:tc>
          <w:tcPr>
            <w:tcW w:w="5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40" w:type="dxa"/>
            <w:vAlign w:val="bottom"/>
            <w:gridSpan w:val="3"/>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adjustment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20" w:type="dxa"/>
            <w:vAlign w:val="bottom"/>
            <w:gridSpan w:val="5"/>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(net of tax)</w:t>
            </w:r>
          </w:p>
        </w:tc>
        <w:tc>
          <w:tcPr>
            <w:tcW w:w="880" w:type="dxa"/>
            <w:vAlign w:val="bottom"/>
          </w:tcPr>
          <w:p>
            <w:pPr>
              <w:jc w:val="right"/>
              <w:ind w:right="184"/>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20"/>
        </w:trPr>
        <w:tc>
          <w:tcPr>
            <w:tcW w:w="5300" w:type="dxa"/>
            <w:vAlign w:val="bottom"/>
            <w:tcBorders>
              <w:top w:val="single" w:sz="8" w:color="CCEEFF"/>
            </w:tcBorders>
            <w:gridSpan w:val="2"/>
            <w:shd w:val="clear" w:color="auto" w:fill="CCEEFF"/>
          </w:tcPr>
          <w:p>
            <w:pPr>
              <w:spacing w:after="0" w:line="220" w:lineRule="exact"/>
              <w:rPr>
                <w:sz w:val="20"/>
                <w:szCs w:val="20"/>
                <w:color w:val="auto"/>
              </w:rPr>
            </w:pPr>
            <w:r>
              <w:rPr>
                <w:rFonts w:ascii="Times New Roman" w:cs="Times New Roman" w:eastAsia="Times New Roman" w:hAnsi="Times New Roman"/>
                <w:sz w:val="20"/>
                <w:szCs w:val="20"/>
                <w:color w:val="auto"/>
              </w:rPr>
              <w:t>Beginning balance</w:t>
            </w:r>
          </w:p>
        </w:tc>
        <w:tc>
          <w:tcPr>
            <w:tcW w:w="1180" w:type="dxa"/>
            <w:vAlign w:val="bottom"/>
            <w:tcBorders>
              <w:top w:val="single" w:sz="8" w:color="auto"/>
            </w:tcBorders>
            <w:gridSpan w:val="3"/>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(12,009)</w:t>
            </w:r>
          </w:p>
        </w:tc>
        <w:tc>
          <w:tcPr>
            <w:tcW w:w="1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gridSpan w:val="3"/>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57</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(11,952)</w:t>
            </w:r>
          </w:p>
        </w:tc>
      </w:tr>
      <w:tr>
        <w:trPr>
          <w:trHeight w:val="230"/>
        </w:trPr>
        <w:tc>
          <w:tcPr>
            <w:tcW w:w="53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Other comprehensive income (loss) before reclassifications</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gridSpan w:val="3"/>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720" w:type="dxa"/>
            <w:vAlign w:val="bottom"/>
            <w:gridSpan w:val="5"/>
          </w:tcPr>
          <w:p>
            <w:pPr>
              <w:jc w:val="right"/>
              <w:ind w:right="32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50"/>
        </w:trPr>
        <w:tc>
          <w:tcPr>
            <w:tcW w:w="5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Reclassified from accumulated other comprehensive loss</w:t>
            </w: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720" w:type="dxa"/>
            <w:vAlign w:val="bottom"/>
            <w:gridSpan w:val="5"/>
            <w:shd w:val="clear" w:color="auto" w:fill="CCEEFF"/>
          </w:tcPr>
          <w:p>
            <w:pPr>
              <w:jc w:val="right"/>
              <w:ind w:right="32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00"/>
        </w:trPr>
        <w:tc>
          <w:tcPr>
            <w:tcW w:w="5300" w:type="dxa"/>
            <w:vAlign w:val="bottom"/>
            <w:tcBorders>
              <w:top w:val="single" w:sz="8" w:color="CCEEFF"/>
              <w:bottom w:val="single" w:sz="8" w:color="CCEEFF"/>
            </w:tcBorders>
            <w:gridSpan w:val="2"/>
          </w:tcPr>
          <w:p>
            <w:pPr>
              <w:spacing w:after="0" w:line="200" w:lineRule="exact"/>
              <w:rPr>
                <w:sz w:val="20"/>
                <w:szCs w:val="20"/>
                <w:color w:val="auto"/>
              </w:rPr>
            </w:pPr>
            <w:r>
              <w:rPr>
                <w:rFonts w:ascii="Times New Roman" w:cs="Times New Roman" w:eastAsia="Times New Roman" w:hAnsi="Times New Roman"/>
                <w:sz w:val="20"/>
                <w:szCs w:val="20"/>
                <w:color w:val="auto"/>
              </w:rPr>
              <w:t>Net current-period other comprehensive income (loss)</w:t>
            </w:r>
          </w:p>
        </w:tc>
        <w:tc>
          <w:tcPr>
            <w:tcW w:w="1180" w:type="dxa"/>
            <w:vAlign w:val="bottom"/>
            <w:tcBorders>
              <w:top w:val="single" w:sz="8" w:color="auto"/>
              <w:bottom w:val="single" w:sz="8" w:color="auto"/>
            </w:tcBorders>
            <w:gridSpan w:val="3"/>
          </w:tcPr>
          <w:p>
            <w:pPr>
              <w:jc w:val="right"/>
              <w:spacing w:after="0" w:line="200" w:lineRule="exact"/>
              <w:rPr>
                <w:sz w:val="20"/>
                <w:szCs w:val="20"/>
                <w:color w:val="auto"/>
              </w:rPr>
            </w:pPr>
            <w:r>
              <w:rPr>
                <w:rFonts w:ascii="Times New Roman" w:cs="Times New Roman" w:eastAsia="Times New Roman" w:hAnsi="Times New Roman"/>
                <w:sz w:val="20"/>
                <w:szCs w:val="20"/>
                <w:color w:val="auto"/>
              </w:rPr>
              <w:t>3,322</w:t>
            </w:r>
          </w:p>
        </w:tc>
        <w:tc>
          <w:tcPr>
            <w:tcW w:w="140" w:type="dxa"/>
            <w:vAlign w:val="bottom"/>
            <w:tcBorders>
              <w:top w:val="single" w:sz="8" w:color="CCEEFF"/>
              <w:bottom w:val="single" w:sz="8" w:color="CCEEFF"/>
            </w:tcBorders>
          </w:tcPr>
          <w:p>
            <w:pPr>
              <w:spacing w:after="0"/>
              <w:rPr>
                <w:sz w:val="17"/>
                <w:szCs w:val="17"/>
                <w:color w:val="auto"/>
              </w:rPr>
            </w:pPr>
          </w:p>
        </w:tc>
        <w:tc>
          <w:tcPr>
            <w:tcW w:w="60" w:type="dxa"/>
            <w:vAlign w:val="bottom"/>
            <w:tcBorders>
              <w:top w:val="single" w:sz="8" w:color="CCEEFF"/>
              <w:bottom w:val="single" w:sz="8" w:color="CCEEFF"/>
            </w:tcBorders>
          </w:tcPr>
          <w:p>
            <w:pPr>
              <w:spacing w:after="0"/>
              <w:rPr>
                <w:sz w:val="17"/>
                <w:szCs w:val="17"/>
                <w:color w:val="auto"/>
              </w:rPr>
            </w:pPr>
          </w:p>
        </w:tc>
        <w:tc>
          <w:tcPr>
            <w:tcW w:w="1560" w:type="dxa"/>
            <w:vAlign w:val="bottom"/>
            <w:tcBorders>
              <w:top w:val="single" w:sz="8" w:color="auto"/>
              <w:bottom w:val="single" w:sz="8" w:color="auto"/>
            </w:tcBorders>
            <w:gridSpan w:val="3"/>
          </w:tcPr>
          <w:p>
            <w:pPr>
              <w:jc w:val="right"/>
              <w:spacing w:after="0" w:line="200" w:lineRule="exact"/>
              <w:rPr>
                <w:sz w:val="20"/>
                <w:szCs w:val="20"/>
                <w:color w:val="auto"/>
              </w:rPr>
            </w:pPr>
            <w:r>
              <w:rPr>
                <w:rFonts w:ascii="Times New Roman" w:cs="Times New Roman" w:eastAsia="Times New Roman" w:hAnsi="Times New Roman"/>
                <w:sz w:val="20"/>
                <w:szCs w:val="20"/>
                <w:color w:val="auto"/>
              </w:rPr>
              <w:t>294</w:t>
            </w:r>
          </w:p>
        </w:tc>
        <w:tc>
          <w:tcPr>
            <w:tcW w:w="100" w:type="dxa"/>
            <w:vAlign w:val="bottom"/>
            <w:tcBorders>
              <w:top w:val="single" w:sz="8" w:color="CCEEFF"/>
              <w:bottom w:val="single" w:sz="8" w:color="CCEEFF"/>
            </w:tcBorders>
          </w:tcPr>
          <w:p>
            <w:pPr>
              <w:spacing w:after="0"/>
              <w:rPr>
                <w:sz w:val="17"/>
                <w:szCs w:val="17"/>
                <w:color w:val="auto"/>
              </w:rPr>
            </w:pPr>
          </w:p>
        </w:tc>
        <w:tc>
          <w:tcPr>
            <w:tcW w:w="100" w:type="dxa"/>
            <w:vAlign w:val="bottom"/>
            <w:tcBorders>
              <w:top w:val="single" w:sz="8" w:color="CCEEFF"/>
              <w:bottom w:val="single" w:sz="8" w:color="CCEEFF"/>
            </w:tcBorders>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3,615</w:t>
            </w:r>
          </w:p>
        </w:tc>
      </w:tr>
      <w:tr>
        <w:trPr>
          <w:trHeight w:val="229"/>
        </w:trPr>
        <w:tc>
          <w:tcPr>
            <w:tcW w:w="5280" w:type="dxa"/>
            <w:vAlign w:val="bottom"/>
            <w:shd w:val="clear" w:color="auto" w:fill="CCEEFF"/>
          </w:tcPr>
          <w:p>
            <w:pPr>
              <w:spacing w:after="0" w:line="220" w:lineRule="exact"/>
              <w:rPr>
                <w:sz w:val="20"/>
                <w:szCs w:val="20"/>
                <w:color w:val="auto"/>
              </w:rPr>
            </w:pPr>
            <w:r>
              <w:rPr>
                <w:rFonts w:ascii="Times New Roman" w:cs="Times New Roman" w:eastAsia="Times New Roman" w:hAnsi="Times New Roman"/>
                <w:sz w:val="20"/>
                <w:szCs w:val="20"/>
                <w:color w:val="auto"/>
              </w:rPr>
              <w:t>Ending balance</w:t>
            </w:r>
          </w:p>
        </w:tc>
        <w:tc>
          <w:tcPr>
            <w:tcW w:w="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3"/>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(8,687)</w:t>
            </w: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560" w:type="dxa"/>
            <w:vAlign w:val="bottom"/>
            <w:tcBorders>
              <w:bottom w:val="single" w:sz="8" w:color="auto"/>
            </w:tcBorders>
            <w:gridSpan w:val="3"/>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350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(8,337)</w:t>
            </w:r>
          </w:p>
        </w:tc>
      </w:tr>
      <w:tr>
        <w:trPr>
          <w:trHeight w:val="434"/>
        </w:trPr>
        <w:tc>
          <w:tcPr>
            <w:tcW w:w="5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60" w:type="dxa"/>
            <w:vAlign w:val="bottom"/>
            <w:tcBorders>
              <w:bottom w:val="single" w:sz="8" w:color="auto"/>
            </w:tcBorders>
            <w:gridSpan w:val="10"/>
          </w:tcPr>
          <w:p>
            <w:pPr>
              <w:ind w:left="880"/>
              <w:spacing w:after="0"/>
              <w:rPr>
                <w:sz w:val="20"/>
                <w:szCs w:val="20"/>
                <w:color w:val="auto"/>
              </w:rPr>
            </w:pPr>
            <w:r>
              <w:rPr>
                <w:rFonts w:ascii="Times New Roman" w:cs="Times New Roman" w:eastAsia="Times New Roman" w:hAnsi="Times New Roman"/>
                <w:sz w:val="16"/>
                <w:szCs w:val="16"/>
                <w:b w:val="1"/>
                <w:bCs w:val="1"/>
                <w:color w:val="auto"/>
              </w:rPr>
              <w:t>Year Ended December 31, 2024</w:t>
            </w:r>
          </w:p>
        </w:tc>
        <w:tc>
          <w:tcPr>
            <w:tcW w:w="880" w:type="dxa"/>
            <w:vAlign w:val="bottom"/>
            <w:tcBorders>
              <w:bottom w:val="single" w:sz="8" w:color="auto"/>
            </w:tcBorders>
          </w:tcPr>
          <w:p>
            <w:pPr>
              <w:spacing w:after="0"/>
              <w:rPr>
                <w:sz w:val="24"/>
                <w:szCs w:val="24"/>
                <w:color w:val="auto"/>
              </w:rPr>
            </w:pPr>
          </w:p>
        </w:tc>
      </w:tr>
      <w:tr>
        <w:trPr>
          <w:trHeight w:val="159"/>
        </w:trPr>
        <w:tc>
          <w:tcPr>
            <w:tcW w:w="5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40" w:type="dxa"/>
            <w:vAlign w:val="bottom"/>
            <w:gridSpan w:val="3"/>
          </w:tcPr>
          <w:p>
            <w:pPr>
              <w:jc w:val="center"/>
              <w:ind w:right="60"/>
              <w:spacing w:after="0" w:line="159" w:lineRule="exact"/>
              <w:rPr>
                <w:sz w:val="20"/>
                <w:szCs w:val="20"/>
                <w:color w:val="auto"/>
              </w:rPr>
            </w:pPr>
            <w:r>
              <w:rPr>
                <w:rFonts w:ascii="Times New Roman" w:cs="Times New Roman" w:eastAsia="Times New Roman" w:hAnsi="Times New Roman"/>
                <w:sz w:val="16"/>
                <w:szCs w:val="16"/>
                <w:b w:val="1"/>
                <w:bCs w:val="1"/>
                <w:color w:val="auto"/>
                <w:w w:val="99"/>
              </w:rPr>
              <w:t>Foreign currency</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720" w:type="dxa"/>
            <w:vAlign w:val="bottom"/>
            <w:gridSpan w:val="5"/>
          </w:tcPr>
          <w:p>
            <w:pPr>
              <w:jc w:val="center"/>
              <w:ind w:right="180"/>
              <w:spacing w:after="0" w:line="159" w:lineRule="exact"/>
              <w:rPr>
                <w:sz w:val="20"/>
                <w:szCs w:val="20"/>
                <w:color w:val="auto"/>
              </w:rPr>
            </w:pPr>
            <w:r>
              <w:rPr>
                <w:rFonts w:ascii="Times New Roman" w:cs="Times New Roman" w:eastAsia="Times New Roman" w:hAnsi="Times New Roman"/>
                <w:sz w:val="16"/>
                <w:szCs w:val="16"/>
                <w:b w:val="1"/>
                <w:bCs w:val="1"/>
                <w:color w:val="auto"/>
              </w:rPr>
              <w:t>Provision for</w:t>
            </w:r>
          </w:p>
        </w:tc>
        <w:tc>
          <w:tcPr>
            <w:tcW w:w="880" w:type="dxa"/>
            <w:vAlign w:val="bottom"/>
          </w:tcPr>
          <w:p>
            <w:pPr>
              <w:spacing w:after="0"/>
              <w:rPr>
                <w:sz w:val="13"/>
                <w:szCs w:val="13"/>
                <w:color w:val="auto"/>
              </w:rPr>
            </w:pPr>
          </w:p>
        </w:tc>
      </w:tr>
      <w:tr>
        <w:trPr>
          <w:trHeight w:val="185"/>
        </w:trPr>
        <w:tc>
          <w:tcPr>
            <w:tcW w:w="5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4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translation</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720" w:type="dxa"/>
            <w:vAlign w:val="bottom"/>
            <w:gridSpan w:val="5"/>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9"/>
              </w:rPr>
              <w:t>retirement indemnities</w:t>
            </w:r>
          </w:p>
        </w:tc>
        <w:tc>
          <w:tcPr>
            <w:tcW w:w="880" w:type="dxa"/>
            <w:vAlign w:val="bottom"/>
          </w:tcPr>
          <w:p>
            <w:pPr>
              <w:spacing w:after="0"/>
              <w:rPr>
                <w:sz w:val="16"/>
                <w:szCs w:val="16"/>
                <w:color w:val="auto"/>
              </w:rPr>
            </w:pPr>
          </w:p>
        </w:tc>
      </w:tr>
      <w:tr>
        <w:trPr>
          <w:trHeight w:val="203"/>
        </w:trPr>
        <w:tc>
          <w:tcPr>
            <w:tcW w:w="52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adjustment</w:t>
            </w:r>
          </w:p>
        </w:tc>
        <w:tc>
          <w:tcPr>
            <w:tcW w:w="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5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(net of tax)</w:t>
            </w:r>
          </w:p>
        </w:tc>
        <w:tc>
          <w:tcPr>
            <w:tcW w:w="160" w:type="dxa"/>
            <w:vAlign w:val="bottom"/>
            <w:tcBorders>
              <w:bottom w:val="single" w:sz="8" w:color="CCEEFF"/>
            </w:tcBorders>
            <w:gridSpan w:val="3"/>
          </w:tcPr>
          <w:p>
            <w:pPr>
              <w:spacing w:after="0"/>
              <w:rPr>
                <w:sz w:val="17"/>
                <w:szCs w:val="17"/>
                <w:color w:val="auto"/>
              </w:rPr>
            </w:pPr>
          </w:p>
        </w:tc>
        <w:tc>
          <w:tcPr>
            <w:tcW w:w="88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20"/>
        </w:trPr>
        <w:tc>
          <w:tcPr>
            <w:tcW w:w="5300" w:type="dxa"/>
            <w:vAlign w:val="bottom"/>
            <w:gridSpan w:val="2"/>
            <w:shd w:val="clear" w:color="auto" w:fill="CCEEFF"/>
          </w:tcPr>
          <w:p>
            <w:pPr>
              <w:spacing w:after="0" w:line="220" w:lineRule="exact"/>
              <w:rPr>
                <w:sz w:val="20"/>
                <w:szCs w:val="20"/>
                <w:color w:val="auto"/>
              </w:rPr>
            </w:pPr>
            <w:r>
              <w:rPr>
                <w:rFonts w:ascii="Times New Roman" w:cs="Times New Roman" w:eastAsia="Times New Roman" w:hAnsi="Times New Roman"/>
                <w:sz w:val="20"/>
                <w:szCs w:val="20"/>
                <w:color w:val="auto"/>
              </w:rPr>
              <w:t>Beginning balance</w:t>
            </w:r>
          </w:p>
        </w:tc>
        <w:tc>
          <w:tcPr>
            <w:tcW w:w="1320" w:type="dxa"/>
            <w:vAlign w:val="bottom"/>
            <w:gridSpan w:val="4"/>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(8,407)</w:t>
            </w:r>
          </w:p>
        </w:tc>
        <w:tc>
          <w:tcPr>
            <w:tcW w:w="60" w:type="dxa"/>
            <w:vAlign w:val="bottom"/>
            <w:shd w:val="clear" w:color="auto" w:fill="CCEEFF"/>
          </w:tcPr>
          <w:p>
            <w:pPr>
              <w:spacing w:after="0"/>
              <w:rPr>
                <w:sz w:val="19"/>
                <w:szCs w:val="19"/>
                <w:color w:val="auto"/>
              </w:rPr>
            </w:pPr>
          </w:p>
        </w:tc>
        <w:tc>
          <w:tcPr>
            <w:tcW w:w="1660" w:type="dxa"/>
            <w:vAlign w:val="bottom"/>
            <w:gridSpan w:val="4"/>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(38)</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(8,445)</w:t>
            </w:r>
          </w:p>
        </w:tc>
      </w:tr>
      <w:tr>
        <w:trPr>
          <w:trHeight w:val="230"/>
        </w:trPr>
        <w:tc>
          <w:tcPr>
            <w:tcW w:w="53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Other comprehensive income (loss) before reclassifications</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720" w:type="dxa"/>
            <w:vAlign w:val="bottom"/>
            <w:gridSpan w:val="5"/>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33"/>
        </w:trPr>
        <w:tc>
          <w:tcPr>
            <w:tcW w:w="5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Reclassified from accumulated other comprehensive loss</w:t>
            </w: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1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5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gridSpan w:val="2"/>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20"/>
        </w:trPr>
        <w:tc>
          <w:tcPr>
            <w:tcW w:w="5300" w:type="dxa"/>
            <w:vAlign w:val="bottom"/>
            <w:tcBorders>
              <w:bottom w:val="single" w:sz="8" w:color="CCEEFF"/>
            </w:tcBorders>
            <w:gridSpan w:val="2"/>
          </w:tcPr>
          <w:p>
            <w:pPr>
              <w:spacing w:after="0" w:line="220" w:lineRule="exact"/>
              <w:rPr>
                <w:sz w:val="20"/>
                <w:szCs w:val="20"/>
                <w:color w:val="auto"/>
              </w:rPr>
            </w:pPr>
            <w:r>
              <w:rPr>
                <w:rFonts w:ascii="Times New Roman" w:cs="Times New Roman" w:eastAsia="Times New Roman" w:hAnsi="Times New Roman"/>
                <w:sz w:val="20"/>
                <w:szCs w:val="20"/>
                <w:color w:val="auto"/>
              </w:rPr>
              <w:t>Net current-period other comprehensive income (loss)</w:t>
            </w: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gridSpan w:val="2"/>
          </w:tcPr>
          <w:p>
            <w:pPr>
              <w:jc w:val="right"/>
              <w:spacing w:after="0" w:line="220" w:lineRule="exact"/>
              <w:rPr>
                <w:sz w:val="20"/>
                <w:szCs w:val="20"/>
                <w:color w:val="auto"/>
              </w:rPr>
            </w:pPr>
            <w:r>
              <w:rPr>
                <w:rFonts w:ascii="Times New Roman" w:cs="Times New Roman" w:eastAsia="Times New Roman" w:hAnsi="Times New Roman"/>
                <w:sz w:val="20"/>
                <w:szCs w:val="20"/>
                <w:color w:val="auto"/>
              </w:rPr>
              <w:t>(3,602)</w:t>
            </w:r>
          </w:p>
        </w:tc>
        <w:tc>
          <w:tcPr>
            <w:tcW w:w="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gridSpan w:val="2"/>
          </w:tcPr>
          <w:p>
            <w:pPr>
              <w:jc w:val="right"/>
              <w:ind w:right="60"/>
              <w:spacing w:after="0" w:line="220" w:lineRule="exact"/>
              <w:rPr>
                <w:sz w:val="20"/>
                <w:szCs w:val="20"/>
                <w:color w:val="auto"/>
              </w:rPr>
            </w:pPr>
            <w:r>
              <w:rPr>
                <w:rFonts w:ascii="Times New Roman" w:cs="Times New Roman" w:eastAsia="Times New Roman" w:hAnsi="Times New Roman"/>
                <w:sz w:val="20"/>
                <w:szCs w:val="20"/>
                <w:color w:val="auto"/>
              </w:rPr>
              <w:t>95</w:t>
            </w:r>
          </w:p>
        </w:tc>
        <w:tc>
          <w:tcPr>
            <w:tcW w:w="10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(3,507)</w:t>
            </w:r>
          </w:p>
        </w:tc>
      </w:tr>
      <w:tr>
        <w:trPr>
          <w:trHeight w:val="231"/>
        </w:trPr>
        <w:tc>
          <w:tcPr>
            <w:tcW w:w="5300" w:type="dxa"/>
            <w:vAlign w:val="bottom"/>
            <w:gridSpan w:val="2"/>
            <w:shd w:val="clear" w:color="auto" w:fill="CCEEFF"/>
          </w:tcPr>
          <w:p>
            <w:pPr>
              <w:spacing w:after="0" w:line="223" w:lineRule="exact"/>
              <w:rPr>
                <w:sz w:val="20"/>
                <w:szCs w:val="20"/>
                <w:color w:val="auto"/>
              </w:rPr>
            </w:pPr>
            <w:r>
              <w:rPr>
                <w:rFonts w:ascii="Times New Roman" w:cs="Times New Roman" w:eastAsia="Times New Roman" w:hAnsi="Times New Roman"/>
                <w:sz w:val="20"/>
                <w:szCs w:val="20"/>
                <w:color w:val="auto"/>
              </w:rPr>
              <w:t>Ending balance</w:t>
            </w:r>
          </w:p>
        </w:tc>
        <w:tc>
          <w:tcPr>
            <w:tcW w:w="120" w:type="dxa"/>
            <w:vAlign w:val="bottom"/>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gridSpan w:val="2"/>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(12,009)</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560" w:type="dxa"/>
            <w:vAlign w:val="bottom"/>
            <w:tcBorders>
              <w:bottom w:val="single" w:sz="8" w:color="auto"/>
            </w:tcBorders>
            <w:gridSpan w:val="2"/>
            <w:shd w:val="clear" w:color="auto" w:fill="CCEEFF"/>
          </w:tcPr>
          <w:p>
            <w:pPr>
              <w:jc w:val="right"/>
              <w:ind w:right="60"/>
              <w:spacing w:after="0" w:line="223" w:lineRule="exact"/>
              <w:rPr>
                <w:sz w:val="20"/>
                <w:szCs w:val="20"/>
                <w:color w:val="auto"/>
              </w:rPr>
            </w:pPr>
            <w:r>
              <w:rPr>
                <w:rFonts w:ascii="Times New Roman" w:cs="Times New Roman" w:eastAsia="Times New Roman" w:hAnsi="Times New Roman"/>
                <w:sz w:val="20"/>
                <w:szCs w:val="20"/>
                <w:color w:val="auto"/>
              </w:rPr>
              <w:t>57</w:t>
            </w: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(11,952)</w:t>
            </w:r>
          </w:p>
        </w:tc>
      </w:tr>
    </w:tbl>
    <w:p>
      <w:pPr>
        <w:spacing w:after="0" w:line="200" w:lineRule="exact"/>
        <w:rPr>
          <w:sz w:val="20"/>
          <w:szCs w:val="20"/>
          <w:color w:val="auto"/>
        </w:rPr>
      </w:pPr>
    </w:p>
    <w:p>
      <w:pPr>
        <w:sectPr>
          <w:pgSz w:w="11900" w:h="16838" w:orient="portrait"/>
          <w:cols w:equalWidth="0" w:num="1">
            <w:col w:w="9380"/>
          </w:cols>
          <w:pgMar w:left="1260" w:top="838" w:right="1266" w:bottom="72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F-43</w:t>
      </w:r>
    </w:p>
    <w:p>
      <w:pPr>
        <w:sectPr>
          <w:pgSz w:w="11900" w:h="16838" w:orient="portrait"/>
          <w:cols w:equalWidth="0" w:num="1">
            <w:col w:w="9380"/>
          </w:cols>
          <w:pgMar w:left="1260" w:top="838" w:right="1266" w:bottom="723" w:gutter="0" w:footer="0" w:header="0"/>
          <w:type w:val="continuous"/>
        </w:sectPr>
      </w:pPr>
    </w:p>
    <w:bookmarkStart w:id="98" w:name="page99"/>
    <w:bookmarkEnd w:id="98"/>
    <w:p>
      <w:pPr>
        <w:ind w:left="3180"/>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795655</wp:posOffset>
            </wp:positionH>
            <wp:positionV relativeFrom="page">
              <wp:posOffset>292735</wp:posOffset>
            </wp:positionV>
            <wp:extent cx="929005" cy="1149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125">
                      <a:extLst>
                        <a:ext uri="{28A0092B-C50C-407E-A947-70E740481C1C}"/>
                      </a:extLst>
                    </a:blip>
                    <a:srcRect/>
                    <a:stretch>
                      <a:fillRect/>
                    </a:stretch>
                  </pic:blipFill>
                  <pic:spPr bwMode="auto">
                    <a:xfrm>
                      <a:off x="0" y="0"/>
                      <a:ext cx="929005" cy="114935"/>
                    </a:xfrm>
                    <a:prstGeom prst="rect">
                      <a:avLst/>
                    </a:prstGeom>
                    <a:noFill/>
                  </pic:spPr>
                </pic:pic>
              </a:graphicData>
            </a:graphic>
          </wp:anchor>
        </w:drawing>
        <w:t>EDAP TMS S.A. AND SUBSIDIARIES</w:t>
      </w:r>
    </w:p>
    <w:p>
      <w:pPr>
        <w:ind w:left="2760"/>
        <w:spacing w:after="0"/>
        <w:rPr>
          <w:sz w:val="20"/>
          <w:szCs w:val="20"/>
          <w:color w:val="auto"/>
        </w:rPr>
      </w:pPr>
      <w:r>
        <w:rPr>
          <w:rFonts w:ascii="Times New Roman" w:cs="Times New Roman" w:eastAsia="Times New Roman" w:hAnsi="Times New Roman"/>
          <w:sz w:val="20"/>
          <w:szCs w:val="20"/>
          <w:b w:val="1"/>
          <w:bCs w:val="1"/>
          <w:color w:val="auto"/>
        </w:rPr>
        <w:t>CONSOLIDATED FINANCIAL STATEMENTS</w:t>
      </w:r>
    </w:p>
    <w:p>
      <w:pPr>
        <w:ind w:left="1500"/>
        <w:spacing w:after="0"/>
        <w:rPr>
          <w:sz w:val="20"/>
          <w:szCs w:val="20"/>
          <w:color w:val="auto"/>
        </w:rPr>
      </w:pPr>
      <w:r>
        <w:rPr>
          <w:rFonts w:ascii="Times New Roman" w:cs="Times New Roman" w:eastAsia="Times New Roman" w:hAnsi="Times New Roman"/>
          <w:sz w:val="20"/>
          <w:szCs w:val="20"/>
          <w:b w:val="1"/>
          <w:bCs w:val="1"/>
          <w:color w:val="auto"/>
        </w:rPr>
        <w:t>(In thousands of U.S. dollars unless otherwise noted, except per share data)</w:t>
      </w:r>
    </w:p>
    <w:p>
      <w:pPr>
        <w:spacing w:after="0" w:line="200" w:lineRule="exact"/>
        <w:rPr>
          <w:sz w:val="20"/>
          <w:szCs w:val="20"/>
          <w:color w:val="auto"/>
        </w:rPr>
      </w:pPr>
    </w:p>
    <w:p>
      <w:pPr>
        <w:spacing w:after="0" w:line="400" w:lineRule="exact"/>
        <w:rPr>
          <w:sz w:val="20"/>
          <w:szCs w:val="20"/>
          <w:color w:val="auto"/>
        </w:rPr>
      </w:pPr>
    </w:p>
    <w:p>
      <w:pPr>
        <w:ind w:left="20"/>
        <w:spacing w:after="0"/>
        <w:rPr>
          <w:sz w:val="20"/>
          <w:szCs w:val="20"/>
          <w:color w:val="auto"/>
        </w:rPr>
      </w:pPr>
      <w:r>
        <w:rPr>
          <w:sz w:val="1"/>
          <w:szCs w:val="1"/>
          <w:color w:val="auto"/>
        </w:rPr>
        <w:drawing>
          <wp:inline distT="0" distB="0" distL="0" distR="0">
            <wp:extent cx="254635" cy="95885"/>
            <wp:effectExtent l="0" t="0" r="0" b="0"/>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126">
                      <a:extLst>
                        <a:ext uri="{28A0092B-C50C-407E-A947-70E740481C1C}"/>
                      </a:extLst>
                    </a:blip>
                    <a:srcRect/>
                    <a:stretch>
                      <a:fillRect/>
                    </a:stretch>
                  </pic:blipFill>
                  <pic:spPr bwMode="auto">
                    <a:xfrm>
                      <a:off x="0" y="0"/>
                      <a:ext cx="254635" cy="95885"/>
                    </a:xfrm>
                    <a:prstGeom prst="rect">
                      <a:avLst/>
                    </a:prstGeom>
                    <a:noFill/>
                    <a:ln>
                      <a:noFill/>
                    </a:ln>
                  </pic:spPr>
                </pic:pic>
              </a:graphicData>
            </a:graphic>
          </wp:inline>
        </w:drawing>
      </w:r>
      <w:r>
        <w:rPr>
          <w:rFonts w:ascii="Times New Roman" w:cs="Times New Roman" w:eastAsia="Times New Roman" w:hAnsi="Times New Roman"/>
          <w:sz w:val="20"/>
          <w:szCs w:val="20"/>
          <w:b w:val="1"/>
          <w:bCs w:val="1"/>
          <w:color w:val="auto"/>
        </w:rPr>
        <w:t xml:space="preserve"> TOTAL SALES</w:t>
      </w:r>
    </w:p>
    <w:p>
      <w:pPr>
        <w:spacing w:after="0" w:line="203" w:lineRule="exact"/>
        <w:rPr>
          <w:sz w:val="20"/>
          <w:szCs w:val="20"/>
          <w:color w:val="auto"/>
        </w:rPr>
      </w:pPr>
    </w:p>
    <w:p>
      <w:pPr>
        <w:jc w:val="both"/>
        <w:ind w:firstLine="720"/>
        <w:spacing w:after="0" w:line="276" w:lineRule="auto"/>
        <w:rPr>
          <w:sz w:val="20"/>
          <w:szCs w:val="20"/>
          <w:color w:val="auto"/>
        </w:rPr>
      </w:pPr>
      <w:r>
        <w:rPr>
          <w:rFonts w:ascii="Times New Roman" w:cs="Times New Roman" w:eastAsia="Times New Roman" w:hAnsi="Times New Roman"/>
          <w:sz w:val="20"/>
          <w:szCs w:val="20"/>
          <w:color w:val="auto"/>
        </w:rPr>
        <w:t>Amount of net sales derived from our operations in Asia, France, the United States. and other geographical areas, are as follows:</w:t>
      </w:r>
    </w:p>
    <w:p>
      <w:pPr>
        <w:spacing w:after="0" w:line="250"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80" w:type="dxa"/>
            <w:vAlign w:val="bottom"/>
          </w:tcPr>
          <w:p>
            <w:pPr>
              <w:spacing w:after="0"/>
              <w:rPr>
                <w:sz w:val="17"/>
                <w:szCs w:val="17"/>
                <w:color w:val="auto"/>
              </w:rPr>
            </w:pPr>
          </w:p>
        </w:tc>
        <w:tc>
          <w:tcPr>
            <w:tcW w:w="56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Primary geographical markets ($)</w:t>
            </w:r>
          </w:p>
        </w:tc>
        <w:tc>
          <w:tcPr>
            <w:tcW w:w="1840" w:type="dxa"/>
            <w:vAlign w:val="bottom"/>
            <w:tcBorders>
              <w:bottom w:val="single" w:sz="8" w:color="auto"/>
            </w:tcBorders>
            <w:gridSpan w:val="5"/>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w w:val="98"/>
              </w:rPr>
              <w:t>Year Ended December 31,</w:t>
            </w:r>
          </w:p>
        </w:tc>
        <w:tc>
          <w:tcPr>
            <w:tcW w:w="0" w:type="dxa"/>
            <w:vAlign w:val="bottom"/>
          </w:tcPr>
          <w:p>
            <w:pPr>
              <w:spacing w:after="0"/>
              <w:rPr>
                <w:sz w:val="1"/>
                <w:szCs w:val="1"/>
                <w:color w:val="auto"/>
              </w:rPr>
            </w:pPr>
          </w:p>
        </w:tc>
      </w:tr>
      <w:tr>
        <w:trPr>
          <w:trHeight w:val="177"/>
        </w:trPr>
        <w:tc>
          <w:tcPr>
            <w:tcW w:w="480" w:type="dxa"/>
            <w:vAlign w:val="bottom"/>
          </w:tcPr>
          <w:p>
            <w:pPr>
              <w:spacing w:after="0"/>
              <w:rPr>
                <w:sz w:val="15"/>
                <w:szCs w:val="15"/>
                <w:color w:val="auto"/>
              </w:rPr>
            </w:pPr>
          </w:p>
        </w:tc>
        <w:tc>
          <w:tcPr>
            <w:tcW w:w="5680" w:type="dxa"/>
            <w:vAlign w:val="bottom"/>
            <w:tcBorders>
              <w:bottom w:val="single" w:sz="8" w:color="CCEEFF"/>
            </w:tcBorders>
            <w:gridSpan w:val="2"/>
            <w:vMerge w:val="continue"/>
          </w:tcPr>
          <w:p>
            <w:pPr>
              <w:spacing w:after="0"/>
              <w:rPr>
                <w:sz w:val="15"/>
                <w:szCs w:val="15"/>
                <w:color w:val="auto"/>
              </w:rPr>
            </w:pPr>
          </w:p>
        </w:tc>
        <w:tc>
          <w:tcPr>
            <w:tcW w:w="800" w:type="dxa"/>
            <w:vAlign w:val="bottom"/>
            <w:tcBorders>
              <w:bottom w:val="single" w:sz="8" w:color="auto"/>
            </w:tcBorders>
          </w:tcPr>
          <w:p>
            <w:pPr>
              <w:jc w:val="right"/>
              <w:ind w:right="147"/>
              <w:spacing w:after="0" w:line="177" w:lineRule="exact"/>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Borders>
              <w:bottom w:val="single" w:sz="8" w:color="CCEEFF"/>
            </w:tcBorders>
            <w:gridSpan w:val="2"/>
          </w:tcPr>
          <w:p>
            <w:pPr>
              <w:spacing w:after="0"/>
              <w:rPr>
                <w:sz w:val="15"/>
                <w:szCs w:val="15"/>
                <w:color w:val="auto"/>
              </w:rPr>
            </w:pPr>
          </w:p>
        </w:tc>
        <w:tc>
          <w:tcPr>
            <w:tcW w:w="800" w:type="dxa"/>
            <w:vAlign w:val="bottom"/>
            <w:tcBorders>
              <w:bottom w:val="single" w:sz="8" w:color="auto"/>
            </w:tcBorders>
          </w:tcPr>
          <w:p>
            <w:pPr>
              <w:jc w:val="right"/>
              <w:ind w:right="150"/>
              <w:spacing w:after="0" w:line="177" w:lineRule="exact"/>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480" w:type="dxa"/>
            <w:vAlign w:val="bottom"/>
          </w:tcPr>
          <w:p>
            <w:pPr>
              <w:spacing w:after="0"/>
              <w:rPr>
                <w:sz w:val="19"/>
                <w:szCs w:val="19"/>
                <w:color w:val="auto"/>
              </w:rPr>
            </w:pPr>
          </w:p>
        </w:tc>
        <w:tc>
          <w:tcPr>
            <w:tcW w:w="5680" w:type="dxa"/>
            <w:vAlign w:val="bottom"/>
            <w:gridSpan w:val="2"/>
            <w:shd w:val="clear" w:color="auto" w:fill="CCEEFF"/>
          </w:tcPr>
          <w:p>
            <w:pPr>
              <w:spacing w:after="0" w:line="220" w:lineRule="exact"/>
              <w:rPr>
                <w:sz w:val="20"/>
                <w:szCs w:val="20"/>
                <w:color w:val="auto"/>
              </w:rPr>
            </w:pPr>
            <w:r>
              <w:rPr>
                <w:rFonts w:ascii="Times New Roman" w:cs="Times New Roman" w:eastAsia="Times New Roman" w:hAnsi="Times New Roman"/>
                <w:sz w:val="20"/>
                <w:szCs w:val="20"/>
                <w:color w:val="auto"/>
              </w:rPr>
              <w:t>Asia</w:t>
            </w:r>
          </w:p>
        </w:tc>
        <w:tc>
          <w:tcPr>
            <w:tcW w:w="800" w:type="dxa"/>
            <w:vAlign w:val="bottom"/>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19,567</w:t>
            </w:r>
          </w:p>
        </w:tc>
        <w:tc>
          <w:tcPr>
            <w:tcW w:w="1020" w:type="dxa"/>
            <w:vAlign w:val="bottom"/>
            <w:gridSpan w:val="3"/>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20,610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 w:type="dxa"/>
            <w:vAlign w:val="bottom"/>
          </w:tcPr>
          <w:p>
            <w:pPr>
              <w:spacing w:after="0"/>
              <w:rPr>
                <w:sz w:val="20"/>
                <w:szCs w:val="20"/>
                <w:color w:val="auto"/>
              </w:rPr>
            </w:pPr>
          </w:p>
        </w:tc>
        <w:tc>
          <w:tcPr>
            <w:tcW w:w="56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France</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4,589</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12,166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480" w:type="dxa"/>
            <w:vAlign w:val="bottom"/>
          </w:tcPr>
          <w:p>
            <w:pPr>
              <w:spacing w:after="0"/>
              <w:rPr>
                <w:sz w:val="20"/>
                <w:szCs w:val="20"/>
                <w:color w:val="auto"/>
              </w:rPr>
            </w:pPr>
          </w:p>
        </w:tc>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United States</w:t>
            </w:r>
          </w:p>
        </w:tc>
        <w:tc>
          <w:tcPr>
            <w:tcW w:w="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28,525</w:t>
            </w: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19,721</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80" w:type="dxa"/>
            <w:vAlign w:val="bottom"/>
          </w:tcPr>
          <w:p>
            <w:pPr>
              <w:spacing w:after="0"/>
              <w:rPr>
                <w:sz w:val="20"/>
                <w:szCs w:val="20"/>
                <w:color w:val="auto"/>
              </w:rPr>
            </w:pPr>
          </w:p>
        </w:tc>
        <w:tc>
          <w:tcPr>
            <w:tcW w:w="5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20"/>
                <w:szCs w:val="20"/>
                <w:color w:val="auto"/>
              </w:rPr>
              <w:t>Others geographical areas</w:t>
            </w:r>
          </w:p>
        </w:tc>
        <w:tc>
          <w:tcPr>
            <w:tcW w:w="2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17,845</w:t>
            </w:r>
          </w:p>
        </w:tc>
        <w:tc>
          <w:tcPr>
            <w:tcW w:w="220" w:type="dxa"/>
            <w:vAlign w:val="bottom"/>
            <w:tcBorders>
              <w:bottom w:val="single" w:sz="8" w:color="CCEEFF"/>
            </w:tcBorders>
            <w:gridSpan w:val="2"/>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16,898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480" w:type="dxa"/>
            <w:vAlign w:val="bottom"/>
          </w:tcPr>
          <w:p>
            <w:pPr>
              <w:spacing w:after="0"/>
              <w:rPr>
                <w:sz w:val="20"/>
                <w:szCs w:val="20"/>
                <w:color w:val="auto"/>
              </w:rPr>
            </w:pPr>
          </w:p>
        </w:tc>
        <w:tc>
          <w:tcPr>
            <w:tcW w:w="5660" w:type="dxa"/>
            <w:vAlign w:val="bottom"/>
            <w:shd w:val="clear" w:color="auto" w:fill="CCEEFF"/>
          </w:tcPr>
          <w:p>
            <w:pPr>
              <w:spacing w:after="0" w:line="220" w:lineRule="exact"/>
              <w:rPr>
                <w:sz w:val="20"/>
                <w:szCs w:val="20"/>
                <w:color w:val="auto"/>
              </w:rPr>
            </w:pPr>
            <w:r>
              <w:rPr>
                <w:rFonts w:ascii="Times New Roman" w:cs="Times New Roman" w:eastAsia="Times New Roman" w:hAnsi="Times New Roman"/>
                <w:sz w:val="20"/>
                <w:szCs w:val="20"/>
                <w:color w:val="auto"/>
              </w:rPr>
              <w:t>Total net sales</w:t>
            </w:r>
          </w:p>
        </w:tc>
        <w:tc>
          <w:tcPr>
            <w:tcW w:w="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line="221" w:lineRule="exact"/>
              <w:rPr>
                <w:sz w:val="20"/>
                <w:szCs w:val="20"/>
                <w:color w:val="auto"/>
              </w:rPr>
            </w:pPr>
            <w:r>
              <w:rPr>
                <w:rFonts w:ascii="Times New Roman" w:cs="Times New Roman" w:eastAsia="Times New Roman" w:hAnsi="Times New Roman"/>
                <w:sz w:val="20"/>
                <w:szCs w:val="20"/>
                <w:color w:val="auto"/>
              </w:rPr>
              <w:t>70,527</w:t>
            </w:r>
          </w:p>
        </w:tc>
        <w:tc>
          <w:tcPr>
            <w:tcW w:w="200" w:type="dxa"/>
            <w:vAlign w:val="bottom"/>
            <w:shd w:val="clear" w:color="auto" w:fill="CCEEFF"/>
          </w:tcPr>
          <w:p>
            <w:pPr>
              <w:spacing w:after="0"/>
              <w:rPr>
                <w:sz w:val="20"/>
                <w:szCs w:val="20"/>
                <w:color w:val="auto"/>
              </w:rPr>
            </w:pPr>
          </w:p>
        </w:tc>
        <w:tc>
          <w:tcPr>
            <w:tcW w:w="820" w:type="dxa"/>
            <w:vAlign w:val="bottom"/>
            <w:tcBorders>
              <w:bottom w:val="single" w:sz="8" w:color="auto"/>
            </w:tcBorders>
            <w:gridSpan w:val="2"/>
            <w:shd w:val="clear" w:color="auto" w:fill="CCEEFF"/>
          </w:tcPr>
          <w:p>
            <w:pPr>
              <w:jc w:val="right"/>
              <w:spacing w:after="0" w:line="221" w:lineRule="exact"/>
              <w:rPr>
                <w:sz w:val="20"/>
                <w:szCs w:val="20"/>
                <w:color w:val="auto"/>
              </w:rPr>
            </w:pPr>
            <w:r>
              <w:rPr>
                <w:rFonts w:ascii="Times New Roman" w:cs="Times New Roman" w:eastAsia="Times New Roman" w:hAnsi="Times New Roman"/>
                <w:sz w:val="20"/>
                <w:szCs w:val="20"/>
                <w:color w:val="auto"/>
              </w:rPr>
              <w:t>69,395</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75"/>
        </w:trPr>
        <w:tc>
          <w:tcPr>
            <w:tcW w:w="6160" w:type="dxa"/>
            <w:vAlign w:val="bottom"/>
            <w:gridSpan w:val="3"/>
          </w:tcPr>
          <w:p>
            <w:pPr>
              <w:ind w:left="260"/>
              <w:spacing w:after="0"/>
              <w:rPr>
                <w:sz w:val="20"/>
                <w:szCs w:val="20"/>
                <w:color w:val="auto"/>
              </w:rPr>
            </w:pPr>
            <w:r>
              <w:rPr>
                <w:rFonts w:ascii="Times New Roman" w:cs="Times New Roman" w:eastAsia="Times New Roman" w:hAnsi="Times New Roman"/>
                <w:sz w:val="20"/>
                <w:szCs w:val="20"/>
                <w:color w:val="auto"/>
              </w:rPr>
              <w:t>The amount of net sales is recognized following the timing below:</w:t>
            </w: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7"/>
        </w:trPr>
        <w:tc>
          <w:tcPr>
            <w:tcW w:w="480" w:type="dxa"/>
            <w:vAlign w:val="bottom"/>
          </w:tcPr>
          <w:p>
            <w:pPr>
              <w:spacing w:after="0"/>
              <w:rPr>
                <w:sz w:val="24"/>
                <w:szCs w:val="24"/>
                <w:color w:val="auto"/>
              </w:rPr>
            </w:pPr>
          </w:p>
        </w:tc>
        <w:tc>
          <w:tcPr>
            <w:tcW w:w="56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Timing of revenue recognition</w:t>
            </w:r>
          </w:p>
        </w:tc>
        <w:tc>
          <w:tcPr>
            <w:tcW w:w="1840" w:type="dxa"/>
            <w:vAlign w:val="bottom"/>
            <w:tcBorders>
              <w:bottom w:val="single" w:sz="8" w:color="auto"/>
            </w:tcBorders>
            <w:gridSpan w:val="5"/>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w w:val="98"/>
              </w:rPr>
              <w:t>Year Ended December 31,</w:t>
            </w:r>
          </w:p>
        </w:tc>
        <w:tc>
          <w:tcPr>
            <w:tcW w:w="0" w:type="dxa"/>
            <w:vAlign w:val="bottom"/>
          </w:tcPr>
          <w:p>
            <w:pPr>
              <w:spacing w:after="0"/>
              <w:rPr>
                <w:sz w:val="1"/>
                <w:szCs w:val="1"/>
                <w:color w:val="auto"/>
              </w:rPr>
            </w:pPr>
          </w:p>
        </w:tc>
      </w:tr>
      <w:tr>
        <w:trPr>
          <w:trHeight w:val="177"/>
        </w:trPr>
        <w:tc>
          <w:tcPr>
            <w:tcW w:w="480" w:type="dxa"/>
            <w:vAlign w:val="bottom"/>
          </w:tcPr>
          <w:p>
            <w:pPr>
              <w:spacing w:after="0"/>
              <w:rPr>
                <w:sz w:val="15"/>
                <w:szCs w:val="15"/>
                <w:color w:val="auto"/>
              </w:rPr>
            </w:pPr>
          </w:p>
        </w:tc>
        <w:tc>
          <w:tcPr>
            <w:tcW w:w="5680" w:type="dxa"/>
            <w:vAlign w:val="bottom"/>
            <w:tcBorders>
              <w:bottom w:val="single" w:sz="8" w:color="CCEEFF"/>
            </w:tcBorders>
            <w:gridSpan w:val="2"/>
            <w:vMerge w:val="continue"/>
          </w:tcPr>
          <w:p>
            <w:pPr>
              <w:spacing w:after="0"/>
              <w:rPr>
                <w:sz w:val="15"/>
                <w:szCs w:val="15"/>
                <w:color w:val="auto"/>
              </w:rPr>
            </w:pPr>
          </w:p>
        </w:tc>
        <w:tc>
          <w:tcPr>
            <w:tcW w:w="800" w:type="dxa"/>
            <w:vAlign w:val="bottom"/>
            <w:tcBorders>
              <w:bottom w:val="single" w:sz="8" w:color="auto"/>
            </w:tcBorders>
          </w:tcPr>
          <w:p>
            <w:pPr>
              <w:jc w:val="right"/>
              <w:ind w:right="147"/>
              <w:spacing w:after="0" w:line="177" w:lineRule="exact"/>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Borders>
              <w:bottom w:val="single" w:sz="8" w:color="CCEEFF"/>
            </w:tcBorders>
            <w:gridSpan w:val="2"/>
          </w:tcPr>
          <w:p>
            <w:pPr>
              <w:spacing w:after="0"/>
              <w:rPr>
                <w:sz w:val="15"/>
                <w:szCs w:val="15"/>
                <w:color w:val="auto"/>
              </w:rPr>
            </w:pPr>
          </w:p>
        </w:tc>
        <w:tc>
          <w:tcPr>
            <w:tcW w:w="800" w:type="dxa"/>
            <w:vAlign w:val="bottom"/>
            <w:tcBorders>
              <w:bottom w:val="single" w:sz="8" w:color="auto"/>
            </w:tcBorders>
          </w:tcPr>
          <w:p>
            <w:pPr>
              <w:jc w:val="right"/>
              <w:ind w:right="150"/>
              <w:spacing w:after="0" w:line="177" w:lineRule="exact"/>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480" w:type="dxa"/>
            <w:vAlign w:val="bottom"/>
          </w:tcPr>
          <w:p>
            <w:pPr>
              <w:spacing w:after="0"/>
              <w:rPr>
                <w:sz w:val="19"/>
                <w:szCs w:val="19"/>
                <w:color w:val="auto"/>
              </w:rPr>
            </w:pPr>
          </w:p>
        </w:tc>
        <w:tc>
          <w:tcPr>
            <w:tcW w:w="5680" w:type="dxa"/>
            <w:vAlign w:val="bottom"/>
            <w:gridSpan w:val="2"/>
            <w:shd w:val="clear" w:color="auto" w:fill="CCEEFF"/>
          </w:tcPr>
          <w:p>
            <w:pPr>
              <w:spacing w:after="0" w:line="220" w:lineRule="exact"/>
              <w:rPr>
                <w:sz w:val="20"/>
                <w:szCs w:val="20"/>
                <w:color w:val="auto"/>
              </w:rPr>
            </w:pPr>
            <w:r>
              <w:rPr>
                <w:rFonts w:ascii="Times New Roman" w:cs="Times New Roman" w:eastAsia="Times New Roman" w:hAnsi="Times New Roman"/>
                <w:sz w:val="20"/>
                <w:szCs w:val="20"/>
                <w:color w:val="auto"/>
              </w:rPr>
              <w:t>Products transferred at a point in time</w:t>
            </w:r>
          </w:p>
        </w:tc>
        <w:tc>
          <w:tcPr>
            <w:tcW w:w="800" w:type="dxa"/>
            <w:vAlign w:val="bottom"/>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55,159</w:t>
            </w:r>
          </w:p>
        </w:tc>
        <w:tc>
          <w:tcPr>
            <w:tcW w:w="1020" w:type="dxa"/>
            <w:vAlign w:val="bottom"/>
            <w:gridSpan w:val="3"/>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54,788</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 w:type="dxa"/>
            <w:vAlign w:val="bottom"/>
          </w:tcPr>
          <w:p>
            <w:pPr>
              <w:spacing w:after="0"/>
              <w:rPr>
                <w:sz w:val="20"/>
                <w:szCs w:val="20"/>
                <w:color w:val="auto"/>
              </w:rPr>
            </w:pPr>
          </w:p>
        </w:tc>
        <w:tc>
          <w:tcPr>
            <w:tcW w:w="56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20"/>
                <w:szCs w:val="20"/>
                <w:color w:val="auto"/>
              </w:rPr>
              <w:t>Products and services transferred over time</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15,368</w:t>
            </w:r>
          </w:p>
        </w:tc>
        <w:tc>
          <w:tcPr>
            <w:tcW w:w="220" w:type="dxa"/>
            <w:vAlign w:val="bottom"/>
            <w:tcBorders>
              <w:bottom w:val="single" w:sz="8" w:color="CCEEFF"/>
            </w:tcBorders>
            <w:gridSpan w:val="2"/>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14,607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480" w:type="dxa"/>
            <w:vAlign w:val="bottom"/>
          </w:tcPr>
          <w:p>
            <w:pPr>
              <w:spacing w:after="0"/>
              <w:rPr>
                <w:sz w:val="20"/>
                <w:szCs w:val="20"/>
                <w:color w:val="auto"/>
              </w:rPr>
            </w:pPr>
          </w:p>
        </w:tc>
        <w:tc>
          <w:tcPr>
            <w:tcW w:w="5660" w:type="dxa"/>
            <w:vAlign w:val="bottom"/>
            <w:shd w:val="clear" w:color="auto" w:fill="CCEEFF"/>
          </w:tcPr>
          <w:p>
            <w:pPr>
              <w:spacing w:after="0" w:line="223" w:lineRule="exact"/>
              <w:rPr>
                <w:sz w:val="20"/>
                <w:szCs w:val="20"/>
                <w:color w:val="auto"/>
              </w:rPr>
            </w:pPr>
            <w:r>
              <w:rPr>
                <w:rFonts w:ascii="Times New Roman" w:cs="Times New Roman" w:eastAsia="Times New Roman" w:hAnsi="Times New Roman"/>
                <w:sz w:val="20"/>
                <w:szCs w:val="20"/>
                <w:color w:val="auto"/>
              </w:rPr>
              <w:t>Total net sales</w:t>
            </w:r>
          </w:p>
        </w:tc>
        <w:tc>
          <w:tcPr>
            <w:tcW w:w="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70,527</w:t>
            </w: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auto"/>
            </w:tcBorders>
            <w:gridSpan w:val="2"/>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69,395</w:t>
            </w:r>
          </w:p>
        </w:tc>
        <w:tc>
          <w:tcPr>
            <w:tcW w:w="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506"/>
        </w:trPr>
        <w:tc>
          <w:tcPr>
            <w:tcW w:w="616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COSTS OF SALES</w:t>
            </w: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6160" w:type="dxa"/>
            <w:vAlign w:val="bottom"/>
            <w:gridSpan w:val="3"/>
          </w:tcPr>
          <w:p>
            <w:pPr>
              <w:ind w:left="260"/>
              <w:spacing w:after="0"/>
              <w:rPr>
                <w:sz w:val="20"/>
                <w:szCs w:val="20"/>
                <w:color w:val="auto"/>
              </w:rPr>
            </w:pPr>
            <w:r>
              <w:rPr>
                <w:rFonts w:ascii="Times New Roman" w:cs="Times New Roman" w:eastAsia="Times New Roman" w:hAnsi="Times New Roman"/>
                <w:sz w:val="20"/>
                <w:szCs w:val="20"/>
                <w:color w:val="auto"/>
              </w:rPr>
              <w:t>Costs of sales consist of the following:</w:t>
            </w: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7"/>
        </w:trPr>
        <w:tc>
          <w:tcPr>
            <w:tcW w:w="48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40" w:type="dxa"/>
            <w:vAlign w:val="bottom"/>
            <w:tcBorders>
              <w:bottom w:val="single" w:sz="8" w:color="auto"/>
            </w:tcBorders>
            <w:gridSpan w:val="5"/>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w w:val="98"/>
              </w:rPr>
              <w:t>Year Ended December 31,</w:t>
            </w:r>
          </w:p>
        </w:tc>
        <w:tc>
          <w:tcPr>
            <w:tcW w:w="0" w:type="dxa"/>
            <w:vAlign w:val="bottom"/>
          </w:tcPr>
          <w:p>
            <w:pPr>
              <w:spacing w:after="0"/>
              <w:rPr>
                <w:sz w:val="1"/>
                <w:szCs w:val="1"/>
                <w:color w:val="auto"/>
              </w:rPr>
            </w:pPr>
          </w:p>
        </w:tc>
      </w:tr>
      <w:tr>
        <w:trPr>
          <w:trHeight w:val="174"/>
        </w:trPr>
        <w:tc>
          <w:tcPr>
            <w:tcW w:w="480" w:type="dxa"/>
            <w:vAlign w:val="bottom"/>
          </w:tcPr>
          <w:p>
            <w:pPr>
              <w:spacing w:after="0"/>
              <w:rPr>
                <w:sz w:val="15"/>
                <w:szCs w:val="15"/>
                <w:color w:val="auto"/>
              </w:rPr>
            </w:pPr>
          </w:p>
        </w:tc>
        <w:tc>
          <w:tcPr>
            <w:tcW w:w="56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right"/>
              <w:ind w:right="147"/>
              <w:spacing w:after="0" w:line="175" w:lineRule="exact"/>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Borders>
              <w:bottom w:val="single" w:sz="8" w:color="CCEEFF"/>
            </w:tcBorders>
            <w:gridSpan w:val="2"/>
          </w:tcPr>
          <w:p>
            <w:pPr>
              <w:spacing w:after="0"/>
              <w:rPr>
                <w:sz w:val="15"/>
                <w:szCs w:val="15"/>
                <w:color w:val="auto"/>
              </w:rPr>
            </w:pPr>
          </w:p>
        </w:tc>
        <w:tc>
          <w:tcPr>
            <w:tcW w:w="800" w:type="dxa"/>
            <w:vAlign w:val="bottom"/>
            <w:tcBorders>
              <w:bottom w:val="single" w:sz="8" w:color="auto"/>
            </w:tcBorders>
          </w:tcPr>
          <w:p>
            <w:pPr>
              <w:jc w:val="right"/>
              <w:ind w:right="150"/>
              <w:spacing w:after="0" w:line="175" w:lineRule="exact"/>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480" w:type="dxa"/>
            <w:vAlign w:val="bottom"/>
          </w:tcPr>
          <w:p>
            <w:pPr>
              <w:spacing w:after="0"/>
              <w:rPr>
                <w:sz w:val="19"/>
                <w:szCs w:val="19"/>
                <w:color w:val="auto"/>
              </w:rPr>
            </w:pPr>
          </w:p>
        </w:tc>
        <w:tc>
          <w:tcPr>
            <w:tcW w:w="5680" w:type="dxa"/>
            <w:vAlign w:val="bottom"/>
            <w:gridSpan w:val="2"/>
            <w:shd w:val="clear" w:color="auto" w:fill="CCEEFF"/>
          </w:tcPr>
          <w:p>
            <w:pPr>
              <w:spacing w:after="0" w:line="220" w:lineRule="exact"/>
              <w:rPr>
                <w:sz w:val="20"/>
                <w:szCs w:val="20"/>
                <w:color w:val="auto"/>
              </w:rPr>
            </w:pPr>
            <w:r>
              <w:rPr>
                <w:rFonts w:ascii="Times New Roman" w:cs="Times New Roman" w:eastAsia="Times New Roman" w:hAnsi="Times New Roman"/>
                <w:sz w:val="20"/>
                <w:szCs w:val="20"/>
                <w:color w:val="auto"/>
              </w:rPr>
              <w:t>Direct costs of sales</w:t>
            </w:r>
          </w:p>
        </w:tc>
        <w:tc>
          <w:tcPr>
            <w:tcW w:w="800" w:type="dxa"/>
            <w:vAlign w:val="bottom"/>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(24,108)</w:t>
            </w:r>
          </w:p>
        </w:tc>
        <w:tc>
          <w:tcPr>
            <w:tcW w:w="1040" w:type="dxa"/>
            <w:vAlign w:val="bottom"/>
            <w:gridSpan w:val="4"/>
            <w:shd w:val="clear" w:color="auto" w:fill="CCEEFF"/>
          </w:tcPr>
          <w:p>
            <w:pPr>
              <w:jc w:val="right"/>
              <w:ind w:right="20"/>
              <w:spacing w:after="0" w:line="220" w:lineRule="exact"/>
              <w:rPr>
                <w:sz w:val="20"/>
                <w:szCs w:val="20"/>
                <w:color w:val="auto"/>
              </w:rPr>
            </w:pPr>
            <w:r>
              <w:rPr>
                <w:rFonts w:ascii="Times New Roman" w:cs="Times New Roman" w:eastAsia="Times New Roman" w:hAnsi="Times New Roman"/>
                <w:sz w:val="20"/>
                <w:szCs w:val="20"/>
                <w:color w:val="auto"/>
              </w:rPr>
              <w:t>(25,862)</w:t>
            </w:r>
          </w:p>
        </w:tc>
        <w:tc>
          <w:tcPr>
            <w:tcW w:w="0" w:type="dxa"/>
            <w:vAlign w:val="bottom"/>
          </w:tcPr>
          <w:p>
            <w:pPr>
              <w:spacing w:after="0"/>
              <w:rPr>
                <w:sz w:val="1"/>
                <w:szCs w:val="1"/>
                <w:color w:val="auto"/>
              </w:rPr>
            </w:pPr>
          </w:p>
        </w:tc>
      </w:tr>
      <w:tr>
        <w:trPr>
          <w:trHeight w:val="230"/>
        </w:trPr>
        <w:tc>
          <w:tcPr>
            <w:tcW w:w="480" w:type="dxa"/>
            <w:vAlign w:val="bottom"/>
          </w:tcPr>
          <w:p>
            <w:pPr>
              <w:spacing w:after="0"/>
              <w:rPr>
                <w:sz w:val="20"/>
                <w:szCs w:val="20"/>
                <w:color w:val="auto"/>
              </w:rPr>
            </w:pPr>
          </w:p>
        </w:tc>
        <w:tc>
          <w:tcPr>
            <w:tcW w:w="56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20"/>
                <w:szCs w:val="20"/>
                <w:color w:val="auto"/>
              </w:rPr>
              <w:t>Indirect costs of sales</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(16,417)</w:t>
            </w:r>
          </w:p>
        </w:tc>
        <w:tc>
          <w:tcPr>
            <w:tcW w:w="220" w:type="dxa"/>
            <w:vAlign w:val="bottom"/>
            <w:tcBorders>
              <w:bottom w:val="single" w:sz="8" w:color="CCEEFF"/>
            </w:tcBorders>
            <w:gridSpan w:val="2"/>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(14,789)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480" w:type="dxa"/>
            <w:vAlign w:val="bottom"/>
          </w:tcPr>
          <w:p>
            <w:pPr>
              <w:spacing w:after="0"/>
              <w:rPr>
                <w:sz w:val="20"/>
                <w:szCs w:val="20"/>
                <w:color w:val="auto"/>
              </w:rPr>
            </w:pPr>
          </w:p>
        </w:tc>
        <w:tc>
          <w:tcPr>
            <w:tcW w:w="5660" w:type="dxa"/>
            <w:vAlign w:val="bottom"/>
            <w:shd w:val="clear" w:color="auto" w:fill="CCEEFF"/>
          </w:tcPr>
          <w:p>
            <w:pPr>
              <w:spacing w:after="0" w:line="223" w:lineRule="exact"/>
              <w:rPr>
                <w:sz w:val="20"/>
                <w:szCs w:val="20"/>
                <w:color w:val="auto"/>
              </w:rPr>
            </w:pPr>
            <w:r>
              <w:rPr>
                <w:rFonts w:ascii="Times New Roman" w:cs="Times New Roman" w:eastAsia="Times New Roman" w:hAnsi="Times New Roman"/>
                <w:sz w:val="20"/>
                <w:szCs w:val="20"/>
                <w:color w:val="auto"/>
              </w:rPr>
              <w:t>Total costs of sales</w:t>
            </w:r>
          </w:p>
        </w:tc>
        <w:tc>
          <w:tcPr>
            <w:tcW w:w="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(40,526)</w:t>
            </w: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auto"/>
            </w:tcBorders>
            <w:gridSpan w:val="2"/>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(40,652)</w:t>
            </w:r>
          </w:p>
        </w:tc>
        <w:tc>
          <w:tcPr>
            <w:tcW w:w="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506"/>
        </w:trPr>
        <w:tc>
          <w:tcPr>
            <w:tcW w:w="616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RESEARCH AND DEVELOPMENT EXPENSES</w:t>
            </w: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6160" w:type="dxa"/>
            <w:vAlign w:val="bottom"/>
            <w:gridSpan w:val="3"/>
          </w:tcPr>
          <w:p>
            <w:pPr>
              <w:ind w:left="260"/>
              <w:spacing w:after="0"/>
              <w:rPr>
                <w:sz w:val="20"/>
                <w:szCs w:val="20"/>
                <w:color w:val="auto"/>
              </w:rPr>
            </w:pPr>
            <w:r>
              <w:rPr>
                <w:rFonts w:ascii="Times New Roman" w:cs="Times New Roman" w:eastAsia="Times New Roman" w:hAnsi="Times New Roman"/>
                <w:sz w:val="20"/>
                <w:szCs w:val="20"/>
                <w:color w:val="auto"/>
              </w:rPr>
              <w:t>Research and development expenses consist of the following:</w:t>
            </w: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480" w:type="dxa"/>
            <w:vAlign w:val="bottom"/>
          </w:tcPr>
          <w:p>
            <w:pPr>
              <w:spacing w:after="0"/>
              <w:rPr>
                <w:sz w:val="22"/>
                <w:szCs w:val="22"/>
                <w:color w:val="auto"/>
              </w:rPr>
            </w:pPr>
          </w:p>
        </w:tc>
        <w:tc>
          <w:tcPr>
            <w:tcW w:w="5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40" w:type="dxa"/>
            <w:vAlign w:val="bottom"/>
            <w:tcBorders>
              <w:bottom w:val="single" w:sz="8" w:color="auto"/>
            </w:tcBorders>
            <w:gridSpan w:val="5"/>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w w:val="98"/>
              </w:rPr>
              <w:t>Year Ended December 31,</w:t>
            </w:r>
          </w:p>
        </w:tc>
        <w:tc>
          <w:tcPr>
            <w:tcW w:w="0" w:type="dxa"/>
            <w:vAlign w:val="bottom"/>
          </w:tcPr>
          <w:p>
            <w:pPr>
              <w:spacing w:after="0"/>
              <w:rPr>
                <w:sz w:val="1"/>
                <w:szCs w:val="1"/>
                <w:color w:val="auto"/>
              </w:rPr>
            </w:pPr>
          </w:p>
        </w:tc>
      </w:tr>
      <w:tr>
        <w:trPr>
          <w:trHeight w:val="174"/>
        </w:trPr>
        <w:tc>
          <w:tcPr>
            <w:tcW w:w="480" w:type="dxa"/>
            <w:vAlign w:val="bottom"/>
          </w:tcPr>
          <w:p>
            <w:pPr>
              <w:spacing w:after="0"/>
              <w:rPr>
                <w:sz w:val="15"/>
                <w:szCs w:val="15"/>
                <w:color w:val="auto"/>
              </w:rPr>
            </w:pPr>
          </w:p>
        </w:tc>
        <w:tc>
          <w:tcPr>
            <w:tcW w:w="56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right"/>
              <w:ind w:right="147"/>
              <w:spacing w:after="0" w:line="175" w:lineRule="exact"/>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Borders>
              <w:bottom w:val="single" w:sz="8" w:color="CCEEFF"/>
            </w:tcBorders>
            <w:gridSpan w:val="2"/>
          </w:tcPr>
          <w:p>
            <w:pPr>
              <w:spacing w:after="0"/>
              <w:rPr>
                <w:sz w:val="15"/>
                <w:szCs w:val="15"/>
                <w:color w:val="auto"/>
              </w:rPr>
            </w:pPr>
          </w:p>
        </w:tc>
        <w:tc>
          <w:tcPr>
            <w:tcW w:w="800" w:type="dxa"/>
            <w:vAlign w:val="bottom"/>
            <w:tcBorders>
              <w:bottom w:val="single" w:sz="8" w:color="auto"/>
            </w:tcBorders>
          </w:tcPr>
          <w:p>
            <w:pPr>
              <w:jc w:val="right"/>
              <w:ind w:right="150"/>
              <w:spacing w:after="0" w:line="175" w:lineRule="exact"/>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480" w:type="dxa"/>
            <w:vAlign w:val="bottom"/>
          </w:tcPr>
          <w:p>
            <w:pPr>
              <w:spacing w:after="0"/>
              <w:rPr>
                <w:sz w:val="19"/>
                <w:szCs w:val="19"/>
                <w:color w:val="auto"/>
              </w:rPr>
            </w:pPr>
          </w:p>
        </w:tc>
        <w:tc>
          <w:tcPr>
            <w:tcW w:w="5680" w:type="dxa"/>
            <w:vAlign w:val="bottom"/>
            <w:gridSpan w:val="2"/>
            <w:shd w:val="clear" w:color="auto" w:fill="CCEEFF"/>
          </w:tcPr>
          <w:p>
            <w:pPr>
              <w:spacing w:after="0" w:line="220" w:lineRule="exact"/>
              <w:rPr>
                <w:sz w:val="20"/>
                <w:szCs w:val="20"/>
                <w:color w:val="auto"/>
              </w:rPr>
            </w:pPr>
            <w:r>
              <w:rPr>
                <w:rFonts w:ascii="Times New Roman" w:cs="Times New Roman" w:eastAsia="Times New Roman" w:hAnsi="Times New Roman"/>
                <w:sz w:val="20"/>
                <w:szCs w:val="20"/>
                <w:color w:val="auto"/>
              </w:rPr>
              <w:t>Gross research and development expenses</w:t>
            </w:r>
          </w:p>
        </w:tc>
        <w:tc>
          <w:tcPr>
            <w:tcW w:w="800" w:type="dxa"/>
            <w:vAlign w:val="bottom"/>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(10,096)</w:t>
            </w:r>
          </w:p>
        </w:tc>
        <w:tc>
          <w:tcPr>
            <w:tcW w:w="1040" w:type="dxa"/>
            <w:vAlign w:val="bottom"/>
            <w:gridSpan w:val="4"/>
            <w:shd w:val="clear" w:color="auto" w:fill="CCEEFF"/>
          </w:tcPr>
          <w:p>
            <w:pPr>
              <w:jc w:val="right"/>
              <w:ind w:right="20"/>
              <w:spacing w:after="0" w:line="220" w:lineRule="exact"/>
              <w:rPr>
                <w:sz w:val="20"/>
                <w:szCs w:val="20"/>
                <w:color w:val="auto"/>
              </w:rPr>
            </w:pPr>
            <w:r>
              <w:rPr>
                <w:rFonts w:ascii="Times New Roman" w:cs="Times New Roman" w:eastAsia="Times New Roman" w:hAnsi="Times New Roman"/>
                <w:sz w:val="20"/>
                <w:szCs w:val="20"/>
                <w:color w:val="auto"/>
              </w:rPr>
              <w:t>(9,107)</w:t>
            </w:r>
          </w:p>
        </w:tc>
        <w:tc>
          <w:tcPr>
            <w:tcW w:w="0" w:type="dxa"/>
            <w:vAlign w:val="bottom"/>
          </w:tcPr>
          <w:p>
            <w:pPr>
              <w:spacing w:after="0"/>
              <w:rPr>
                <w:sz w:val="1"/>
                <w:szCs w:val="1"/>
                <w:color w:val="auto"/>
              </w:rPr>
            </w:pPr>
          </w:p>
        </w:tc>
      </w:tr>
      <w:tr>
        <w:trPr>
          <w:trHeight w:val="230"/>
        </w:trPr>
        <w:tc>
          <w:tcPr>
            <w:tcW w:w="480" w:type="dxa"/>
            <w:vAlign w:val="bottom"/>
          </w:tcPr>
          <w:p>
            <w:pPr>
              <w:spacing w:after="0"/>
              <w:rPr>
                <w:sz w:val="20"/>
                <w:szCs w:val="20"/>
                <w:color w:val="auto"/>
              </w:rPr>
            </w:pPr>
          </w:p>
        </w:tc>
        <w:tc>
          <w:tcPr>
            <w:tcW w:w="56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Research Tax Credit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367</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496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80" w:type="dxa"/>
            <w:vAlign w:val="bottom"/>
          </w:tcPr>
          <w:p>
            <w:pPr>
              <w:spacing w:after="0"/>
              <w:rPr>
                <w:sz w:val="21"/>
                <w:szCs w:val="21"/>
                <w:color w:val="auto"/>
              </w:rPr>
            </w:pPr>
          </w:p>
        </w:tc>
        <w:tc>
          <w:tcPr>
            <w:tcW w:w="5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Grants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69</w:t>
            </w: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248</w:t>
            </w: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480" w:type="dxa"/>
            <w:vAlign w:val="bottom"/>
          </w:tcPr>
          <w:p>
            <w:pPr>
              <w:spacing w:after="0"/>
              <w:rPr>
                <w:sz w:val="18"/>
                <w:szCs w:val="18"/>
                <w:color w:val="auto"/>
              </w:rPr>
            </w:pPr>
          </w:p>
        </w:tc>
        <w:tc>
          <w:tcPr>
            <w:tcW w:w="5660" w:type="dxa"/>
            <w:vAlign w:val="bottom"/>
            <w:tcBorders>
              <w:top w:val="single" w:sz="8" w:color="CCEEFF"/>
            </w:tcBorders>
          </w:tcPr>
          <w:p>
            <w:pPr>
              <w:spacing w:after="0" w:line="200" w:lineRule="exact"/>
              <w:rPr>
                <w:sz w:val="20"/>
                <w:szCs w:val="20"/>
                <w:color w:val="auto"/>
              </w:rPr>
            </w:pPr>
            <w:r>
              <w:rPr>
                <w:rFonts w:ascii="Times New Roman" w:cs="Times New Roman" w:eastAsia="Times New Roman" w:hAnsi="Times New Roman"/>
                <w:sz w:val="20"/>
                <w:szCs w:val="20"/>
                <w:color w:val="auto"/>
              </w:rPr>
              <w:t>Net Research and development expenses</w:t>
            </w:r>
          </w:p>
        </w:tc>
        <w:tc>
          <w:tcPr>
            <w:tcW w:w="20" w:type="dxa"/>
            <w:vAlign w:val="bottom"/>
            <w:tcBorders>
              <w:top w:val="single" w:sz="8" w:color="CCEEFF"/>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(9,661)</w:t>
            </w: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(8,363)</w:t>
            </w: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-2795905</wp:posOffset>
            </wp:positionV>
            <wp:extent cx="259080" cy="9588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127">
                      <a:extLst>
                        <a:ext uri="{28A0092B-C50C-407E-A947-70E740481C1C}"/>
                      </a:extLst>
                    </a:blip>
                    <a:srcRect/>
                    <a:stretch>
                      <a:fillRect/>
                    </a:stretch>
                  </pic:blipFill>
                  <pic:spPr bwMode="auto">
                    <a:xfrm>
                      <a:off x="0" y="0"/>
                      <a:ext cx="259080" cy="9588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-1301115</wp:posOffset>
            </wp:positionV>
            <wp:extent cx="259080" cy="9271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128">
                      <a:extLst>
                        <a:ext uri="{28A0092B-C50C-407E-A947-70E740481C1C}"/>
                      </a:extLst>
                    </a:blip>
                    <a:srcRect/>
                    <a:stretch>
                      <a:fillRect/>
                    </a:stretch>
                  </pic:blipFill>
                  <pic:spPr bwMode="auto">
                    <a:xfrm>
                      <a:off x="0" y="0"/>
                      <a:ext cx="259080" cy="92710"/>
                    </a:xfrm>
                    <a:prstGeom prst="rect">
                      <a:avLst/>
                    </a:prstGeom>
                    <a:noFill/>
                  </pic:spPr>
                </pic:pic>
              </a:graphicData>
            </a:graphic>
          </wp:anchor>
        </w:drawing>
      </w:r>
    </w:p>
    <w:p>
      <w:pPr>
        <w:spacing w:after="0" w:line="191" w:lineRule="exact"/>
        <w:rPr>
          <w:sz w:val="20"/>
          <w:szCs w:val="20"/>
          <w:color w:val="auto"/>
        </w:rPr>
      </w:pPr>
    </w:p>
    <w:p>
      <w:pPr>
        <w:jc w:val="both"/>
        <w:ind w:firstLine="720"/>
        <w:spacing w:after="0" w:line="279" w:lineRule="auto"/>
        <w:rPr>
          <w:sz w:val="20"/>
          <w:szCs w:val="20"/>
          <w:color w:val="auto"/>
        </w:rPr>
      </w:pPr>
      <w:r>
        <w:rPr>
          <w:rFonts w:ascii="Times New Roman" w:cs="Times New Roman" w:eastAsia="Times New Roman" w:hAnsi="Times New Roman"/>
          <w:sz w:val="20"/>
          <w:szCs w:val="20"/>
          <w:color w:val="auto"/>
        </w:rPr>
        <w:t>In 2024, grants consisted mainly of national grants for the assessment and optimization of the focal treatments of prostate cancer (Perfuse development project).</w:t>
      </w:r>
    </w:p>
    <w:p>
      <w:pPr>
        <w:spacing w:after="0" w:line="125" w:lineRule="exact"/>
        <w:rPr>
          <w:sz w:val="20"/>
          <w:szCs w:val="20"/>
          <w:color w:val="auto"/>
        </w:rPr>
      </w:pPr>
    </w:p>
    <w:p>
      <w:pPr>
        <w:jc w:val="both"/>
        <w:ind w:firstLine="720"/>
        <w:spacing w:after="0" w:line="259" w:lineRule="auto"/>
        <w:rPr>
          <w:sz w:val="20"/>
          <w:szCs w:val="20"/>
          <w:color w:val="auto"/>
        </w:rPr>
      </w:pPr>
      <w:r>
        <w:rPr>
          <w:rFonts w:ascii="Times New Roman" w:cs="Times New Roman" w:eastAsia="Times New Roman" w:hAnsi="Times New Roman"/>
          <w:sz w:val="20"/>
          <w:szCs w:val="20"/>
          <w:color w:val="auto"/>
        </w:rPr>
        <w:t>Research and development costs are expensed as incurred and include amortization and depreciation of assets, costs of prototypes, salaries, benefits and other headcount related costs, contract and other outside service fees, and facilities and overhead costs.</w:t>
      </w:r>
    </w:p>
    <w:p>
      <w:pPr>
        <w:sectPr>
          <w:pgSz w:w="11900" w:h="16838" w:orient="portrait"/>
          <w:cols w:equalWidth="0" w:num="1">
            <w:col w:w="9380"/>
          </w:cols>
          <w:pgMar w:left="1260" w:top="838" w:right="1266" w:bottom="72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F-44</w:t>
      </w:r>
    </w:p>
    <w:p>
      <w:pPr>
        <w:sectPr>
          <w:pgSz w:w="11900" w:h="16838" w:orient="portrait"/>
          <w:cols w:equalWidth="0" w:num="1">
            <w:col w:w="9380"/>
          </w:cols>
          <w:pgMar w:left="1260" w:top="838" w:right="1266" w:bottom="723" w:gutter="0" w:footer="0" w:header="0"/>
          <w:type w:val="continuous"/>
        </w:sectPr>
      </w:pPr>
    </w:p>
    <w:bookmarkStart w:id="99" w:name="page100"/>
    <w:bookmarkEnd w:id="99"/>
    <w:p>
      <w:pPr>
        <w:ind w:left="3180"/>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795655</wp:posOffset>
            </wp:positionH>
            <wp:positionV relativeFrom="page">
              <wp:posOffset>292735</wp:posOffset>
            </wp:positionV>
            <wp:extent cx="929005" cy="1149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129">
                      <a:extLst>
                        <a:ext uri="{28A0092B-C50C-407E-A947-70E740481C1C}"/>
                      </a:extLst>
                    </a:blip>
                    <a:srcRect/>
                    <a:stretch>
                      <a:fillRect/>
                    </a:stretch>
                  </pic:blipFill>
                  <pic:spPr bwMode="auto">
                    <a:xfrm>
                      <a:off x="0" y="0"/>
                      <a:ext cx="929005" cy="114935"/>
                    </a:xfrm>
                    <a:prstGeom prst="rect">
                      <a:avLst/>
                    </a:prstGeom>
                    <a:noFill/>
                  </pic:spPr>
                </pic:pic>
              </a:graphicData>
            </a:graphic>
          </wp:anchor>
        </w:drawing>
        <w:t>EDAP TMS S.A. AND SUBSIDIARIES</w:t>
      </w:r>
    </w:p>
    <w:p>
      <w:pPr>
        <w:ind w:left="2760"/>
        <w:spacing w:after="0"/>
        <w:rPr>
          <w:sz w:val="20"/>
          <w:szCs w:val="20"/>
          <w:color w:val="auto"/>
        </w:rPr>
      </w:pPr>
      <w:r>
        <w:rPr>
          <w:rFonts w:ascii="Times New Roman" w:cs="Times New Roman" w:eastAsia="Times New Roman" w:hAnsi="Times New Roman"/>
          <w:sz w:val="20"/>
          <w:szCs w:val="20"/>
          <w:b w:val="1"/>
          <w:bCs w:val="1"/>
          <w:color w:val="auto"/>
        </w:rPr>
        <w:t>CONSOLIDATED FINANCIAL STATEMENTS</w:t>
      </w:r>
    </w:p>
    <w:p>
      <w:pPr>
        <w:ind w:left="1500"/>
        <w:spacing w:after="0"/>
        <w:rPr>
          <w:sz w:val="20"/>
          <w:szCs w:val="20"/>
          <w:color w:val="auto"/>
        </w:rPr>
      </w:pPr>
      <w:r>
        <w:rPr>
          <w:rFonts w:ascii="Times New Roman" w:cs="Times New Roman" w:eastAsia="Times New Roman" w:hAnsi="Times New Roman"/>
          <w:sz w:val="20"/>
          <w:szCs w:val="20"/>
          <w:b w:val="1"/>
          <w:bCs w:val="1"/>
          <w:color w:val="auto"/>
        </w:rPr>
        <w:t>(In thousands of U.S. dollars unless otherwise noted, except per share data)</w:t>
      </w: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sz w:val="1"/>
          <w:szCs w:val="1"/>
          <w:color w:val="auto"/>
        </w:rPr>
        <w:drawing>
          <wp:inline distT="0" distB="0" distL="0" distR="0">
            <wp:extent cx="259080" cy="94615"/>
            <wp:effectExtent l="0" t="0" r="0" b="0"/>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130">
                      <a:extLst>
                        <a:ext uri="{28A0092B-C50C-407E-A947-70E740481C1C}"/>
                      </a:extLst>
                    </a:blip>
                    <a:srcRect/>
                    <a:stretch>
                      <a:fillRect/>
                    </a:stretch>
                  </pic:blipFill>
                  <pic:spPr bwMode="auto">
                    <a:xfrm>
                      <a:off x="0" y="0"/>
                      <a:ext cx="259080" cy="94615"/>
                    </a:xfrm>
                    <a:prstGeom prst="rect">
                      <a:avLst/>
                    </a:prstGeom>
                    <a:noFill/>
                    <a:ln>
                      <a:noFill/>
                    </a:ln>
                  </pic:spPr>
                </pic:pic>
              </a:graphicData>
            </a:graphic>
          </wp:inline>
        </w:drawing>
      </w:r>
      <w:r>
        <w:rPr>
          <w:rFonts w:ascii="Times New Roman" w:cs="Times New Roman" w:eastAsia="Times New Roman" w:hAnsi="Times New Roman"/>
          <w:sz w:val="20"/>
          <w:szCs w:val="20"/>
          <w:b w:val="1"/>
          <w:bCs w:val="1"/>
          <w:color w:val="auto"/>
        </w:rPr>
        <w:t xml:space="preserve"> FINANCIAL (EXPENSE) INCOME, NET</w:t>
      </w:r>
    </w:p>
    <w:p>
      <w:pPr>
        <w:spacing w:after="0" w:line="20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Financial (expense) income, net consists of the following:</w:t>
      </w:r>
    </w:p>
    <w:p>
      <w:pPr>
        <w:spacing w:after="0" w:line="321" w:lineRule="exact"/>
        <w:rPr>
          <w:sz w:val="20"/>
          <w:szCs w:val="20"/>
          <w:color w:val="auto"/>
        </w:rPr>
      </w:pPr>
    </w:p>
    <w:tbl>
      <w:tblPr>
        <w:tblLayout w:type="fixed"/>
        <w:tblInd w:w="360" w:type="dxa"/>
        <w:tblCellMar>
          <w:top w:w="0" w:type="dxa"/>
          <w:left w:w="0" w:type="dxa"/>
          <w:bottom w:w="0" w:type="dxa"/>
          <w:right w:w="0" w:type="dxa"/>
        </w:tblCellMar>
      </w:tblPr>
      <w:tr>
        <w:trPr>
          <w:trHeight w:val="203"/>
        </w:trPr>
        <w:tc>
          <w:tcPr>
            <w:tcW w:w="580" w:type="dxa"/>
            <w:vAlign w:val="bottom"/>
          </w:tcPr>
          <w:p>
            <w:pPr>
              <w:spacing w:after="0"/>
              <w:rPr>
                <w:sz w:val="17"/>
                <w:szCs w:val="17"/>
                <w:color w:val="auto"/>
              </w:rPr>
            </w:pPr>
          </w:p>
        </w:tc>
        <w:tc>
          <w:tcPr>
            <w:tcW w:w="5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Year Ended December 31,</w:t>
            </w:r>
          </w:p>
        </w:tc>
      </w:tr>
      <w:tr>
        <w:trPr>
          <w:trHeight w:val="174"/>
        </w:trPr>
        <w:tc>
          <w:tcPr>
            <w:tcW w:w="580" w:type="dxa"/>
            <w:vAlign w:val="bottom"/>
          </w:tcPr>
          <w:p>
            <w:pPr>
              <w:spacing w:after="0"/>
              <w:rPr>
                <w:sz w:val="15"/>
                <w:szCs w:val="15"/>
                <w:color w:val="auto"/>
              </w:rPr>
            </w:pPr>
          </w:p>
        </w:tc>
        <w:tc>
          <w:tcPr>
            <w:tcW w:w="550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right"/>
              <w:ind w:right="147"/>
              <w:spacing w:after="0" w:line="175" w:lineRule="exact"/>
              <w:rPr>
                <w:sz w:val="20"/>
                <w:szCs w:val="20"/>
                <w:color w:val="auto"/>
              </w:rPr>
            </w:pPr>
            <w:r>
              <w:rPr>
                <w:rFonts w:ascii="Times New Roman" w:cs="Times New Roman" w:eastAsia="Times New Roman" w:hAnsi="Times New Roman"/>
                <w:sz w:val="16"/>
                <w:szCs w:val="16"/>
                <w:b w:val="1"/>
                <w:bCs w:val="1"/>
                <w:color w:val="auto"/>
              </w:rPr>
              <w:t>2025</w:t>
            </w:r>
          </w:p>
        </w:tc>
        <w:tc>
          <w:tcPr>
            <w:tcW w:w="4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gridSpan w:val="2"/>
          </w:tcPr>
          <w:p>
            <w:pPr>
              <w:jc w:val="right"/>
              <w:ind w:right="147"/>
              <w:spacing w:after="0" w:line="175" w:lineRule="exact"/>
              <w:rPr>
                <w:sz w:val="20"/>
                <w:szCs w:val="20"/>
                <w:color w:val="auto"/>
              </w:rPr>
            </w:pPr>
            <w:r>
              <w:rPr>
                <w:rFonts w:ascii="Times New Roman" w:cs="Times New Roman" w:eastAsia="Times New Roman" w:hAnsi="Times New Roman"/>
                <w:sz w:val="16"/>
                <w:szCs w:val="16"/>
                <w:b w:val="1"/>
                <w:bCs w:val="1"/>
                <w:color w:val="auto"/>
              </w:rPr>
              <w:t>2024</w:t>
            </w:r>
          </w:p>
        </w:tc>
      </w:tr>
      <w:tr>
        <w:trPr>
          <w:trHeight w:val="220"/>
        </w:trPr>
        <w:tc>
          <w:tcPr>
            <w:tcW w:w="580" w:type="dxa"/>
            <w:vAlign w:val="bottom"/>
          </w:tcPr>
          <w:p>
            <w:pPr>
              <w:spacing w:after="0"/>
              <w:rPr>
                <w:sz w:val="19"/>
                <w:szCs w:val="19"/>
                <w:color w:val="auto"/>
              </w:rPr>
            </w:pPr>
          </w:p>
        </w:tc>
        <w:tc>
          <w:tcPr>
            <w:tcW w:w="5680" w:type="dxa"/>
            <w:vAlign w:val="bottom"/>
            <w:gridSpan w:val="3"/>
            <w:shd w:val="clear" w:color="auto" w:fill="CCEEFF"/>
          </w:tcPr>
          <w:p>
            <w:pPr>
              <w:spacing w:after="0" w:line="220" w:lineRule="exact"/>
              <w:rPr>
                <w:sz w:val="20"/>
                <w:szCs w:val="20"/>
                <w:color w:val="auto"/>
              </w:rPr>
            </w:pPr>
            <w:r>
              <w:rPr>
                <w:rFonts w:ascii="Times New Roman" w:cs="Times New Roman" w:eastAsia="Times New Roman" w:hAnsi="Times New Roman"/>
                <w:sz w:val="20"/>
                <w:szCs w:val="20"/>
                <w:color w:val="auto"/>
              </w:rPr>
              <w:t>Interest income</w:t>
            </w:r>
          </w:p>
        </w:tc>
        <w:tc>
          <w:tcPr>
            <w:tcW w:w="780" w:type="dxa"/>
            <w:vAlign w:val="bottom"/>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252</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861</w:t>
            </w:r>
          </w:p>
        </w:tc>
      </w:tr>
      <w:tr>
        <w:trPr>
          <w:trHeight w:val="230"/>
        </w:trPr>
        <w:tc>
          <w:tcPr>
            <w:tcW w:w="580" w:type="dxa"/>
            <w:vAlign w:val="bottom"/>
          </w:tcPr>
          <w:p>
            <w:pPr>
              <w:spacing w:after="0"/>
              <w:rPr>
                <w:sz w:val="20"/>
                <w:szCs w:val="20"/>
                <w:color w:val="auto"/>
              </w:rPr>
            </w:pPr>
          </w:p>
        </w:tc>
        <w:tc>
          <w:tcPr>
            <w:tcW w:w="56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Interest expense</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(789)</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(256)</w:t>
            </w:r>
          </w:p>
        </w:tc>
      </w:tr>
      <w:tr>
        <w:trPr>
          <w:trHeight w:val="233"/>
        </w:trPr>
        <w:tc>
          <w:tcPr>
            <w:tcW w:w="580" w:type="dxa"/>
            <w:vAlign w:val="bottom"/>
          </w:tcPr>
          <w:p>
            <w:pPr>
              <w:spacing w:after="0"/>
              <w:rPr>
                <w:sz w:val="20"/>
                <w:szCs w:val="20"/>
                <w:color w:val="auto"/>
              </w:rPr>
            </w:pPr>
          </w:p>
        </w:tc>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Change in the Fair Value of EIB Warrants</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(2,574)</w:t>
            </w: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31"/>
        </w:trPr>
        <w:tc>
          <w:tcPr>
            <w:tcW w:w="580" w:type="dxa"/>
            <w:vAlign w:val="bottom"/>
          </w:tcPr>
          <w:p>
            <w:pPr>
              <w:spacing w:after="0"/>
              <w:rPr>
                <w:sz w:val="20"/>
                <w:szCs w:val="20"/>
                <w:color w:val="auto"/>
              </w:rPr>
            </w:pPr>
          </w:p>
        </w:tc>
        <w:tc>
          <w:tcPr>
            <w:tcW w:w="550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Total</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(3,110)</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rPr>
              <w:t>606</w:t>
            </w:r>
          </w:p>
        </w:tc>
      </w:tr>
      <w:tr>
        <w:trPr>
          <w:trHeight w:val="503"/>
        </w:trPr>
        <w:tc>
          <w:tcPr>
            <w:tcW w:w="6260" w:type="dxa"/>
            <w:vAlign w:val="bottom"/>
            <w:gridSpan w:val="4"/>
          </w:tcPr>
          <w:p>
            <w:pPr>
              <w:ind w:left="100"/>
              <w:spacing w:after="0"/>
              <w:rPr>
                <w:sz w:val="20"/>
                <w:szCs w:val="20"/>
                <w:color w:val="auto"/>
              </w:rPr>
            </w:pPr>
            <w:r>
              <w:rPr>
                <w:rFonts w:ascii="Times New Roman" w:cs="Times New Roman" w:eastAsia="Times New Roman" w:hAnsi="Times New Roman"/>
                <w:sz w:val="20"/>
                <w:szCs w:val="20"/>
                <w:b w:val="1"/>
                <w:bCs w:val="1"/>
                <w:color w:val="auto"/>
              </w:rPr>
              <w:t>INCOME TAXES</w:t>
            </w: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426"/>
        </w:trPr>
        <w:tc>
          <w:tcPr>
            <w:tcW w:w="6260" w:type="dxa"/>
            <w:vAlign w:val="bottom"/>
            <w:gridSpan w:val="4"/>
          </w:tcPr>
          <w:p>
            <w:pPr>
              <w:spacing w:after="0"/>
              <w:rPr>
                <w:sz w:val="20"/>
                <w:szCs w:val="20"/>
                <w:color w:val="auto"/>
              </w:rPr>
            </w:pPr>
            <w:r>
              <w:rPr>
                <w:rFonts w:ascii="Times New Roman" w:cs="Times New Roman" w:eastAsia="Times New Roman" w:hAnsi="Times New Roman"/>
                <w:sz w:val="20"/>
                <w:szCs w:val="20"/>
                <w:b w:val="1"/>
                <w:bCs w:val="1"/>
                <w:i w:val="1"/>
                <w:iCs w:val="1"/>
                <w:color w:val="auto"/>
              </w:rPr>
              <w:t>23-1   Income / (Loss) before income taxes</w:t>
            </w: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430"/>
        </w:trPr>
        <w:tc>
          <w:tcPr>
            <w:tcW w:w="6260" w:type="dxa"/>
            <w:vAlign w:val="bottom"/>
            <w:gridSpan w:val="4"/>
          </w:tcPr>
          <w:p>
            <w:pPr>
              <w:ind w:left="360"/>
              <w:spacing w:after="0"/>
              <w:rPr>
                <w:sz w:val="20"/>
                <w:szCs w:val="20"/>
                <w:color w:val="auto"/>
              </w:rPr>
            </w:pPr>
            <w:r>
              <w:rPr>
                <w:rFonts w:ascii="Times New Roman" w:cs="Times New Roman" w:eastAsia="Times New Roman" w:hAnsi="Times New Roman"/>
                <w:sz w:val="20"/>
                <w:szCs w:val="20"/>
                <w:color w:val="auto"/>
              </w:rPr>
              <w:t>Income / (loss) before income taxes is comprised of the following:</w:t>
            </w: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487"/>
        </w:trPr>
        <w:tc>
          <w:tcPr>
            <w:tcW w:w="58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Year Ended December 31,</w:t>
            </w:r>
          </w:p>
        </w:tc>
      </w:tr>
      <w:tr>
        <w:trPr>
          <w:trHeight w:val="174"/>
        </w:trPr>
        <w:tc>
          <w:tcPr>
            <w:tcW w:w="580" w:type="dxa"/>
            <w:vAlign w:val="bottom"/>
          </w:tcPr>
          <w:p>
            <w:pPr>
              <w:spacing w:after="0"/>
              <w:rPr>
                <w:sz w:val="15"/>
                <w:szCs w:val="15"/>
                <w:color w:val="auto"/>
              </w:rPr>
            </w:pPr>
          </w:p>
        </w:tc>
        <w:tc>
          <w:tcPr>
            <w:tcW w:w="550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right"/>
              <w:ind w:right="127"/>
              <w:spacing w:after="0" w:line="175" w:lineRule="exact"/>
              <w:rPr>
                <w:sz w:val="20"/>
                <w:szCs w:val="20"/>
                <w:color w:val="auto"/>
              </w:rPr>
            </w:pPr>
            <w:r>
              <w:rPr>
                <w:rFonts w:ascii="Times New Roman" w:cs="Times New Roman" w:eastAsia="Times New Roman" w:hAnsi="Times New Roman"/>
                <w:sz w:val="16"/>
                <w:szCs w:val="16"/>
                <w:b w:val="1"/>
                <w:bCs w:val="1"/>
                <w:color w:val="auto"/>
              </w:rPr>
              <w:t>2025</w:t>
            </w:r>
          </w:p>
        </w:tc>
        <w:tc>
          <w:tcPr>
            <w:tcW w:w="40" w:type="dxa"/>
            <w:vAlign w:val="bottom"/>
            <w:tcBorders>
              <w:bottom w:val="single" w:sz="8" w:color="auto"/>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right"/>
              <w:ind w:right="127"/>
              <w:spacing w:after="0" w:line="175" w:lineRule="exact"/>
              <w:rPr>
                <w:sz w:val="20"/>
                <w:szCs w:val="20"/>
                <w:color w:val="auto"/>
              </w:rPr>
            </w:pPr>
            <w:r>
              <w:rPr>
                <w:rFonts w:ascii="Times New Roman" w:cs="Times New Roman" w:eastAsia="Times New Roman" w:hAnsi="Times New Roman"/>
                <w:sz w:val="16"/>
                <w:szCs w:val="16"/>
                <w:b w:val="1"/>
                <w:bCs w:val="1"/>
                <w:color w:val="auto"/>
              </w:rPr>
              <w:t>2024</w:t>
            </w:r>
          </w:p>
        </w:tc>
      </w:tr>
      <w:tr>
        <w:trPr>
          <w:trHeight w:val="220"/>
        </w:trPr>
        <w:tc>
          <w:tcPr>
            <w:tcW w:w="580" w:type="dxa"/>
            <w:vAlign w:val="bottom"/>
          </w:tcPr>
          <w:p>
            <w:pPr>
              <w:spacing w:after="0"/>
              <w:rPr>
                <w:sz w:val="19"/>
                <w:szCs w:val="19"/>
                <w:color w:val="auto"/>
              </w:rPr>
            </w:pPr>
          </w:p>
        </w:tc>
        <w:tc>
          <w:tcPr>
            <w:tcW w:w="5680" w:type="dxa"/>
            <w:vAlign w:val="bottom"/>
            <w:gridSpan w:val="3"/>
            <w:shd w:val="clear" w:color="auto" w:fill="CCEEFF"/>
          </w:tcPr>
          <w:p>
            <w:pPr>
              <w:spacing w:after="0" w:line="220" w:lineRule="exact"/>
              <w:rPr>
                <w:sz w:val="20"/>
                <w:szCs w:val="20"/>
                <w:color w:val="auto"/>
              </w:rPr>
            </w:pPr>
            <w:r>
              <w:rPr>
                <w:rFonts w:ascii="Times New Roman" w:cs="Times New Roman" w:eastAsia="Times New Roman" w:hAnsi="Times New Roman"/>
                <w:sz w:val="20"/>
                <w:szCs w:val="20"/>
                <w:color w:val="auto"/>
              </w:rPr>
              <w:t>France</w:t>
            </w:r>
          </w:p>
        </w:tc>
        <w:tc>
          <w:tcPr>
            <w:tcW w:w="820" w:type="dxa"/>
            <w:vAlign w:val="bottom"/>
            <w:gridSpan w:val="2"/>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(15,513)</w:t>
            </w: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(5,630)</w:t>
            </w:r>
          </w:p>
        </w:tc>
      </w:tr>
      <w:tr>
        <w:trPr>
          <w:trHeight w:val="228"/>
        </w:trPr>
        <w:tc>
          <w:tcPr>
            <w:tcW w:w="580" w:type="dxa"/>
            <w:vAlign w:val="bottom"/>
          </w:tcPr>
          <w:p>
            <w:pPr>
              <w:spacing w:after="0"/>
              <w:rPr>
                <w:sz w:val="19"/>
                <w:szCs w:val="19"/>
                <w:color w:val="auto"/>
              </w:rPr>
            </w:pPr>
          </w:p>
        </w:tc>
        <w:tc>
          <w:tcPr>
            <w:tcW w:w="5680" w:type="dxa"/>
            <w:vAlign w:val="bottom"/>
            <w:tcBorders>
              <w:bottom w:val="single" w:sz="8" w:color="CCEEFF"/>
            </w:tcBorders>
            <w:gridSpan w:val="3"/>
          </w:tcPr>
          <w:p>
            <w:pPr>
              <w:spacing w:after="0" w:line="228" w:lineRule="exact"/>
              <w:rPr>
                <w:sz w:val="20"/>
                <w:szCs w:val="20"/>
                <w:color w:val="auto"/>
              </w:rPr>
            </w:pPr>
            <w:r>
              <w:rPr>
                <w:rFonts w:ascii="Times New Roman" w:cs="Times New Roman" w:eastAsia="Times New Roman" w:hAnsi="Times New Roman"/>
                <w:sz w:val="20"/>
                <w:szCs w:val="20"/>
                <w:color w:val="auto"/>
              </w:rPr>
              <w:t>Other countries</w:t>
            </w:r>
          </w:p>
        </w:tc>
        <w:tc>
          <w:tcPr>
            <w:tcW w:w="820" w:type="dxa"/>
            <w:vAlign w:val="bottom"/>
            <w:tcBorders>
              <w:bottom w:val="single" w:sz="8" w:color="auto"/>
            </w:tcBorders>
            <w:gridSpan w:val="2"/>
          </w:tcPr>
          <w:p>
            <w:pPr>
              <w:jc w:val="right"/>
              <w:spacing w:after="0" w:line="228" w:lineRule="exact"/>
              <w:rPr>
                <w:sz w:val="20"/>
                <w:szCs w:val="20"/>
                <w:color w:val="auto"/>
              </w:rPr>
            </w:pPr>
            <w:r>
              <w:rPr>
                <w:rFonts w:ascii="Times New Roman" w:cs="Times New Roman" w:eastAsia="Times New Roman" w:hAnsi="Times New Roman"/>
                <w:sz w:val="20"/>
                <w:szCs w:val="20"/>
                <w:color w:val="auto"/>
              </w:rPr>
              <w:t>(13,295)</w:t>
            </w:r>
          </w:p>
        </w:tc>
        <w:tc>
          <w:tcPr>
            <w:tcW w:w="1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jc w:val="right"/>
              <w:spacing w:after="0" w:line="228" w:lineRule="exact"/>
              <w:rPr>
                <w:sz w:val="20"/>
                <w:szCs w:val="20"/>
                <w:color w:val="auto"/>
              </w:rPr>
            </w:pPr>
            <w:r>
              <w:rPr>
                <w:rFonts w:ascii="Times New Roman" w:cs="Times New Roman" w:eastAsia="Times New Roman" w:hAnsi="Times New Roman"/>
                <w:sz w:val="20"/>
                <w:szCs w:val="20"/>
                <w:color w:val="auto"/>
              </w:rPr>
              <w:t>(14,641)</w:t>
            </w:r>
          </w:p>
        </w:tc>
      </w:tr>
      <w:tr>
        <w:trPr>
          <w:trHeight w:val="231"/>
        </w:trPr>
        <w:tc>
          <w:tcPr>
            <w:tcW w:w="580" w:type="dxa"/>
            <w:vAlign w:val="bottom"/>
          </w:tcPr>
          <w:p>
            <w:pPr>
              <w:spacing w:after="0"/>
              <w:rPr>
                <w:sz w:val="20"/>
                <w:szCs w:val="20"/>
                <w:color w:val="auto"/>
              </w:rPr>
            </w:pPr>
          </w:p>
        </w:tc>
        <w:tc>
          <w:tcPr>
            <w:tcW w:w="5660" w:type="dxa"/>
            <w:vAlign w:val="bottom"/>
            <w:gridSpan w:val="2"/>
            <w:shd w:val="clear" w:color="auto" w:fill="CCEEFF"/>
          </w:tcPr>
          <w:p>
            <w:pPr>
              <w:spacing w:after="0" w:line="221" w:lineRule="exact"/>
              <w:rPr>
                <w:sz w:val="20"/>
                <w:szCs w:val="20"/>
                <w:color w:val="auto"/>
              </w:rPr>
            </w:pPr>
            <w:r>
              <w:rPr>
                <w:rFonts w:ascii="Times New Roman" w:cs="Times New Roman" w:eastAsia="Times New Roman" w:hAnsi="Times New Roman"/>
                <w:sz w:val="20"/>
                <w:szCs w:val="20"/>
                <w:color w:val="auto"/>
              </w:rPr>
              <w:t>Total</w:t>
            </w:r>
          </w:p>
        </w:tc>
        <w:tc>
          <w:tcPr>
            <w:tcW w:w="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gridSpan w:val="2"/>
            <w:shd w:val="clear" w:color="auto" w:fill="CCEEFF"/>
          </w:tcPr>
          <w:p>
            <w:pPr>
              <w:jc w:val="right"/>
              <w:spacing w:after="0" w:line="221" w:lineRule="exact"/>
              <w:rPr>
                <w:sz w:val="20"/>
                <w:szCs w:val="20"/>
                <w:color w:val="auto"/>
              </w:rPr>
            </w:pPr>
            <w:r>
              <w:rPr>
                <w:rFonts w:ascii="Times New Roman" w:cs="Times New Roman" w:eastAsia="Times New Roman" w:hAnsi="Times New Roman"/>
                <w:sz w:val="20"/>
                <w:szCs w:val="20"/>
                <w:color w:val="auto"/>
              </w:rPr>
              <w:t>(28,808)</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0" w:type="dxa"/>
            <w:vAlign w:val="bottom"/>
            <w:tcBorders>
              <w:bottom w:val="single" w:sz="8" w:color="auto"/>
            </w:tcBorders>
            <w:gridSpan w:val="2"/>
            <w:shd w:val="clear" w:color="auto" w:fill="CCEEFF"/>
          </w:tcPr>
          <w:p>
            <w:pPr>
              <w:jc w:val="right"/>
              <w:spacing w:after="0" w:line="221" w:lineRule="exact"/>
              <w:rPr>
                <w:sz w:val="20"/>
                <w:szCs w:val="20"/>
                <w:color w:val="auto"/>
              </w:rPr>
            </w:pPr>
            <w:r>
              <w:rPr>
                <w:rFonts w:ascii="Times New Roman" w:cs="Times New Roman" w:eastAsia="Times New Roman" w:hAnsi="Times New Roman"/>
                <w:sz w:val="20"/>
                <w:szCs w:val="20"/>
                <w:color w:val="auto"/>
              </w:rPr>
              <w:t>(20,271)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-1575435</wp:posOffset>
            </wp:positionV>
            <wp:extent cx="259080" cy="9588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131">
                      <a:extLst>
                        <a:ext uri="{28A0092B-C50C-407E-A947-70E740481C1C}"/>
                      </a:extLst>
                    </a:blip>
                    <a:srcRect/>
                    <a:stretch>
                      <a:fillRect/>
                    </a:stretch>
                  </pic:blipFill>
                  <pic:spPr bwMode="auto">
                    <a:xfrm>
                      <a:off x="0" y="0"/>
                      <a:ext cx="259080" cy="95885"/>
                    </a:xfrm>
                    <a:prstGeom prst="rect">
                      <a:avLst/>
                    </a:prstGeom>
                    <a:noFill/>
                  </pic:spPr>
                </pic:pic>
              </a:graphicData>
            </a:graphic>
          </wp:anchor>
        </w:drawing>
      </w:r>
    </w:p>
    <w:p>
      <w:pPr>
        <w:spacing w:after="0" w:line="192" w:lineRule="exact"/>
        <w:rPr>
          <w:sz w:val="20"/>
          <w:szCs w:val="20"/>
          <w:color w:val="auto"/>
        </w:rPr>
      </w:pPr>
    </w:p>
    <w:p>
      <w:pPr>
        <w:ind w:left="360"/>
        <w:spacing w:after="0"/>
        <w:tabs>
          <w:tab w:leader="none" w:pos="960" w:val="left"/>
        </w:tabs>
        <w:rPr>
          <w:sz w:val="20"/>
          <w:szCs w:val="20"/>
          <w:color w:val="auto"/>
        </w:rPr>
      </w:pPr>
      <w:r>
        <w:rPr>
          <w:rFonts w:ascii="Times New Roman" w:cs="Times New Roman" w:eastAsia="Times New Roman" w:hAnsi="Times New Roman"/>
          <w:sz w:val="20"/>
          <w:szCs w:val="20"/>
          <w:b w:val="1"/>
          <w:bCs w:val="1"/>
          <w:i w:val="1"/>
          <w:iCs w:val="1"/>
          <w:color w:val="auto"/>
        </w:rPr>
        <w:t>23-2</w:t>
        <w:tab/>
        <w:t>Income tax (expense)/ benefit</w:t>
      </w:r>
    </w:p>
    <w:p>
      <w:pPr>
        <w:spacing w:after="0" w:line="19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Income tax (expense)/benefit consists of the following:</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174"/>
        </w:trPr>
        <w:tc>
          <w:tcPr>
            <w:tcW w:w="7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jc w:val="right"/>
              <w:ind w:right="145"/>
              <w:spacing w:after="0" w:line="175" w:lineRule="exact"/>
              <w:rPr>
                <w:sz w:val="20"/>
                <w:szCs w:val="20"/>
                <w:color w:val="auto"/>
              </w:rPr>
            </w:pPr>
            <w:r>
              <w:rPr>
                <w:rFonts w:ascii="Times New Roman" w:cs="Times New Roman" w:eastAsia="Times New Roman" w:hAnsi="Times New Roman"/>
                <w:sz w:val="16"/>
                <w:szCs w:val="16"/>
                <w:b w:val="1"/>
                <w:bCs w:val="1"/>
                <w:color w:val="auto"/>
              </w:rPr>
              <w:t>2025</w:t>
            </w:r>
          </w:p>
        </w:tc>
        <w:tc>
          <w:tcPr>
            <w:tcW w:w="1100" w:type="dxa"/>
            <w:vAlign w:val="bottom"/>
            <w:gridSpan w:val="3"/>
          </w:tcPr>
          <w:p>
            <w:pPr>
              <w:jc w:val="right"/>
              <w:ind w:right="160"/>
              <w:spacing w:after="0" w:line="175" w:lineRule="exact"/>
              <w:rPr>
                <w:sz w:val="20"/>
                <w:szCs w:val="20"/>
                <w:color w:val="auto"/>
              </w:rPr>
            </w:pPr>
            <w:r>
              <w:rPr>
                <w:rFonts w:ascii="Times New Roman" w:cs="Times New Roman" w:eastAsia="Times New Roman" w:hAnsi="Times New Roman"/>
                <w:sz w:val="16"/>
                <w:szCs w:val="16"/>
                <w:b w:val="1"/>
                <w:bCs w:val="1"/>
                <w:color w:val="auto"/>
              </w:rPr>
              <w:t>2024</w:t>
            </w:r>
          </w:p>
        </w:tc>
      </w:tr>
      <w:tr>
        <w:trPr>
          <w:trHeight w:val="220"/>
        </w:trPr>
        <w:tc>
          <w:tcPr>
            <w:tcW w:w="7500" w:type="dxa"/>
            <w:vAlign w:val="bottom"/>
            <w:tcBorders>
              <w:top w:val="single" w:sz="8" w:color="CCEEFF"/>
            </w:tcBorders>
            <w:gridSpan w:val="2"/>
            <w:shd w:val="clear" w:color="auto" w:fill="CCEEFF"/>
          </w:tcPr>
          <w:p>
            <w:pPr>
              <w:spacing w:after="0" w:line="220" w:lineRule="exact"/>
              <w:rPr>
                <w:sz w:val="20"/>
                <w:szCs w:val="20"/>
                <w:color w:val="auto"/>
              </w:rPr>
            </w:pPr>
            <w:r>
              <w:rPr>
                <w:rFonts w:ascii="Times New Roman" w:cs="Times New Roman" w:eastAsia="Times New Roman" w:hAnsi="Times New Roman"/>
                <w:sz w:val="20"/>
                <w:szCs w:val="20"/>
                <w:i w:val="1"/>
                <w:iCs w:val="1"/>
                <w:color w:val="auto"/>
              </w:rPr>
              <w:t>Current income tax expense:</w:t>
            </w:r>
          </w:p>
        </w:tc>
        <w:tc>
          <w:tcPr>
            <w:tcW w:w="78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r>
      <w:tr>
        <w:trPr>
          <w:trHeight w:val="233"/>
        </w:trPr>
        <w:tc>
          <w:tcPr>
            <w:tcW w:w="75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France</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(50)</w:t>
            </w:r>
          </w:p>
        </w:tc>
      </w:tr>
      <w:tr>
        <w:trPr>
          <w:trHeight w:val="230"/>
        </w:trPr>
        <w:tc>
          <w:tcPr>
            <w:tcW w:w="7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Other countries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(558)</w:t>
            </w: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(384)</w:t>
            </w:r>
          </w:p>
        </w:tc>
      </w:tr>
      <w:tr>
        <w:trPr>
          <w:trHeight w:val="220"/>
        </w:trPr>
        <w:tc>
          <w:tcPr>
            <w:tcW w:w="7500" w:type="dxa"/>
            <w:vAlign w:val="bottom"/>
            <w:tcBorders>
              <w:bottom w:val="single" w:sz="8" w:color="CCEEFF"/>
            </w:tcBorders>
            <w:gridSpan w:val="2"/>
          </w:tcPr>
          <w:p>
            <w:pPr>
              <w:spacing w:after="0" w:line="220" w:lineRule="exact"/>
              <w:rPr>
                <w:sz w:val="20"/>
                <w:szCs w:val="20"/>
                <w:color w:val="auto"/>
              </w:rPr>
            </w:pPr>
            <w:r>
              <w:rPr>
                <w:rFonts w:ascii="Times New Roman" w:cs="Times New Roman" w:eastAsia="Times New Roman" w:hAnsi="Times New Roman"/>
                <w:sz w:val="20"/>
                <w:szCs w:val="20"/>
                <w:color w:val="auto"/>
              </w:rPr>
              <w:t>Sub-total current income tax expense</w:t>
            </w:r>
          </w:p>
        </w:tc>
        <w:tc>
          <w:tcPr>
            <w:tcW w:w="78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(603)</w:t>
            </w:r>
          </w:p>
        </w:tc>
        <w:tc>
          <w:tcPr>
            <w:tcW w:w="2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(434)</w:t>
            </w:r>
          </w:p>
        </w:tc>
      </w:tr>
      <w:tr>
        <w:trPr>
          <w:trHeight w:val="222"/>
        </w:trPr>
        <w:tc>
          <w:tcPr>
            <w:tcW w:w="7500" w:type="dxa"/>
            <w:vAlign w:val="bottom"/>
            <w:gridSpan w:val="2"/>
            <w:shd w:val="clear" w:color="auto" w:fill="CCEEFF"/>
          </w:tcPr>
          <w:p>
            <w:pPr>
              <w:spacing w:after="0" w:line="223" w:lineRule="exact"/>
              <w:rPr>
                <w:sz w:val="20"/>
                <w:szCs w:val="20"/>
                <w:color w:val="auto"/>
              </w:rPr>
            </w:pPr>
            <w:r>
              <w:rPr>
                <w:rFonts w:ascii="Times New Roman" w:cs="Times New Roman" w:eastAsia="Times New Roman" w:hAnsi="Times New Roman"/>
                <w:sz w:val="20"/>
                <w:szCs w:val="20"/>
                <w:i w:val="1"/>
                <w:iCs w:val="1"/>
                <w:color w:val="auto"/>
              </w:rPr>
              <w:t>Deferred income tax (expense) benefit:</w:t>
            </w:r>
          </w:p>
        </w:tc>
        <w:tc>
          <w:tcPr>
            <w:tcW w:w="7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0"/>
        </w:trPr>
        <w:tc>
          <w:tcPr>
            <w:tcW w:w="75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France</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5</w:t>
            </w:r>
          </w:p>
        </w:tc>
      </w:tr>
      <w:tr>
        <w:trPr>
          <w:trHeight w:val="230"/>
        </w:trPr>
        <w:tc>
          <w:tcPr>
            <w:tcW w:w="7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Other countries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163</w:t>
            </w: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116</w:t>
            </w:r>
          </w:p>
        </w:tc>
      </w:tr>
      <w:tr>
        <w:trPr>
          <w:trHeight w:val="222"/>
        </w:trPr>
        <w:tc>
          <w:tcPr>
            <w:tcW w:w="7500" w:type="dxa"/>
            <w:vAlign w:val="bottom"/>
            <w:tcBorders>
              <w:bottom w:val="single" w:sz="8" w:color="CCEEFF"/>
            </w:tcBorders>
            <w:gridSpan w:val="2"/>
          </w:tcPr>
          <w:p>
            <w:pPr>
              <w:spacing w:after="0" w:line="223" w:lineRule="exact"/>
              <w:rPr>
                <w:sz w:val="20"/>
                <w:szCs w:val="20"/>
                <w:color w:val="auto"/>
              </w:rPr>
            </w:pPr>
            <w:r>
              <w:rPr>
                <w:rFonts w:ascii="Times New Roman" w:cs="Times New Roman" w:eastAsia="Times New Roman" w:hAnsi="Times New Roman"/>
                <w:sz w:val="20"/>
                <w:szCs w:val="20"/>
                <w:color w:val="auto"/>
              </w:rPr>
              <w:t>Sub-total deferred income tax (expense) benefit</w:t>
            </w:r>
          </w:p>
        </w:tc>
        <w:tc>
          <w:tcPr>
            <w:tcW w:w="780" w:type="dxa"/>
            <w:vAlign w:val="bottom"/>
            <w:tcBorders>
              <w:top w:val="single" w:sz="8" w:color="auto"/>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165</w:t>
            </w:r>
          </w:p>
        </w:tc>
        <w:tc>
          <w:tcPr>
            <w:tcW w:w="2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121</w:t>
            </w:r>
          </w:p>
        </w:tc>
      </w:tr>
      <w:tr>
        <w:trPr>
          <w:trHeight w:val="229"/>
        </w:trPr>
        <w:tc>
          <w:tcPr>
            <w:tcW w:w="7480" w:type="dxa"/>
            <w:vAlign w:val="bottom"/>
            <w:shd w:val="clear" w:color="auto" w:fill="CCEEFF"/>
          </w:tcPr>
          <w:p>
            <w:pPr>
              <w:spacing w:after="0" w:line="220" w:lineRule="exact"/>
              <w:rPr>
                <w:sz w:val="20"/>
                <w:szCs w:val="20"/>
                <w:color w:val="auto"/>
              </w:rPr>
            </w:pPr>
            <w:r>
              <w:rPr>
                <w:rFonts w:ascii="Times New Roman" w:cs="Times New Roman" w:eastAsia="Times New Roman" w:hAnsi="Times New Roman"/>
                <w:sz w:val="20"/>
                <w:szCs w:val="20"/>
                <w:color w:val="auto"/>
              </w:rPr>
              <w:t>Total</w:t>
            </w:r>
          </w:p>
        </w:tc>
        <w:tc>
          <w:tcPr>
            <w:tcW w:w="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(438)</w:t>
            </w:r>
          </w:p>
        </w:tc>
        <w:tc>
          <w:tcPr>
            <w:tcW w:w="240" w:type="dxa"/>
            <w:vAlign w:val="bottom"/>
            <w:shd w:val="clear" w:color="auto" w:fill="CCEEFF"/>
          </w:tcPr>
          <w:p>
            <w:pPr>
              <w:spacing w:after="0"/>
              <w:rPr>
                <w:sz w:val="19"/>
                <w:szCs w:val="19"/>
                <w:color w:val="auto"/>
              </w:rPr>
            </w:pPr>
          </w:p>
        </w:tc>
        <w:tc>
          <w:tcPr>
            <w:tcW w:w="860" w:type="dxa"/>
            <w:vAlign w:val="bottom"/>
            <w:tcBorders>
              <w:bottom w:val="single" w:sz="8" w:color="auto"/>
            </w:tcBorders>
            <w:gridSpan w:val="2"/>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(313)</w:t>
            </w:r>
          </w:p>
        </w:tc>
      </w:tr>
    </w:tbl>
    <w:p>
      <w:pPr>
        <w:spacing w:after="0" w:line="200" w:lineRule="exact"/>
        <w:rPr>
          <w:sz w:val="20"/>
          <w:szCs w:val="20"/>
          <w:color w:val="auto"/>
        </w:rPr>
      </w:pPr>
    </w:p>
    <w:p>
      <w:pPr>
        <w:sectPr>
          <w:pgSz w:w="11900" w:h="16838" w:orient="portrait"/>
          <w:cols w:equalWidth="0" w:num="1">
            <w:col w:w="9380"/>
          </w:cols>
          <w:pgMar w:left="1260" w:top="838" w:right="1266" w:bottom="72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F-45</w:t>
      </w:r>
    </w:p>
    <w:p>
      <w:pPr>
        <w:sectPr>
          <w:pgSz w:w="11900" w:h="16838" w:orient="portrait"/>
          <w:cols w:equalWidth="0" w:num="1">
            <w:col w:w="9380"/>
          </w:cols>
          <w:pgMar w:left="1260" w:top="838" w:right="1266" w:bottom="723" w:gutter="0" w:footer="0" w:header="0"/>
          <w:type w:val="continuous"/>
        </w:sectPr>
      </w:pPr>
    </w:p>
    <w:bookmarkStart w:id="100" w:name="page101"/>
    <w:bookmarkEnd w:id="100"/>
    <w:p>
      <w:pPr>
        <w:ind w:left="3180"/>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795655</wp:posOffset>
            </wp:positionH>
            <wp:positionV relativeFrom="page">
              <wp:posOffset>292735</wp:posOffset>
            </wp:positionV>
            <wp:extent cx="929005" cy="1149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32">
                      <a:extLst>
                        <a:ext uri="{28A0092B-C50C-407E-A947-70E740481C1C}"/>
                      </a:extLst>
                    </a:blip>
                    <a:srcRect/>
                    <a:stretch>
                      <a:fillRect/>
                    </a:stretch>
                  </pic:blipFill>
                  <pic:spPr bwMode="auto">
                    <a:xfrm>
                      <a:off x="0" y="0"/>
                      <a:ext cx="929005" cy="114935"/>
                    </a:xfrm>
                    <a:prstGeom prst="rect">
                      <a:avLst/>
                    </a:prstGeom>
                    <a:noFill/>
                  </pic:spPr>
                </pic:pic>
              </a:graphicData>
            </a:graphic>
          </wp:anchor>
        </w:drawing>
        <w:t>EDAP TMS S.A. AND SUBSIDIARIES</w:t>
      </w:r>
    </w:p>
    <w:p>
      <w:pPr>
        <w:ind w:left="2760"/>
        <w:spacing w:after="0"/>
        <w:rPr>
          <w:sz w:val="20"/>
          <w:szCs w:val="20"/>
          <w:color w:val="auto"/>
        </w:rPr>
      </w:pPr>
      <w:r>
        <w:rPr>
          <w:rFonts w:ascii="Times New Roman" w:cs="Times New Roman" w:eastAsia="Times New Roman" w:hAnsi="Times New Roman"/>
          <w:sz w:val="20"/>
          <w:szCs w:val="20"/>
          <w:b w:val="1"/>
          <w:bCs w:val="1"/>
          <w:color w:val="auto"/>
        </w:rPr>
        <w:t>CONSOLIDATED FINANCIAL STATEMENTS</w:t>
      </w:r>
    </w:p>
    <w:p>
      <w:pPr>
        <w:ind w:left="1500"/>
        <w:spacing w:after="0"/>
        <w:rPr>
          <w:sz w:val="20"/>
          <w:szCs w:val="20"/>
          <w:color w:val="auto"/>
        </w:rPr>
      </w:pPr>
      <w:r>
        <w:rPr>
          <w:rFonts w:ascii="Times New Roman" w:cs="Times New Roman" w:eastAsia="Times New Roman" w:hAnsi="Times New Roman"/>
          <w:sz w:val="20"/>
          <w:szCs w:val="20"/>
          <w:b w:val="1"/>
          <w:bCs w:val="1"/>
          <w:color w:val="auto"/>
        </w:rPr>
        <w:t>(In thousands of U.S. dollars unless otherwise noted, except per share data)</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60"/>
        <w:spacing w:after="0"/>
        <w:tabs>
          <w:tab w:leader="none" w:pos="960" w:val="left"/>
        </w:tabs>
        <w:rPr>
          <w:sz w:val="20"/>
          <w:szCs w:val="20"/>
          <w:color w:val="auto"/>
        </w:rPr>
      </w:pPr>
      <w:r>
        <w:rPr>
          <w:rFonts w:ascii="Times New Roman" w:cs="Times New Roman" w:eastAsia="Times New Roman" w:hAnsi="Times New Roman"/>
          <w:sz w:val="20"/>
          <w:szCs w:val="20"/>
          <w:b w:val="1"/>
          <w:bCs w:val="1"/>
          <w:i w:val="1"/>
          <w:iCs w:val="1"/>
          <w:color w:val="auto"/>
        </w:rPr>
        <w:t>23-3</w:t>
      </w:r>
      <w:r>
        <w:rPr>
          <w:sz w:val="20"/>
          <w:szCs w:val="20"/>
          <w:color w:val="auto"/>
        </w:rPr>
        <w:tab/>
      </w:r>
      <w:r>
        <w:rPr>
          <w:rFonts w:ascii="Times New Roman" w:cs="Times New Roman" w:eastAsia="Times New Roman" w:hAnsi="Times New Roman"/>
          <w:sz w:val="19"/>
          <w:szCs w:val="19"/>
          <w:b w:val="1"/>
          <w:bCs w:val="1"/>
          <w:i w:val="1"/>
          <w:iCs w:val="1"/>
          <w:color w:val="auto"/>
        </w:rPr>
        <w:t>Deferred income taxes:</w:t>
      </w:r>
    </w:p>
    <w:p>
      <w:pPr>
        <w:spacing w:after="0" w:line="198"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Deferred income taxes reflect the impact of temporary differences between the amounts of assets and liabilities reported for financial reporting purposes and such amounts as measured in accordance with tax laws. The tax effects of temporary differences which give rise to significant deferred tax assets (liabilities) are as follows by nature: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2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222"/>
              <w:spacing w:after="0"/>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Borders>
              <w:top w:val="single" w:sz="8" w:color="auto"/>
              <w:bottom w:val="single" w:sz="8" w:color="CCEEFF"/>
            </w:tcBorders>
            <w:gridSpan w:val="2"/>
          </w:tcPr>
          <w:p>
            <w:pPr>
              <w:spacing w:after="0"/>
              <w:rPr>
                <w:sz w:val="16"/>
                <w:szCs w:val="16"/>
                <w:color w:val="auto"/>
              </w:rPr>
            </w:pPr>
          </w:p>
        </w:tc>
        <w:tc>
          <w:tcPr>
            <w:tcW w:w="960" w:type="dxa"/>
            <w:vAlign w:val="bottom"/>
            <w:tcBorders>
              <w:top w:val="single" w:sz="8" w:color="auto"/>
              <w:bottom w:val="single" w:sz="8" w:color="auto"/>
            </w:tcBorders>
          </w:tcPr>
          <w:p>
            <w:pPr>
              <w:jc w:val="right"/>
              <w:ind w:right="225"/>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0"/>
        </w:trPr>
        <w:tc>
          <w:tcPr>
            <w:tcW w:w="7220" w:type="dxa"/>
            <w:vAlign w:val="bottom"/>
            <w:gridSpan w:val="2"/>
            <w:shd w:val="clear" w:color="auto" w:fill="CCEEFF"/>
          </w:tcPr>
          <w:p>
            <w:pPr>
              <w:spacing w:after="0" w:line="220" w:lineRule="exact"/>
              <w:rPr>
                <w:sz w:val="20"/>
                <w:szCs w:val="20"/>
                <w:color w:val="auto"/>
              </w:rPr>
            </w:pPr>
            <w:r>
              <w:rPr>
                <w:rFonts w:ascii="Times New Roman" w:cs="Times New Roman" w:eastAsia="Times New Roman" w:hAnsi="Times New Roman"/>
                <w:sz w:val="20"/>
                <w:szCs w:val="20"/>
                <w:color w:val="auto"/>
              </w:rPr>
              <w:t>Net operating loss carry forwards</w:t>
            </w:r>
          </w:p>
        </w:tc>
        <w:tc>
          <w:tcPr>
            <w:tcW w:w="960" w:type="dxa"/>
            <w:vAlign w:val="bottom"/>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29,392</w:t>
            </w:r>
          </w:p>
        </w:tc>
        <w:tc>
          <w:tcPr>
            <w:tcW w:w="1200" w:type="dxa"/>
            <w:vAlign w:val="bottom"/>
            <w:gridSpan w:val="3"/>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21,551</w:t>
            </w:r>
          </w:p>
        </w:tc>
      </w:tr>
      <w:tr>
        <w:trPr>
          <w:trHeight w:val="230"/>
        </w:trPr>
        <w:tc>
          <w:tcPr>
            <w:tcW w:w="72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Elimination of intercompany profit in inventory</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351</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469</w:t>
            </w:r>
          </w:p>
        </w:tc>
      </w:tr>
      <w:tr>
        <w:trPr>
          <w:trHeight w:val="230"/>
        </w:trPr>
        <w:tc>
          <w:tcPr>
            <w:tcW w:w="7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Elimination of intercompany profit in fixed assets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596</w:t>
            </w:r>
          </w:p>
        </w:tc>
        <w:tc>
          <w:tcPr>
            <w:tcW w:w="1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428</w:t>
            </w:r>
          </w:p>
        </w:tc>
      </w:tr>
      <w:tr>
        <w:trPr>
          <w:trHeight w:val="230"/>
        </w:trPr>
        <w:tc>
          <w:tcPr>
            <w:tcW w:w="72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Provisions for retirement indemnities</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780</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716</w:t>
            </w:r>
          </w:p>
        </w:tc>
      </w:tr>
      <w:tr>
        <w:trPr>
          <w:trHeight w:val="228"/>
        </w:trPr>
        <w:tc>
          <w:tcPr>
            <w:tcW w:w="7220" w:type="dxa"/>
            <w:vAlign w:val="bottom"/>
            <w:gridSpan w:val="2"/>
            <w:shd w:val="clear" w:color="auto" w:fill="CCEEFF"/>
          </w:tcPr>
          <w:p>
            <w:pPr>
              <w:spacing w:after="0" w:line="228" w:lineRule="exact"/>
              <w:rPr>
                <w:sz w:val="20"/>
                <w:szCs w:val="20"/>
                <w:color w:val="auto"/>
              </w:rPr>
            </w:pPr>
            <w:r>
              <w:rPr>
                <w:rFonts w:ascii="Times New Roman" w:cs="Times New Roman" w:eastAsia="Times New Roman" w:hAnsi="Times New Roman"/>
                <w:sz w:val="20"/>
                <w:szCs w:val="20"/>
                <w:color w:val="auto"/>
              </w:rPr>
              <w:t>Capital leases treated as operating leases for tax</w:t>
            </w:r>
          </w:p>
        </w:tc>
        <w:tc>
          <w:tcPr>
            <w:tcW w:w="960" w:type="dxa"/>
            <w:vAlign w:val="bottom"/>
            <w:shd w:val="clear" w:color="auto" w:fill="CCEEFF"/>
          </w:tcPr>
          <w:p>
            <w:pPr>
              <w:jc w:val="right"/>
              <w:spacing w:after="0" w:line="228" w:lineRule="exact"/>
              <w:rPr>
                <w:sz w:val="20"/>
                <w:szCs w:val="20"/>
                <w:color w:val="auto"/>
              </w:rPr>
            </w:pPr>
            <w:r>
              <w:rPr>
                <w:rFonts w:ascii="Times New Roman" w:cs="Times New Roman" w:eastAsia="Times New Roman" w:hAnsi="Times New Roman"/>
                <w:sz w:val="20"/>
                <w:szCs w:val="20"/>
                <w:color w:val="auto"/>
              </w:rPr>
              <w:t>9</w:t>
            </w:r>
          </w:p>
        </w:tc>
        <w:tc>
          <w:tcPr>
            <w:tcW w:w="1200" w:type="dxa"/>
            <w:vAlign w:val="bottom"/>
            <w:gridSpan w:val="3"/>
            <w:shd w:val="clear" w:color="auto" w:fill="CCEEFF"/>
          </w:tcPr>
          <w:p>
            <w:pPr>
              <w:jc w:val="right"/>
              <w:spacing w:after="0" w:line="228" w:lineRule="exact"/>
              <w:rPr>
                <w:sz w:val="20"/>
                <w:szCs w:val="20"/>
                <w:color w:val="auto"/>
              </w:rPr>
            </w:pPr>
            <w:r>
              <w:rPr>
                <w:rFonts w:ascii="Times New Roman" w:cs="Times New Roman" w:eastAsia="Times New Roman" w:hAnsi="Times New Roman"/>
                <w:sz w:val="20"/>
                <w:szCs w:val="20"/>
                <w:color w:val="auto"/>
              </w:rPr>
              <w:t>8</w:t>
            </w:r>
          </w:p>
        </w:tc>
      </w:tr>
      <w:tr>
        <w:trPr>
          <w:trHeight w:val="230"/>
        </w:trPr>
        <w:tc>
          <w:tcPr>
            <w:tcW w:w="72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20"/>
                <w:szCs w:val="20"/>
                <w:color w:val="auto"/>
              </w:rPr>
              <w:t>Other items</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552</w:t>
            </w:r>
          </w:p>
        </w:tc>
        <w:tc>
          <w:tcPr>
            <w:tcW w:w="240" w:type="dxa"/>
            <w:vAlign w:val="bottom"/>
            <w:tcBorders>
              <w:bottom w:val="single" w:sz="8" w:color="CCEEFF"/>
            </w:tcBorders>
            <w:gridSpan w:val="2"/>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369</w:t>
            </w:r>
          </w:p>
        </w:tc>
      </w:tr>
      <w:tr>
        <w:trPr>
          <w:trHeight w:val="220"/>
        </w:trPr>
        <w:tc>
          <w:tcPr>
            <w:tcW w:w="7220" w:type="dxa"/>
            <w:vAlign w:val="bottom"/>
            <w:gridSpan w:val="2"/>
            <w:shd w:val="clear" w:color="auto" w:fill="CCEEFF"/>
          </w:tcPr>
          <w:p>
            <w:pPr>
              <w:spacing w:after="0" w:line="220" w:lineRule="exact"/>
              <w:rPr>
                <w:sz w:val="20"/>
                <w:szCs w:val="20"/>
                <w:color w:val="auto"/>
              </w:rPr>
            </w:pPr>
            <w:r>
              <w:rPr>
                <w:rFonts w:ascii="Times New Roman" w:cs="Times New Roman" w:eastAsia="Times New Roman" w:hAnsi="Times New Roman"/>
                <w:sz w:val="20"/>
                <w:szCs w:val="20"/>
                <w:color w:val="auto"/>
              </w:rPr>
              <w:t>Total deferred tax assets</w:t>
            </w:r>
          </w:p>
        </w:tc>
        <w:tc>
          <w:tcPr>
            <w:tcW w:w="960" w:type="dxa"/>
            <w:vAlign w:val="bottom"/>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31,679</w:t>
            </w:r>
          </w:p>
        </w:tc>
        <w:tc>
          <w:tcPr>
            <w:tcW w:w="1200" w:type="dxa"/>
            <w:vAlign w:val="bottom"/>
            <w:gridSpan w:val="3"/>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23,542</w:t>
            </w:r>
          </w:p>
        </w:tc>
      </w:tr>
      <w:tr>
        <w:trPr>
          <w:trHeight w:val="220"/>
        </w:trPr>
        <w:tc>
          <w:tcPr>
            <w:tcW w:w="7220" w:type="dxa"/>
            <w:vAlign w:val="bottom"/>
            <w:tcBorders>
              <w:bottom w:val="single" w:sz="8" w:color="CCEEFF"/>
            </w:tcBorders>
            <w:gridSpan w:val="2"/>
          </w:tcPr>
          <w:p>
            <w:pPr>
              <w:spacing w:after="0" w:line="220" w:lineRule="exact"/>
              <w:rPr>
                <w:sz w:val="20"/>
                <w:szCs w:val="20"/>
                <w:color w:val="auto"/>
              </w:rPr>
            </w:pPr>
            <w:r>
              <w:rPr>
                <w:rFonts w:ascii="Times New Roman" w:cs="Times New Roman" w:eastAsia="Times New Roman" w:hAnsi="Times New Roman"/>
                <w:sz w:val="20"/>
                <w:szCs w:val="20"/>
                <w:color w:val="auto"/>
              </w:rPr>
              <w:t>Total deferred tax liabilities</w:t>
            </w:r>
          </w:p>
        </w:tc>
        <w:tc>
          <w:tcPr>
            <w:tcW w:w="96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r>
      <w:tr>
        <w:trPr>
          <w:trHeight w:val="220"/>
        </w:trPr>
        <w:tc>
          <w:tcPr>
            <w:tcW w:w="7220" w:type="dxa"/>
            <w:vAlign w:val="bottom"/>
            <w:gridSpan w:val="2"/>
            <w:shd w:val="clear" w:color="auto" w:fill="CCEEFF"/>
          </w:tcPr>
          <w:p>
            <w:pPr>
              <w:spacing w:after="0" w:line="220" w:lineRule="exact"/>
              <w:rPr>
                <w:sz w:val="20"/>
                <w:szCs w:val="20"/>
                <w:color w:val="auto"/>
              </w:rPr>
            </w:pPr>
            <w:r>
              <w:rPr>
                <w:rFonts w:ascii="Times New Roman" w:cs="Times New Roman" w:eastAsia="Times New Roman" w:hAnsi="Times New Roman"/>
                <w:sz w:val="20"/>
                <w:szCs w:val="20"/>
                <w:color w:val="auto"/>
              </w:rPr>
              <w:t>Net deferred tax assets</w:t>
            </w:r>
          </w:p>
        </w:tc>
        <w:tc>
          <w:tcPr>
            <w:tcW w:w="960" w:type="dxa"/>
            <w:vAlign w:val="bottom"/>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31,679</w:t>
            </w:r>
          </w:p>
        </w:tc>
        <w:tc>
          <w:tcPr>
            <w:tcW w:w="1200" w:type="dxa"/>
            <w:vAlign w:val="bottom"/>
            <w:gridSpan w:val="3"/>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23,542</w:t>
            </w:r>
          </w:p>
        </w:tc>
      </w:tr>
      <w:tr>
        <w:trPr>
          <w:trHeight w:val="230"/>
        </w:trPr>
        <w:tc>
          <w:tcPr>
            <w:tcW w:w="72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20"/>
                <w:szCs w:val="20"/>
                <w:color w:val="auto"/>
              </w:rPr>
              <w:t>Valuation allowance for deferred tax assets</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(30,585)</w:t>
            </w:r>
          </w:p>
        </w:tc>
        <w:tc>
          <w:tcPr>
            <w:tcW w:w="240" w:type="dxa"/>
            <w:vAlign w:val="bottom"/>
            <w:tcBorders>
              <w:bottom w:val="single" w:sz="8" w:color="CCEEFF"/>
            </w:tcBorders>
            <w:gridSpan w:val="2"/>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(22,677)</w:t>
            </w:r>
          </w:p>
        </w:tc>
      </w:tr>
      <w:tr>
        <w:trPr>
          <w:trHeight w:val="229"/>
        </w:trPr>
        <w:tc>
          <w:tcPr>
            <w:tcW w:w="7200" w:type="dxa"/>
            <w:vAlign w:val="bottom"/>
            <w:shd w:val="clear" w:color="auto" w:fill="CCEEFF"/>
          </w:tcPr>
          <w:p>
            <w:pPr>
              <w:spacing w:after="0" w:line="220" w:lineRule="exact"/>
              <w:rPr>
                <w:sz w:val="20"/>
                <w:szCs w:val="20"/>
                <w:color w:val="auto"/>
              </w:rPr>
            </w:pPr>
            <w:r>
              <w:rPr>
                <w:rFonts w:ascii="Times New Roman" w:cs="Times New Roman" w:eastAsia="Times New Roman" w:hAnsi="Times New Roman"/>
                <w:sz w:val="20"/>
                <w:szCs w:val="20"/>
                <w:color w:val="auto"/>
              </w:rPr>
              <w:t>Deferred tax assets (liabilities), net of allowance</w:t>
            </w:r>
          </w:p>
        </w:tc>
        <w:tc>
          <w:tcPr>
            <w:tcW w:w="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1,094</w:t>
            </w:r>
          </w:p>
        </w:tc>
        <w:tc>
          <w:tcPr>
            <w:tcW w:w="220" w:type="dxa"/>
            <w:vAlign w:val="bottom"/>
            <w:shd w:val="clear" w:color="auto" w:fill="CCEEFF"/>
          </w:tcPr>
          <w:p>
            <w:pPr>
              <w:spacing w:after="0"/>
              <w:rPr>
                <w:sz w:val="19"/>
                <w:szCs w:val="19"/>
                <w:color w:val="auto"/>
              </w:rPr>
            </w:pPr>
          </w:p>
        </w:tc>
        <w:tc>
          <w:tcPr>
            <w:tcW w:w="980" w:type="dxa"/>
            <w:vAlign w:val="bottom"/>
            <w:tcBorders>
              <w:bottom w:val="single" w:sz="8" w:color="auto"/>
            </w:tcBorders>
            <w:gridSpan w:val="2"/>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865</w:t>
            </w:r>
          </w:p>
        </w:tc>
      </w:tr>
    </w:tbl>
    <w:p>
      <w:pPr>
        <w:spacing w:after="0" w:line="211" w:lineRule="exact"/>
        <w:rPr>
          <w:sz w:val="20"/>
          <w:szCs w:val="20"/>
          <w:color w:val="auto"/>
        </w:rPr>
      </w:pPr>
    </w:p>
    <w:p>
      <w:pPr>
        <w:jc w:val="both"/>
        <w:ind w:firstLine="720"/>
        <w:spacing w:after="0" w:line="244" w:lineRule="auto"/>
        <w:rPr>
          <w:sz w:val="20"/>
          <w:szCs w:val="20"/>
          <w:color w:val="auto"/>
        </w:rPr>
      </w:pPr>
      <w:r>
        <w:rPr>
          <w:rFonts w:ascii="Times New Roman" w:cs="Times New Roman" w:eastAsia="Times New Roman" w:hAnsi="Times New Roman"/>
          <w:sz w:val="20"/>
          <w:szCs w:val="20"/>
          <w:color w:val="auto"/>
        </w:rPr>
        <w:t>Net operating loss carryforwards available amount to $129,037 thousand as of December 31, 2025, of which $54,135 thousand relates to EDAP TMS SA, $73,160 thousand relates to Edap Technomed Inc., $735 thousand relates to Edap TMS Gmbh and $1,007 thousand relates to Edap Technomed Co Ltd Japan. These net operating losses generate deferred tax assets of $29,392 thousand as at December 31, 2025. Realization of these tax assets is contingent on future taxable earnings in the applicable tax jurisdictions. As of December 31, 2025, $128,030 thousand out of these $129,037 thousand net operating loss carry-forwards have no expiration date but the amount of the net operating loss carry-forward, which can be used each year to offset taxable earnings, is limited in all jurisdictions. The remaining tax loss carry-forwards expire in 2025. In accordance with ASC 740, a valuation allowance is established if, based on the weight of available evidence, it is more-likely-than-not that some portion or all of the deferred tax asset will not be realized.</w:t>
      </w:r>
    </w:p>
    <w:p>
      <w:pPr>
        <w:spacing w:after="0" w:line="165" w:lineRule="exact"/>
        <w:rPr>
          <w:sz w:val="20"/>
          <w:szCs w:val="20"/>
          <w:color w:val="auto"/>
        </w:rPr>
      </w:pPr>
    </w:p>
    <w:p>
      <w:pPr>
        <w:ind w:left="360"/>
        <w:spacing w:after="0"/>
        <w:tabs>
          <w:tab w:leader="none" w:pos="960" w:val="left"/>
        </w:tabs>
        <w:rPr>
          <w:sz w:val="20"/>
          <w:szCs w:val="20"/>
          <w:color w:val="auto"/>
        </w:rPr>
      </w:pPr>
      <w:r>
        <w:rPr>
          <w:rFonts w:ascii="Times New Roman" w:cs="Times New Roman" w:eastAsia="Times New Roman" w:hAnsi="Times New Roman"/>
          <w:sz w:val="20"/>
          <w:szCs w:val="20"/>
          <w:b w:val="1"/>
          <w:bCs w:val="1"/>
          <w:i w:val="1"/>
          <w:iCs w:val="1"/>
          <w:color w:val="auto"/>
        </w:rPr>
        <w:t>23-4</w:t>
        <w:tab/>
        <w:t>Effective tax income (expense)</w:t>
      </w:r>
    </w:p>
    <w:p>
      <w:pPr>
        <w:spacing w:after="0" w:line="198" w:lineRule="exact"/>
        <w:rPr>
          <w:sz w:val="20"/>
          <w:szCs w:val="20"/>
          <w:color w:val="auto"/>
        </w:rPr>
      </w:pPr>
    </w:p>
    <w:p>
      <w:pPr>
        <w:jc w:val="both"/>
        <w:ind w:firstLine="720"/>
        <w:spacing w:after="0" w:line="279" w:lineRule="auto"/>
        <w:rPr>
          <w:sz w:val="20"/>
          <w:szCs w:val="20"/>
          <w:color w:val="auto"/>
        </w:rPr>
      </w:pPr>
      <w:r>
        <w:rPr>
          <w:rFonts w:ascii="Times New Roman" w:cs="Times New Roman" w:eastAsia="Times New Roman" w:hAnsi="Times New Roman"/>
          <w:sz w:val="20"/>
          <w:szCs w:val="20"/>
          <w:color w:val="auto"/>
        </w:rPr>
        <w:t>A reconciliation of differences between the statutory French income tax rate and the Company’s effective tax income (loss) is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440" w:type="dxa"/>
            <w:vAlign w:val="bottom"/>
            <w:tcBorders>
              <w:bottom w:val="single" w:sz="8" w:color="CCEEFF"/>
            </w:tcBorders>
          </w:tcPr>
          <w:p>
            <w:pPr>
              <w:spacing w:after="0"/>
              <w:rPr>
                <w:sz w:val="17"/>
                <w:szCs w:val="17"/>
                <w:color w:val="auto"/>
              </w:rPr>
            </w:pPr>
          </w:p>
        </w:tc>
        <w:tc>
          <w:tcPr>
            <w:tcW w:w="1360" w:type="dxa"/>
            <w:vAlign w:val="bottom"/>
            <w:tcBorders>
              <w:bottom w:val="single" w:sz="8" w:color="auto"/>
            </w:tcBorders>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Borders>
              <w:bottom w:val="single" w:sz="8" w:color="CCEEFF"/>
            </w:tcBorders>
          </w:tcPr>
          <w:p>
            <w:pPr>
              <w:spacing w:after="0"/>
              <w:rPr>
                <w:sz w:val="17"/>
                <w:szCs w:val="17"/>
                <w:color w:val="auto"/>
              </w:rPr>
            </w:pPr>
          </w:p>
        </w:tc>
        <w:tc>
          <w:tcPr>
            <w:tcW w:w="1360" w:type="dxa"/>
            <w:vAlign w:val="bottom"/>
            <w:tcBorders>
              <w:bottom w:val="single" w:sz="8" w:color="auto"/>
            </w:tcBorders>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0"/>
        </w:trPr>
        <w:tc>
          <w:tcPr>
            <w:tcW w:w="6440" w:type="dxa"/>
            <w:vAlign w:val="bottom"/>
            <w:shd w:val="clear" w:color="auto" w:fill="CCEEFF"/>
          </w:tcPr>
          <w:p>
            <w:pPr>
              <w:spacing w:after="0" w:line="220" w:lineRule="exact"/>
              <w:rPr>
                <w:sz w:val="20"/>
                <w:szCs w:val="20"/>
                <w:color w:val="auto"/>
              </w:rPr>
            </w:pPr>
            <w:r>
              <w:rPr>
                <w:rFonts w:ascii="Times New Roman" w:cs="Times New Roman" w:eastAsia="Times New Roman" w:hAnsi="Times New Roman"/>
                <w:sz w:val="20"/>
                <w:szCs w:val="20"/>
                <w:color w:val="auto"/>
              </w:rPr>
              <w:t>Theoretical income tax (expense) benefit at French statutory tax rate</w:t>
            </w:r>
          </w:p>
        </w:tc>
        <w:tc>
          <w:tcPr>
            <w:tcW w:w="700" w:type="dxa"/>
            <w:vAlign w:val="bottom"/>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7,202</w:t>
            </w:r>
          </w:p>
        </w:tc>
        <w:tc>
          <w:tcPr>
            <w:tcW w:w="660" w:type="dxa"/>
            <w:vAlign w:val="bottom"/>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25.0%</w:t>
            </w:r>
          </w:p>
        </w:tc>
        <w:tc>
          <w:tcPr>
            <w:tcW w:w="920" w:type="dxa"/>
            <w:vAlign w:val="bottom"/>
            <w:gridSpan w:val="2"/>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5,068</w:t>
            </w:r>
          </w:p>
        </w:tc>
        <w:tc>
          <w:tcPr>
            <w:tcW w:w="660" w:type="dxa"/>
            <w:vAlign w:val="bottom"/>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25.0%</w:t>
            </w:r>
          </w:p>
        </w:tc>
      </w:tr>
      <w:tr>
        <w:trPr>
          <w:trHeight w:val="228"/>
        </w:trPr>
        <w:tc>
          <w:tcPr>
            <w:tcW w:w="6440" w:type="dxa"/>
            <w:vAlign w:val="bottom"/>
          </w:tcPr>
          <w:p>
            <w:pPr>
              <w:spacing w:after="0" w:line="228" w:lineRule="exact"/>
              <w:rPr>
                <w:sz w:val="20"/>
                <w:szCs w:val="20"/>
                <w:color w:val="auto"/>
              </w:rPr>
            </w:pPr>
            <w:r>
              <w:rPr>
                <w:rFonts w:ascii="Times New Roman" w:cs="Times New Roman" w:eastAsia="Times New Roman" w:hAnsi="Times New Roman"/>
                <w:sz w:val="20"/>
                <w:szCs w:val="20"/>
                <w:color w:val="auto"/>
              </w:rPr>
              <w:t>Income of foreign subsidiaries taxed at different tax rates</w:t>
            </w:r>
          </w:p>
        </w:tc>
        <w:tc>
          <w:tcPr>
            <w:tcW w:w="70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auto"/>
              </w:rPr>
              <w:t>(589)</w:t>
            </w:r>
          </w:p>
        </w:tc>
        <w:tc>
          <w:tcPr>
            <w:tcW w:w="66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auto"/>
              </w:rPr>
              <w:t>(2.0)%</w:t>
            </w:r>
          </w:p>
        </w:tc>
        <w:tc>
          <w:tcPr>
            <w:tcW w:w="920" w:type="dxa"/>
            <w:vAlign w:val="bottom"/>
            <w:gridSpan w:val="2"/>
          </w:tcPr>
          <w:p>
            <w:pPr>
              <w:jc w:val="right"/>
              <w:spacing w:after="0" w:line="228" w:lineRule="exact"/>
              <w:rPr>
                <w:sz w:val="20"/>
                <w:szCs w:val="20"/>
                <w:color w:val="auto"/>
              </w:rPr>
            </w:pPr>
            <w:r>
              <w:rPr>
                <w:rFonts w:ascii="Times New Roman" w:cs="Times New Roman" w:eastAsia="Times New Roman" w:hAnsi="Times New Roman"/>
                <w:sz w:val="20"/>
                <w:szCs w:val="20"/>
                <w:color w:val="auto"/>
              </w:rPr>
              <w:t>(591)</w:t>
            </w:r>
          </w:p>
        </w:tc>
        <w:tc>
          <w:tcPr>
            <w:tcW w:w="66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auto"/>
              </w:rPr>
              <w:t>(2.9)%</w:t>
            </w:r>
          </w:p>
        </w:tc>
      </w:tr>
      <w:tr>
        <w:trPr>
          <w:trHeight w:val="230"/>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Effect of net operating loss carry-forwards and valuation allowances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(6,185)</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8"/>
              </w:rPr>
              <w:t>(21.5)%</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(4,796)</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8"/>
              </w:rPr>
              <w:t>(23.7)%</w:t>
            </w:r>
          </w:p>
        </w:tc>
      </w:tr>
      <w:tr>
        <w:trPr>
          <w:trHeight w:val="230"/>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Non-taxable debt fair value variation</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(622)</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w:t>
            </w: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0.0%</w:t>
            </w:r>
          </w:p>
        </w:tc>
      </w:tr>
      <w:tr>
        <w:trPr>
          <w:trHeight w:val="230"/>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Permanent differences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(184)</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(0.6)%</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(305)</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(1.5)%</w:t>
            </w:r>
          </w:p>
        </w:tc>
      </w:tr>
      <w:tr>
        <w:trPr>
          <w:trHeight w:val="230"/>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Effect of cancellation of intra-group positions</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289</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w:t>
            </w:r>
          </w:p>
        </w:tc>
      </w:tr>
      <w:tr>
        <w:trPr>
          <w:trHeight w:val="228"/>
        </w:trPr>
        <w:tc>
          <w:tcPr>
            <w:tcW w:w="6440" w:type="dxa"/>
            <w:vAlign w:val="bottom"/>
            <w:shd w:val="clear" w:color="auto" w:fill="CCEEFF"/>
          </w:tcPr>
          <w:p>
            <w:pPr>
              <w:spacing w:after="0" w:line="228" w:lineRule="exact"/>
              <w:rPr>
                <w:sz w:val="20"/>
                <w:szCs w:val="20"/>
                <w:color w:val="auto"/>
              </w:rPr>
            </w:pPr>
            <w:r>
              <w:rPr>
                <w:rFonts w:ascii="Times New Roman" w:cs="Times New Roman" w:eastAsia="Times New Roman" w:hAnsi="Times New Roman"/>
                <w:sz w:val="20"/>
                <w:szCs w:val="20"/>
                <w:color w:val="auto"/>
              </w:rPr>
              <w:t>French business tax included in income tax (CVAE)</w:t>
            </w:r>
          </w:p>
        </w:tc>
        <w:tc>
          <w:tcPr>
            <w:tcW w:w="700" w:type="dxa"/>
            <w:vAlign w:val="bottom"/>
            <w:shd w:val="clear" w:color="auto" w:fill="CCEEFF"/>
          </w:tcPr>
          <w:p>
            <w:pPr>
              <w:jc w:val="right"/>
              <w:spacing w:after="0" w:line="228" w:lineRule="exact"/>
              <w:rPr>
                <w:sz w:val="20"/>
                <w:szCs w:val="20"/>
                <w:color w:val="auto"/>
              </w:rPr>
            </w:pPr>
            <w:r>
              <w:rPr>
                <w:rFonts w:ascii="Times New Roman" w:cs="Times New Roman" w:eastAsia="Times New Roman" w:hAnsi="Times New Roman"/>
                <w:sz w:val="20"/>
                <w:szCs w:val="20"/>
                <w:color w:val="auto"/>
              </w:rPr>
              <w:t>(34)</w:t>
            </w:r>
          </w:p>
        </w:tc>
        <w:tc>
          <w:tcPr>
            <w:tcW w:w="660" w:type="dxa"/>
            <w:vAlign w:val="bottom"/>
            <w:shd w:val="clear" w:color="auto" w:fill="CCEEFF"/>
          </w:tcPr>
          <w:p>
            <w:pPr>
              <w:jc w:val="right"/>
              <w:spacing w:after="0" w:line="228" w:lineRule="exact"/>
              <w:rPr>
                <w:sz w:val="20"/>
                <w:szCs w:val="20"/>
                <w:color w:val="auto"/>
              </w:rPr>
            </w:pPr>
            <w:r>
              <w:rPr>
                <w:rFonts w:ascii="Times New Roman" w:cs="Times New Roman" w:eastAsia="Times New Roman" w:hAnsi="Times New Roman"/>
                <w:sz w:val="20"/>
                <w:szCs w:val="20"/>
                <w:color w:val="auto"/>
              </w:rPr>
              <w:t>(0.1)%</w:t>
            </w:r>
          </w:p>
        </w:tc>
        <w:tc>
          <w:tcPr>
            <w:tcW w:w="920" w:type="dxa"/>
            <w:vAlign w:val="bottom"/>
            <w:gridSpan w:val="2"/>
            <w:shd w:val="clear" w:color="auto" w:fill="CCEEFF"/>
          </w:tcPr>
          <w:p>
            <w:pPr>
              <w:jc w:val="right"/>
              <w:spacing w:after="0" w:line="228" w:lineRule="exact"/>
              <w:rPr>
                <w:sz w:val="20"/>
                <w:szCs w:val="20"/>
                <w:color w:val="auto"/>
              </w:rPr>
            </w:pPr>
            <w:r>
              <w:rPr>
                <w:rFonts w:ascii="Times New Roman" w:cs="Times New Roman" w:eastAsia="Times New Roman" w:hAnsi="Times New Roman"/>
                <w:sz w:val="20"/>
                <w:szCs w:val="20"/>
                <w:color w:val="auto"/>
              </w:rPr>
              <w:t>(44)</w:t>
            </w:r>
          </w:p>
        </w:tc>
        <w:tc>
          <w:tcPr>
            <w:tcW w:w="660" w:type="dxa"/>
            <w:vAlign w:val="bottom"/>
            <w:shd w:val="clear" w:color="auto" w:fill="CCEEFF"/>
          </w:tcPr>
          <w:p>
            <w:pPr>
              <w:jc w:val="right"/>
              <w:spacing w:after="0" w:line="228" w:lineRule="exact"/>
              <w:rPr>
                <w:sz w:val="20"/>
                <w:szCs w:val="20"/>
                <w:color w:val="auto"/>
              </w:rPr>
            </w:pPr>
            <w:r>
              <w:rPr>
                <w:rFonts w:ascii="Times New Roman" w:cs="Times New Roman" w:eastAsia="Times New Roman" w:hAnsi="Times New Roman"/>
                <w:sz w:val="20"/>
                <w:szCs w:val="20"/>
                <w:color w:val="auto"/>
              </w:rPr>
              <w:t>(0.2)%</w:t>
            </w:r>
          </w:p>
        </w:tc>
      </w:tr>
      <w:tr>
        <w:trPr>
          <w:trHeight w:val="230"/>
        </w:trPr>
        <w:tc>
          <w:tcPr>
            <w:tcW w:w="6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20"/>
                <w:szCs w:val="20"/>
                <w:color w:val="auto"/>
              </w:rPr>
              <w:t>Other</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(0.1)%</w:t>
            </w:r>
          </w:p>
        </w:tc>
        <w:tc>
          <w:tcPr>
            <w:tcW w:w="220" w:type="dxa"/>
            <w:vAlign w:val="bottom"/>
            <w:tcBorders>
              <w:bottom w:val="single" w:sz="8" w:color="CCEEFF"/>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67</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0.3%</w:t>
            </w:r>
          </w:p>
        </w:tc>
      </w:tr>
      <w:tr>
        <w:trPr>
          <w:trHeight w:val="220"/>
        </w:trPr>
        <w:tc>
          <w:tcPr>
            <w:tcW w:w="6440" w:type="dxa"/>
            <w:vAlign w:val="bottom"/>
            <w:shd w:val="clear" w:color="auto" w:fill="CCEEFF"/>
          </w:tcPr>
          <w:p>
            <w:pPr>
              <w:spacing w:after="0" w:line="220" w:lineRule="exact"/>
              <w:rPr>
                <w:sz w:val="20"/>
                <w:szCs w:val="20"/>
                <w:color w:val="auto"/>
              </w:rPr>
            </w:pPr>
            <w:r>
              <w:rPr>
                <w:rFonts w:ascii="Times New Roman" w:cs="Times New Roman" w:eastAsia="Times New Roman" w:hAnsi="Times New Roman"/>
                <w:sz w:val="20"/>
                <w:szCs w:val="20"/>
                <w:color w:val="auto"/>
              </w:rPr>
              <w:t>Effective income tax (expense) benefit</w:t>
            </w:r>
          </w:p>
        </w:tc>
        <w:tc>
          <w:tcPr>
            <w:tcW w:w="700" w:type="dxa"/>
            <w:vAlign w:val="bottom"/>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(438)</w:t>
            </w:r>
          </w:p>
        </w:tc>
        <w:tc>
          <w:tcPr>
            <w:tcW w:w="660" w:type="dxa"/>
            <w:vAlign w:val="bottom"/>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(1.5)%</w:t>
            </w:r>
          </w:p>
        </w:tc>
        <w:tc>
          <w:tcPr>
            <w:tcW w:w="920" w:type="dxa"/>
            <w:vAlign w:val="bottom"/>
            <w:gridSpan w:val="2"/>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(313)</w:t>
            </w:r>
          </w:p>
        </w:tc>
        <w:tc>
          <w:tcPr>
            <w:tcW w:w="660" w:type="dxa"/>
            <w:vAlign w:val="bottom"/>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(1.5)%</w:t>
            </w:r>
          </w:p>
        </w:tc>
      </w:tr>
    </w:tbl>
    <w:p>
      <w:pPr>
        <w:spacing w:after="0" w:line="211" w:lineRule="exact"/>
        <w:rPr>
          <w:sz w:val="20"/>
          <w:szCs w:val="20"/>
          <w:color w:val="auto"/>
        </w:rPr>
      </w:pPr>
    </w:p>
    <w:p>
      <w:pPr>
        <w:jc w:val="both"/>
        <w:ind w:firstLine="720"/>
        <w:spacing w:after="0" w:line="259" w:lineRule="auto"/>
        <w:rPr>
          <w:sz w:val="20"/>
          <w:szCs w:val="20"/>
          <w:color w:val="auto"/>
        </w:rPr>
      </w:pPr>
      <w:r>
        <w:rPr>
          <w:rFonts w:ascii="Times New Roman" w:cs="Times New Roman" w:eastAsia="Times New Roman" w:hAnsi="Times New Roman"/>
          <w:sz w:val="20"/>
          <w:szCs w:val="20"/>
          <w:color w:val="auto"/>
        </w:rPr>
        <w:t>The valuation allowances for deferred taxes presented on the line "Effect of net operating loss carry-forwards and valuation allowances" include some additional categories compared to note 23-3 and include mainly R&amp;D tax credit, stock options and foreign exchange rates.</w:t>
      </w:r>
    </w:p>
    <w:p>
      <w:pPr>
        <w:spacing w:after="0" w:line="177" w:lineRule="exact"/>
        <w:rPr>
          <w:sz w:val="20"/>
          <w:szCs w:val="20"/>
          <w:color w:val="auto"/>
        </w:rPr>
      </w:pPr>
    </w:p>
    <w:p>
      <w:pPr>
        <w:ind w:left="360"/>
        <w:spacing w:after="0"/>
        <w:tabs>
          <w:tab w:leader="none" w:pos="960" w:val="left"/>
        </w:tabs>
        <w:rPr>
          <w:sz w:val="20"/>
          <w:szCs w:val="20"/>
          <w:color w:val="auto"/>
        </w:rPr>
      </w:pPr>
      <w:r>
        <w:rPr>
          <w:rFonts w:ascii="Times New Roman" w:cs="Times New Roman" w:eastAsia="Times New Roman" w:hAnsi="Times New Roman"/>
          <w:sz w:val="20"/>
          <w:szCs w:val="20"/>
          <w:b w:val="1"/>
          <w:bCs w:val="1"/>
          <w:i w:val="1"/>
          <w:iCs w:val="1"/>
          <w:color w:val="auto"/>
        </w:rPr>
        <w:t>23-5</w:t>
        <w:tab/>
        <w:t>Uncertainty in Income Taxes</w:t>
      </w:r>
    </w:p>
    <w:p>
      <w:pPr>
        <w:spacing w:after="0" w:line="198" w:lineRule="exact"/>
        <w:rPr>
          <w:sz w:val="20"/>
          <w:szCs w:val="20"/>
          <w:color w:val="auto"/>
        </w:rPr>
      </w:pPr>
    </w:p>
    <w:p>
      <w:pPr>
        <w:jc w:val="both"/>
        <w:ind w:firstLine="720"/>
        <w:spacing w:after="0" w:line="279" w:lineRule="auto"/>
        <w:rPr>
          <w:sz w:val="20"/>
          <w:szCs w:val="20"/>
          <w:color w:val="auto"/>
        </w:rPr>
      </w:pPr>
      <w:r>
        <w:rPr>
          <w:rFonts w:ascii="Times New Roman" w:cs="Times New Roman" w:eastAsia="Times New Roman" w:hAnsi="Times New Roman"/>
          <w:sz w:val="20"/>
          <w:szCs w:val="20"/>
          <w:color w:val="auto"/>
        </w:rPr>
        <w:t>According to ASC 740, the Company reviewed the tax positions of each subsidiary. On December 31, 2025 the Company believes that there is no significant uncertainty in the Company’s tax positions.</w:t>
      </w:r>
    </w:p>
    <w:p>
      <w:pPr>
        <w:sectPr>
          <w:pgSz w:w="11900" w:h="16838" w:orient="portrait"/>
          <w:cols w:equalWidth="0" w:num="1">
            <w:col w:w="9380"/>
          </w:cols>
          <w:pgMar w:left="1260" w:top="838" w:right="1266" w:bottom="723" w:gutter="0" w:footer="0" w:header="0"/>
        </w:sect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F-46</w:t>
      </w:r>
    </w:p>
    <w:p>
      <w:pPr>
        <w:sectPr>
          <w:pgSz w:w="11900" w:h="16838" w:orient="portrait"/>
          <w:cols w:equalWidth="0" w:num="1">
            <w:col w:w="9380"/>
          </w:cols>
          <w:pgMar w:left="1260" w:top="838" w:right="1266" w:bottom="723" w:gutter="0" w:footer="0" w:header="0"/>
          <w:type w:val="continuous"/>
        </w:sectPr>
      </w:pPr>
    </w:p>
    <w:bookmarkStart w:id="101" w:name="page102"/>
    <w:bookmarkEnd w:id="101"/>
    <w:p>
      <w:pPr>
        <w:ind w:left="3180"/>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795655</wp:posOffset>
            </wp:positionH>
            <wp:positionV relativeFrom="page">
              <wp:posOffset>292735</wp:posOffset>
            </wp:positionV>
            <wp:extent cx="929005" cy="1149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133">
                      <a:extLst>
                        <a:ext uri="{28A0092B-C50C-407E-A947-70E740481C1C}"/>
                      </a:extLst>
                    </a:blip>
                    <a:srcRect/>
                    <a:stretch>
                      <a:fillRect/>
                    </a:stretch>
                  </pic:blipFill>
                  <pic:spPr bwMode="auto">
                    <a:xfrm>
                      <a:off x="0" y="0"/>
                      <a:ext cx="929005" cy="114935"/>
                    </a:xfrm>
                    <a:prstGeom prst="rect">
                      <a:avLst/>
                    </a:prstGeom>
                    <a:noFill/>
                  </pic:spPr>
                </pic:pic>
              </a:graphicData>
            </a:graphic>
          </wp:anchor>
        </w:drawing>
        <w:t>EDAP TMS S.A. AND SUBSIDIARIES</w:t>
      </w:r>
    </w:p>
    <w:p>
      <w:pPr>
        <w:ind w:left="2760"/>
        <w:spacing w:after="0"/>
        <w:rPr>
          <w:sz w:val="20"/>
          <w:szCs w:val="20"/>
          <w:color w:val="auto"/>
        </w:rPr>
      </w:pPr>
      <w:r>
        <w:rPr>
          <w:rFonts w:ascii="Times New Roman" w:cs="Times New Roman" w:eastAsia="Times New Roman" w:hAnsi="Times New Roman"/>
          <w:sz w:val="20"/>
          <w:szCs w:val="20"/>
          <w:b w:val="1"/>
          <w:bCs w:val="1"/>
          <w:color w:val="auto"/>
        </w:rPr>
        <w:t>CONSOLIDATED FINANCIAL STATEMENTS</w:t>
      </w:r>
    </w:p>
    <w:p>
      <w:pPr>
        <w:ind w:left="1500"/>
        <w:spacing w:after="0"/>
        <w:rPr>
          <w:sz w:val="20"/>
          <w:szCs w:val="20"/>
          <w:color w:val="auto"/>
        </w:rPr>
      </w:pPr>
      <w:r>
        <w:rPr>
          <w:rFonts w:ascii="Times New Roman" w:cs="Times New Roman" w:eastAsia="Times New Roman" w:hAnsi="Times New Roman"/>
          <w:sz w:val="20"/>
          <w:szCs w:val="20"/>
          <w:b w:val="1"/>
          <w:bCs w:val="1"/>
          <w:color w:val="auto"/>
        </w:rPr>
        <w:t>(In thousands of U.S. dollars unless otherwise noted, except per share data)</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Company remains subject to examination by major tax jurisdictions.</w:t>
      </w:r>
    </w:p>
    <w:p>
      <w:pPr>
        <w:spacing w:after="0" w:line="200" w:lineRule="exact"/>
        <w:rPr>
          <w:sz w:val="20"/>
          <w:szCs w:val="20"/>
          <w:color w:val="auto"/>
        </w:rPr>
      </w:pPr>
    </w:p>
    <w:p>
      <w:pPr>
        <w:jc w:val="both"/>
        <w:ind w:firstLine="720"/>
        <w:spacing w:after="0" w:line="276" w:lineRule="auto"/>
        <w:rPr>
          <w:sz w:val="20"/>
          <w:szCs w:val="20"/>
          <w:color w:val="auto"/>
        </w:rPr>
      </w:pPr>
      <w:r>
        <w:rPr>
          <w:rFonts w:ascii="Times New Roman" w:cs="Times New Roman" w:eastAsia="Times New Roman" w:hAnsi="Times New Roman"/>
          <w:sz w:val="20"/>
          <w:szCs w:val="20"/>
          <w:color w:val="auto"/>
        </w:rPr>
        <w:t>Interest and penalties on income taxes are classified as a component of the provision for income taxes. There were no interest or penalties in 2025 and 2024.</w:t>
      </w:r>
    </w:p>
    <w:p>
      <w:pPr>
        <w:spacing w:after="0" w:line="157" w:lineRule="exact"/>
        <w:rPr>
          <w:sz w:val="20"/>
          <w:szCs w:val="20"/>
          <w:color w:val="auto"/>
        </w:rPr>
      </w:pPr>
    </w:p>
    <w:p>
      <w:pPr>
        <w:spacing w:after="0"/>
        <w:rPr>
          <w:sz w:val="20"/>
          <w:szCs w:val="20"/>
          <w:color w:val="auto"/>
        </w:rPr>
      </w:pPr>
      <w:r>
        <w:rPr>
          <w:sz w:val="1"/>
          <w:szCs w:val="1"/>
          <w:color w:val="auto"/>
        </w:rPr>
        <w:drawing>
          <wp:inline distT="0" distB="0" distL="0" distR="0">
            <wp:extent cx="259080" cy="92710"/>
            <wp:effectExtent l="0" t="0" r="0" b="0"/>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134">
                      <a:extLst>
                        <a:ext uri="{28A0092B-C50C-407E-A947-70E740481C1C}"/>
                      </a:extLst>
                    </a:blip>
                    <a:srcRect/>
                    <a:stretch>
                      <a:fillRect/>
                    </a:stretch>
                  </pic:blipFill>
                  <pic:spPr bwMode="auto">
                    <a:xfrm>
                      <a:off x="0" y="0"/>
                      <a:ext cx="259080" cy="92710"/>
                    </a:xfrm>
                    <a:prstGeom prst="rect">
                      <a:avLst/>
                    </a:prstGeom>
                    <a:noFill/>
                    <a:ln>
                      <a:noFill/>
                    </a:ln>
                  </pic:spPr>
                </pic:pic>
              </a:graphicData>
            </a:graphic>
          </wp:inline>
        </w:drawing>
      </w:r>
      <w:r>
        <w:rPr>
          <w:rFonts w:ascii="Times New Roman" w:cs="Times New Roman" w:eastAsia="Times New Roman" w:hAnsi="Times New Roman"/>
          <w:sz w:val="20"/>
          <w:szCs w:val="20"/>
          <w:b w:val="1"/>
          <w:bCs w:val="1"/>
          <w:color w:val="auto"/>
        </w:rPr>
        <w:t xml:space="preserve"> LOSS PER SHARE</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80" w:type="dxa"/>
            <w:vAlign w:val="bottom"/>
            <w:tcBorders>
              <w:bottom w:val="single" w:sz="8" w:color="auto"/>
            </w:tcBorders>
            <w:gridSpan w:val="4"/>
          </w:tcPr>
          <w:p>
            <w:pPr>
              <w:jc w:val="right"/>
              <w:ind w:right="363"/>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174"/>
        </w:trPr>
        <w:tc>
          <w:tcPr>
            <w:tcW w:w="65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05"/>
              <w:spacing w:after="0" w:line="175" w:lineRule="exact"/>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03"/>
              <w:spacing w:after="0" w:line="175" w:lineRule="exact"/>
              <w:rPr>
                <w:sz w:val="20"/>
                <w:szCs w:val="20"/>
                <w:color w:val="auto"/>
              </w:rPr>
            </w:pPr>
            <w:r>
              <w:rPr>
                <w:rFonts w:ascii="Times New Roman" w:cs="Times New Roman" w:eastAsia="Times New Roman" w:hAnsi="Times New Roman"/>
                <w:sz w:val="16"/>
                <w:szCs w:val="16"/>
                <w:b w:val="1"/>
                <w:bCs w:val="1"/>
                <w:color w:val="auto"/>
              </w:rPr>
              <w:t>2024</w:t>
            </w:r>
          </w:p>
        </w:tc>
      </w:tr>
      <w:tr>
        <w:trPr>
          <w:trHeight w:val="220"/>
        </w:trPr>
        <w:tc>
          <w:tcPr>
            <w:tcW w:w="6560" w:type="dxa"/>
            <w:vAlign w:val="bottom"/>
            <w:shd w:val="clear" w:color="auto" w:fill="CCEEFF"/>
          </w:tcPr>
          <w:p>
            <w:pPr>
              <w:spacing w:after="0" w:line="220" w:lineRule="exact"/>
              <w:rPr>
                <w:sz w:val="20"/>
                <w:szCs w:val="20"/>
                <w:color w:val="auto"/>
              </w:rPr>
            </w:pPr>
            <w:r>
              <w:rPr>
                <w:rFonts w:ascii="Times New Roman" w:cs="Times New Roman" w:eastAsia="Times New Roman" w:hAnsi="Times New Roman"/>
                <w:sz w:val="20"/>
                <w:szCs w:val="20"/>
                <w:color w:val="auto"/>
              </w:rPr>
              <w:t>Loss available to common shareholders (in US dollar)</w:t>
            </w:r>
          </w:p>
        </w:tc>
        <w:tc>
          <w:tcPr>
            <w:tcW w:w="140" w:type="dxa"/>
            <w:vAlign w:val="bottom"/>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shd w:val="clear" w:color="auto" w:fill="CCEEFF"/>
              </w:rPr>
              <w:t>(29,246,182)</w:t>
            </w:r>
          </w:p>
        </w:tc>
        <w:tc>
          <w:tcPr>
            <w:tcW w:w="400" w:type="dxa"/>
            <w:vAlign w:val="bottom"/>
            <w:gridSpan w:val="2"/>
            <w:shd w:val="clear" w:color="auto" w:fill="CCEEFF"/>
          </w:tcPr>
          <w:p>
            <w:pPr>
              <w:jc w:val="right"/>
              <w:ind w:right="80"/>
              <w:spacing w:after="0" w:line="220" w:lineRule="exact"/>
              <w:rPr>
                <w:sz w:val="20"/>
                <w:szCs w:val="20"/>
                <w:color w:val="auto"/>
              </w:rPr>
            </w:pPr>
            <w:r>
              <w:rPr>
                <w:rFonts w:ascii="Times New Roman" w:cs="Times New Roman" w:eastAsia="Times New Roman" w:hAnsi="Times New Roman"/>
                <w:sz w:val="20"/>
                <w:szCs w:val="20"/>
                <w:color w:val="auto"/>
                <w:shd w:val="clear" w:color="auto" w:fill="CCEEFF"/>
              </w:rPr>
              <w:t>$</w:t>
            </w:r>
          </w:p>
        </w:tc>
        <w:tc>
          <w:tcPr>
            <w:tcW w:w="1120" w:type="dxa"/>
            <w:vAlign w:val="bottom"/>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shd w:val="clear" w:color="auto" w:fill="CCEEFF"/>
              </w:rPr>
              <w:t>(20,584,271)</w:t>
            </w:r>
          </w:p>
        </w:tc>
      </w:tr>
      <w:tr>
        <w:trPr>
          <w:trHeight w:val="230"/>
        </w:trPr>
        <w:tc>
          <w:tcPr>
            <w:tcW w:w="6560" w:type="dxa"/>
            <w:vAlign w:val="bottom"/>
          </w:tcPr>
          <w:p>
            <w:pPr>
              <w:spacing w:after="0"/>
              <w:rPr>
                <w:sz w:val="20"/>
                <w:szCs w:val="20"/>
                <w:color w:val="auto"/>
              </w:rPr>
            </w:pPr>
            <w:r>
              <w:rPr>
                <w:rFonts w:ascii="Times New Roman" w:cs="Times New Roman" w:eastAsia="Times New Roman" w:hAnsi="Times New Roman"/>
                <w:sz w:val="20"/>
                <w:szCs w:val="20"/>
                <w:color w:val="auto"/>
              </w:rPr>
              <w:t>Weighted average number of shares for the computation of basic EPS</w:t>
            </w: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37,442,155</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37,286,446</w:t>
            </w:r>
          </w:p>
        </w:tc>
      </w:tr>
      <w:tr>
        <w:trPr>
          <w:trHeight w:val="230"/>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Basic EPS (in US dollar)</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(0.78)</w:t>
            </w: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(0.55)</w:t>
            </w:r>
          </w:p>
        </w:tc>
      </w:tr>
      <w:tr>
        <w:trPr>
          <w:trHeight w:val="228"/>
        </w:trPr>
        <w:tc>
          <w:tcPr>
            <w:tcW w:w="6560" w:type="dxa"/>
            <w:vAlign w:val="bottom"/>
          </w:tcPr>
          <w:p>
            <w:pPr>
              <w:spacing w:after="0" w:line="228" w:lineRule="exact"/>
              <w:rPr>
                <w:sz w:val="20"/>
                <w:szCs w:val="20"/>
                <w:color w:val="auto"/>
              </w:rPr>
            </w:pPr>
            <w:r>
              <w:rPr>
                <w:rFonts w:ascii="Times New Roman" w:cs="Times New Roman" w:eastAsia="Times New Roman" w:hAnsi="Times New Roman"/>
                <w:sz w:val="20"/>
                <w:szCs w:val="20"/>
                <w:color w:val="auto"/>
              </w:rPr>
              <w:t>Effect of dilutive securities</w:t>
            </w:r>
          </w:p>
        </w:tc>
        <w:tc>
          <w:tcPr>
            <w:tcW w:w="140" w:type="dxa"/>
            <w:vAlign w:val="bottom"/>
          </w:tcPr>
          <w:p>
            <w:pPr>
              <w:spacing w:after="0"/>
              <w:rPr>
                <w:sz w:val="19"/>
                <w:szCs w:val="19"/>
                <w:color w:val="auto"/>
              </w:rPr>
            </w:pPr>
          </w:p>
        </w:tc>
        <w:tc>
          <w:tcPr>
            <w:tcW w:w="116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auto"/>
              </w:rPr>
              <w:t>1,887,997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auto"/>
              </w:rPr>
              <w:t>903,889</w:t>
            </w:r>
          </w:p>
        </w:tc>
      </w:tr>
      <w:tr>
        <w:trPr>
          <w:trHeight w:val="230"/>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Weighted average number of shares for the computation of diluted EPS</w:t>
            </w:r>
          </w:p>
        </w:tc>
        <w:tc>
          <w:tcPr>
            <w:tcW w:w="1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37,442,155</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37,286,446</w:t>
            </w:r>
          </w:p>
        </w:tc>
      </w:tr>
      <w:tr>
        <w:trPr>
          <w:trHeight w:val="265"/>
        </w:trPr>
        <w:tc>
          <w:tcPr>
            <w:tcW w:w="6560" w:type="dxa"/>
            <w:vAlign w:val="bottom"/>
          </w:tcPr>
          <w:p>
            <w:pPr>
              <w:spacing w:after="0"/>
              <w:rPr>
                <w:sz w:val="20"/>
                <w:szCs w:val="20"/>
                <w:color w:val="auto"/>
              </w:rPr>
            </w:pPr>
            <w:r>
              <w:rPr>
                <w:rFonts w:ascii="Times New Roman" w:cs="Times New Roman" w:eastAsia="Times New Roman" w:hAnsi="Times New Roman"/>
                <w:sz w:val="20"/>
                <w:szCs w:val="20"/>
                <w:color w:val="auto"/>
              </w:rPr>
              <w:t>Diluted EPS loss (in US dollar)</w:t>
            </w: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(0.78)</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(0.55)</w:t>
            </w:r>
          </w:p>
        </w:tc>
      </w:tr>
    </w:tbl>
    <w:p>
      <w:pPr>
        <w:spacing w:after="0" w:line="176" w:lineRule="exact"/>
        <w:rPr>
          <w:sz w:val="20"/>
          <w:szCs w:val="20"/>
          <w:color w:val="auto"/>
        </w:rPr>
      </w:pPr>
    </w:p>
    <w:p>
      <w:pPr>
        <w:jc w:val="both"/>
        <w:ind w:firstLine="720"/>
        <w:spacing w:after="0" w:line="279" w:lineRule="auto"/>
        <w:rPr>
          <w:sz w:val="20"/>
          <w:szCs w:val="20"/>
          <w:color w:val="auto"/>
        </w:rPr>
      </w:pPr>
      <w:r>
        <w:rPr>
          <w:rFonts w:ascii="Times New Roman" w:cs="Times New Roman" w:eastAsia="Times New Roman" w:hAnsi="Times New Roman"/>
          <w:sz w:val="20"/>
          <w:szCs w:val="20"/>
          <w:color w:val="auto"/>
        </w:rPr>
        <w:t>Diluted EPS loss available to common shareholders is computed including all dilutive securities that are in the money.</w:t>
      </w:r>
    </w:p>
    <w:p>
      <w:pPr>
        <w:spacing w:after="0" w:line="125" w:lineRule="exact"/>
        <w:rPr>
          <w:sz w:val="20"/>
          <w:szCs w:val="20"/>
          <w:color w:val="auto"/>
        </w:rPr>
      </w:pPr>
    </w:p>
    <w:p>
      <w:pPr>
        <w:jc w:val="both"/>
        <w:ind w:firstLine="720"/>
        <w:spacing w:after="0" w:line="279" w:lineRule="auto"/>
        <w:rPr>
          <w:sz w:val="20"/>
          <w:szCs w:val="20"/>
          <w:color w:val="auto"/>
        </w:rPr>
      </w:pPr>
      <w:r>
        <w:rPr>
          <w:rFonts w:ascii="Times New Roman" w:cs="Times New Roman" w:eastAsia="Times New Roman" w:hAnsi="Times New Roman"/>
          <w:sz w:val="20"/>
          <w:szCs w:val="20"/>
          <w:color w:val="auto"/>
        </w:rPr>
        <w:t>The effects of dilutive securities for the years ended December 31, 2025 and 2024 were excluded from the calculation of diluted earnings per share as a net loss was reported in this period.</w:t>
      </w:r>
    </w:p>
    <w:p>
      <w:pPr>
        <w:spacing w:after="0" w:line="151" w:lineRule="exact"/>
        <w:rPr>
          <w:sz w:val="20"/>
          <w:szCs w:val="20"/>
          <w:color w:val="auto"/>
        </w:rPr>
      </w:pPr>
    </w:p>
    <w:p>
      <w:pPr>
        <w:spacing w:after="0"/>
        <w:rPr>
          <w:sz w:val="20"/>
          <w:szCs w:val="20"/>
          <w:color w:val="auto"/>
        </w:rPr>
      </w:pPr>
      <w:r>
        <w:rPr>
          <w:sz w:val="1"/>
          <w:szCs w:val="1"/>
          <w:color w:val="auto"/>
        </w:rPr>
        <w:drawing>
          <wp:inline distT="0" distB="0" distL="0" distR="0">
            <wp:extent cx="259080" cy="95885"/>
            <wp:effectExtent l="0" t="0" r="0" b="0"/>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135">
                      <a:extLst>
                        <a:ext uri="{28A0092B-C50C-407E-A947-70E740481C1C}"/>
                      </a:extLst>
                    </a:blip>
                    <a:srcRect/>
                    <a:stretch>
                      <a:fillRect/>
                    </a:stretch>
                  </pic:blipFill>
                  <pic:spPr bwMode="auto">
                    <a:xfrm>
                      <a:off x="0" y="0"/>
                      <a:ext cx="259080" cy="95885"/>
                    </a:xfrm>
                    <a:prstGeom prst="rect">
                      <a:avLst/>
                    </a:prstGeom>
                    <a:noFill/>
                    <a:ln>
                      <a:noFill/>
                    </a:ln>
                  </pic:spPr>
                </pic:pic>
              </a:graphicData>
            </a:graphic>
          </wp:inline>
        </w:drawing>
      </w:r>
      <w:r>
        <w:rPr>
          <w:rFonts w:ascii="Times New Roman" w:cs="Times New Roman" w:eastAsia="Times New Roman" w:hAnsi="Times New Roman"/>
          <w:sz w:val="20"/>
          <w:szCs w:val="20"/>
          <w:b w:val="1"/>
          <w:bCs w:val="1"/>
          <w:color w:val="auto"/>
        </w:rPr>
        <w:t xml:space="preserve"> COMMITMENTS AND CONTINGENCIES</w:t>
      </w:r>
    </w:p>
    <w:p>
      <w:pPr>
        <w:spacing w:after="0" w:line="207" w:lineRule="exact"/>
        <w:rPr>
          <w:sz w:val="20"/>
          <w:szCs w:val="20"/>
          <w:color w:val="auto"/>
        </w:rPr>
      </w:pPr>
    </w:p>
    <w:p>
      <w:pPr>
        <w:ind w:left="360"/>
        <w:spacing w:after="0"/>
        <w:tabs>
          <w:tab w:leader="none" w:pos="960" w:val="left"/>
        </w:tabs>
        <w:rPr>
          <w:sz w:val="20"/>
          <w:szCs w:val="20"/>
          <w:color w:val="auto"/>
        </w:rPr>
      </w:pPr>
      <w:r>
        <w:rPr>
          <w:rFonts w:ascii="Times New Roman" w:cs="Times New Roman" w:eastAsia="Times New Roman" w:hAnsi="Times New Roman"/>
          <w:sz w:val="20"/>
          <w:szCs w:val="20"/>
          <w:b w:val="1"/>
          <w:bCs w:val="1"/>
          <w:i w:val="1"/>
          <w:iCs w:val="1"/>
          <w:color w:val="auto"/>
        </w:rPr>
        <w:t>25-1</w:t>
      </w:r>
      <w:r>
        <w:rPr>
          <w:sz w:val="20"/>
          <w:szCs w:val="20"/>
          <w:color w:val="auto"/>
        </w:rPr>
        <w:tab/>
      </w:r>
      <w:r>
        <w:rPr>
          <w:rFonts w:ascii="Times New Roman" w:cs="Times New Roman" w:eastAsia="Times New Roman" w:hAnsi="Times New Roman"/>
          <w:sz w:val="19"/>
          <w:szCs w:val="19"/>
          <w:b w:val="1"/>
          <w:bCs w:val="1"/>
          <w:i w:val="1"/>
          <w:iCs w:val="1"/>
          <w:color w:val="auto"/>
        </w:rPr>
        <w:t>Commitments</w:t>
      </w:r>
    </w:p>
    <w:p>
      <w:pPr>
        <w:spacing w:after="0" w:line="19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Company currently has commitments regarding its operating leases as described in Note 14-2.</w:t>
      </w:r>
    </w:p>
    <w:p>
      <w:pPr>
        <w:spacing w:after="0" w:line="201" w:lineRule="exact"/>
        <w:rPr>
          <w:sz w:val="20"/>
          <w:szCs w:val="20"/>
          <w:color w:val="auto"/>
        </w:rPr>
      </w:pPr>
    </w:p>
    <w:p>
      <w:pPr>
        <w:ind w:left="360"/>
        <w:spacing w:after="0"/>
        <w:tabs>
          <w:tab w:leader="none" w:pos="960" w:val="left"/>
        </w:tabs>
        <w:rPr>
          <w:sz w:val="20"/>
          <w:szCs w:val="20"/>
          <w:color w:val="auto"/>
        </w:rPr>
      </w:pPr>
      <w:r>
        <w:rPr>
          <w:rFonts w:ascii="Times New Roman" w:cs="Times New Roman" w:eastAsia="Times New Roman" w:hAnsi="Times New Roman"/>
          <w:sz w:val="20"/>
          <w:szCs w:val="20"/>
          <w:b w:val="1"/>
          <w:bCs w:val="1"/>
          <w:i w:val="1"/>
          <w:iCs w:val="1"/>
          <w:color w:val="auto"/>
        </w:rPr>
        <w:t>25-2</w:t>
        <w:tab/>
        <w:t>Contingencies</w:t>
      </w:r>
    </w:p>
    <w:p>
      <w:pPr>
        <w:spacing w:after="0" w:line="198" w:lineRule="exact"/>
        <w:rPr>
          <w:sz w:val="20"/>
          <w:szCs w:val="20"/>
          <w:color w:val="auto"/>
        </w:rPr>
      </w:pPr>
    </w:p>
    <w:p>
      <w:pPr>
        <w:jc w:val="both"/>
        <w:ind w:firstLine="720"/>
        <w:spacing w:after="0" w:line="279" w:lineRule="auto"/>
        <w:rPr>
          <w:sz w:val="20"/>
          <w:szCs w:val="20"/>
          <w:color w:val="auto"/>
        </w:rPr>
      </w:pPr>
      <w:r>
        <w:rPr>
          <w:rFonts w:ascii="Times New Roman" w:cs="Times New Roman" w:eastAsia="Times New Roman" w:hAnsi="Times New Roman"/>
          <w:sz w:val="20"/>
          <w:szCs w:val="20"/>
          <w:color w:val="auto"/>
        </w:rPr>
        <w:t>The Company currently has contingencies relating to standard warranties provided to customers for products as described in Note 1-15 and Note 13.</w:t>
      </w:r>
    </w:p>
    <w:p>
      <w:pPr>
        <w:spacing w:after="0" w:line="122" w:lineRule="exact"/>
        <w:rPr>
          <w:sz w:val="20"/>
          <w:szCs w:val="20"/>
          <w:color w:val="auto"/>
        </w:rPr>
      </w:pPr>
    </w:p>
    <w:p>
      <w:pPr>
        <w:spacing w:after="0"/>
        <w:rPr>
          <w:sz w:val="20"/>
          <w:szCs w:val="20"/>
          <w:color w:val="auto"/>
        </w:rPr>
      </w:pPr>
      <w:r>
        <w:rPr>
          <w:sz w:val="1"/>
          <w:szCs w:val="1"/>
          <w:color w:val="auto"/>
        </w:rPr>
        <w:drawing>
          <wp:inline distT="0" distB="0" distL="0" distR="0">
            <wp:extent cx="259080" cy="95885"/>
            <wp:effectExtent l="0" t="0" r="0" b="0"/>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136">
                      <a:extLst>
                        <a:ext uri="{28A0092B-C50C-407E-A947-70E740481C1C}"/>
                      </a:extLst>
                    </a:blip>
                    <a:srcRect/>
                    <a:stretch>
                      <a:fillRect/>
                    </a:stretch>
                  </pic:blipFill>
                  <pic:spPr bwMode="auto">
                    <a:xfrm>
                      <a:off x="0" y="0"/>
                      <a:ext cx="259080" cy="95885"/>
                    </a:xfrm>
                    <a:prstGeom prst="rect">
                      <a:avLst/>
                    </a:prstGeom>
                    <a:noFill/>
                    <a:ln>
                      <a:noFill/>
                    </a:ln>
                  </pic:spPr>
                </pic:pic>
              </a:graphicData>
            </a:graphic>
          </wp:inline>
        </w:drawing>
      </w:r>
      <w:r>
        <w:rPr>
          <w:rFonts w:ascii="Times New Roman" w:cs="Times New Roman" w:eastAsia="Times New Roman" w:hAnsi="Times New Roman"/>
          <w:sz w:val="20"/>
          <w:szCs w:val="20"/>
          <w:b w:val="1"/>
          <w:bCs w:val="1"/>
          <w:color w:val="auto"/>
        </w:rPr>
        <w:t xml:space="preserve"> FAIR VALUE OF FINANCIAL INSTRUMENTS</w:t>
      </w:r>
    </w:p>
    <w:p>
      <w:pPr>
        <w:spacing w:after="0" w:line="203" w:lineRule="exact"/>
        <w:rPr>
          <w:sz w:val="20"/>
          <w:szCs w:val="20"/>
          <w:color w:val="auto"/>
        </w:rPr>
      </w:pPr>
    </w:p>
    <w:p>
      <w:pPr>
        <w:jc w:val="both"/>
        <w:ind w:firstLine="720"/>
        <w:spacing w:after="0" w:line="259" w:lineRule="auto"/>
        <w:rPr>
          <w:sz w:val="20"/>
          <w:szCs w:val="20"/>
          <w:color w:val="auto"/>
        </w:rPr>
      </w:pPr>
      <w:r>
        <w:rPr>
          <w:rFonts w:ascii="Times New Roman" w:cs="Times New Roman" w:eastAsia="Times New Roman" w:hAnsi="Times New Roman"/>
          <w:sz w:val="20"/>
          <w:szCs w:val="20"/>
          <w:color w:val="auto"/>
        </w:rPr>
        <w:t>The following disclosure of the estimated fair value of financial instruments was made in accordance with the requirements of ASC 820 ‘‘Disclosure about fair value of financial instruments’’ and indicates the fair value hierarchy of the valuation techniques utilized to determine such fair value.</w:t>
      </w:r>
    </w:p>
    <w:p>
      <w:pPr>
        <w:spacing w:after="0" w:line="146" w:lineRule="exact"/>
        <w:rPr>
          <w:sz w:val="20"/>
          <w:szCs w:val="20"/>
          <w:color w:val="auto"/>
        </w:rPr>
      </w:pPr>
    </w:p>
    <w:p>
      <w:pPr>
        <w:jc w:val="both"/>
        <w:ind w:firstLine="720"/>
        <w:spacing w:after="0" w:line="259" w:lineRule="auto"/>
        <w:rPr>
          <w:sz w:val="20"/>
          <w:szCs w:val="20"/>
          <w:color w:val="auto"/>
        </w:rPr>
      </w:pPr>
      <w:r>
        <w:rPr>
          <w:rFonts w:ascii="Times New Roman" w:cs="Times New Roman" w:eastAsia="Times New Roman" w:hAnsi="Times New Roman"/>
          <w:sz w:val="20"/>
          <w:szCs w:val="20"/>
          <w:color w:val="auto"/>
        </w:rPr>
        <w:t>ASC 820 defines three levels of inputs that may be used to measure fair value and requires that the assets or liabilities carried at fair value be disclosed by the input level under which they were valued. The input levels are defined as follows:</w:t>
      </w:r>
    </w:p>
    <w:p>
      <w:pPr>
        <w:spacing w:after="0" w:line="146" w:lineRule="exact"/>
        <w:rPr>
          <w:sz w:val="20"/>
          <w:szCs w:val="20"/>
          <w:color w:val="auto"/>
        </w:rPr>
      </w:pPr>
    </w:p>
    <w:p>
      <w:pPr>
        <w:ind w:left="1440" w:hanging="719"/>
        <w:spacing w:after="0" w:line="279" w:lineRule="auto"/>
        <w:rPr>
          <w:sz w:val="20"/>
          <w:szCs w:val="20"/>
          <w:color w:val="auto"/>
        </w:rPr>
      </w:pPr>
      <w:r>
        <w:rPr>
          <w:rFonts w:ascii="Times New Roman" w:cs="Times New Roman" w:eastAsia="Times New Roman" w:hAnsi="Times New Roman"/>
          <w:sz w:val="20"/>
          <w:szCs w:val="20"/>
          <w:color w:val="auto"/>
        </w:rPr>
        <w:t>Level 1: Quoted (unadjusted) prices in active markets for identical assets and liabilities that the reporting entity can access at the measurement date.</w:t>
      </w:r>
    </w:p>
    <w:p>
      <w:pPr>
        <w:spacing w:after="0" w:line="125" w:lineRule="exact"/>
        <w:rPr>
          <w:sz w:val="20"/>
          <w:szCs w:val="20"/>
          <w:color w:val="auto"/>
        </w:rPr>
      </w:pPr>
    </w:p>
    <w:p>
      <w:pPr>
        <w:ind w:left="1440" w:hanging="719"/>
        <w:spacing w:after="0" w:line="279" w:lineRule="auto"/>
        <w:rPr>
          <w:sz w:val="20"/>
          <w:szCs w:val="20"/>
          <w:color w:val="auto"/>
        </w:rPr>
      </w:pPr>
      <w:r>
        <w:rPr>
          <w:rFonts w:ascii="Times New Roman" w:cs="Times New Roman" w:eastAsia="Times New Roman" w:hAnsi="Times New Roman"/>
          <w:sz w:val="20"/>
          <w:szCs w:val="20"/>
          <w:color w:val="auto"/>
        </w:rPr>
        <w:t>Level 2: Inputs other than quoted prices included within Level 1 that are observable for the asset or liability, either directly or indirectly.</w:t>
      </w:r>
    </w:p>
    <w:p>
      <w:pPr>
        <w:spacing w:after="0" w:line="12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Level 3: Unobservable inputs for the asset or liability.</w:t>
      </w:r>
    </w:p>
    <w:p>
      <w:pPr>
        <w:spacing w:after="0" w:line="229"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The recorded amount of cash and cash equivalents, accounts receivable, accounts payable, accrued liabilities and short-term borrowings are a reasonable estimate of their fair value due to the short-term maturities of these instruments. As of December 31, 2025 the Warrants are measured at fair value. In December 31, 2024, the Company did not have any other asset or liability measured at fair value.</w:t>
      </w:r>
    </w:p>
    <w:p>
      <w:pPr>
        <w:sectPr>
          <w:pgSz w:w="11900" w:h="16838" w:orient="portrait"/>
          <w:cols w:equalWidth="0" w:num="1">
            <w:col w:w="9380"/>
          </w:cols>
          <w:pgMar w:left="1260" w:top="838" w:right="1266" w:bottom="72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F-47</w:t>
      </w:r>
    </w:p>
    <w:p>
      <w:pPr>
        <w:sectPr>
          <w:pgSz w:w="11900" w:h="16838" w:orient="portrait"/>
          <w:cols w:equalWidth="0" w:num="1">
            <w:col w:w="9380"/>
          </w:cols>
          <w:pgMar w:left="1260" w:top="838" w:right="1266" w:bottom="723" w:gutter="0" w:footer="0" w:header="0"/>
          <w:type w:val="continuous"/>
        </w:sectPr>
      </w:pPr>
    </w:p>
    <w:bookmarkStart w:id="102" w:name="page103"/>
    <w:bookmarkEnd w:id="102"/>
    <w:p>
      <w:pPr>
        <w:ind w:left="3180"/>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795655</wp:posOffset>
            </wp:positionH>
            <wp:positionV relativeFrom="page">
              <wp:posOffset>292735</wp:posOffset>
            </wp:positionV>
            <wp:extent cx="929005" cy="1149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137">
                      <a:extLst>
                        <a:ext uri="{28A0092B-C50C-407E-A947-70E740481C1C}"/>
                      </a:extLst>
                    </a:blip>
                    <a:srcRect/>
                    <a:stretch>
                      <a:fillRect/>
                    </a:stretch>
                  </pic:blipFill>
                  <pic:spPr bwMode="auto">
                    <a:xfrm>
                      <a:off x="0" y="0"/>
                      <a:ext cx="929005" cy="114935"/>
                    </a:xfrm>
                    <a:prstGeom prst="rect">
                      <a:avLst/>
                    </a:prstGeom>
                    <a:noFill/>
                  </pic:spPr>
                </pic:pic>
              </a:graphicData>
            </a:graphic>
          </wp:anchor>
        </w:drawing>
        <w:t>EDAP TMS S.A. AND SUBSIDIARIES</w:t>
      </w:r>
    </w:p>
    <w:p>
      <w:pPr>
        <w:ind w:left="2760"/>
        <w:spacing w:after="0"/>
        <w:rPr>
          <w:sz w:val="20"/>
          <w:szCs w:val="20"/>
          <w:color w:val="auto"/>
        </w:rPr>
      </w:pPr>
      <w:r>
        <w:rPr>
          <w:rFonts w:ascii="Times New Roman" w:cs="Times New Roman" w:eastAsia="Times New Roman" w:hAnsi="Times New Roman"/>
          <w:sz w:val="20"/>
          <w:szCs w:val="20"/>
          <w:b w:val="1"/>
          <w:bCs w:val="1"/>
          <w:color w:val="auto"/>
        </w:rPr>
        <w:t>CONSOLIDATED FINANCIAL STATEMENTS</w:t>
      </w:r>
    </w:p>
    <w:p>
      <w:pPr>
        <w:ind w:left="1500"/>
        <w:spacing w:after="0"/>
        <w:rPr>
          <w:sz w:val="20"/>
          <w:szCs w:val="20"/>
          <w:color w:val="auto"/>
        </w:rPr>
      </w:pPr>
      <w:r>
        <w:rPr>
          <w:rFonts w:ascii="Times New Roman" w:cs="Times New Roman" w:eastAsia="Times New Roman" w:hAnsi="Times New Roman"/>
          <w:sz w:val="20"/>
          <w:szCs w:val="20"/>
          <w:b w:val="1"/>
          <w:bCs w:val="1"/>
          <w:color w:val="auto"/>
        </w:rPr>
        <w:t>(In thousands of U.S. dollars unless otherwise noted, except per share data)</w:t>
      </w: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sz w:val="1"/>
          <w:szCs w:val="1"/>
          <w:color w:val="auto"/>
        </w:rPr>
        <w:drawing>
          <wp:inline distT="0" distB="0" distL="0" distR="0">
            <wp:extent cx="259080" cy="95885"/>
            <wp:effectExtent l="0" t="0" r="0" b="0"/>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138">
                      <a:extLst>
                        <a:ext uri="{28A0092B-C50C-407E-A947-70E740481C1C}"/>
                      </a:extLst>
                    </a:blip>
                    <a:srcRect/>
                    <a:stretch>
                      <a:fillRect/>
                    </a:stretch>
                  </pic:blipFill>
                  <pic:spPr bwMode="auto">
                    <a:xfrm>
                      <a:off x="0" y="0"/>
                      <a:ext cx="259080" cy="95885"/>
                    </a:xfrm>
                    <a:prstGeom prst="rect">
                      <a:avLst/>
                    </a:prstGeom>
                    <a:noFill/>
                    <a:ln>
                      <a:noFill/>
                    </a:ln>
                  </pic:spPr>
                </pic:pic>
              </a:graphicData>
            </a:graphic>
          </wp:inline>
        </w:drawing>
      </w:r>
      <w:r>
        <w:rPr>
          <w:rFonts w:ascii="Times New Roman" w:cs="Times New Roman" w:eastAsia="Times New Roman" w:hAnsi="Times New Roman"/>
          <w:sz w:val="20"/>
          <w:szCs w:val="20"/>
          <w:b w:val="1"/>
          <w:bCs w:val="1"/>
          <w:color w:val="auto"/>
        </w:rPr>
        <w:t xml:space="preserve"> CONCENTRATION OF CREDIT RISK</w:t>
      </w:r>
    </w:p>
    <w:p>
      <w:pPr>
        <w:spacing w:after="0" w:line="203"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Financial instruments, which potentially subject the Company to concentrations of credit risk, consist principally of cash and cash equivalents and trade accounts and notes receivable from customers, primarily located in France, Japan and the United States. The Company maintains cash deposits with major banks. Management periodically assesses the financial condition of these institutions and believes that credit risk is limited.</w:t>
      </w:r>
    </w:p>
    <w:p>
      <w:pPr>
        <w:spacing w:after="0" w:line="153" w:lineRule="exact"/>
        <w:rPr>
          <w:sz w:val="20"/>
          <w:szCs w:val="20"/>
          <w:color w:val="auto"/>
        </w:rPr>
      </w:pPr>
    </w:p>
    <w:p>
      <w:pPr>
        <w:jc w:val="both"/>
        <w:ind w:firstLine="720"/>
        <w:spacing w:after="0" w:line="266" w:lineRule="auto"/>
        <w:rPr>
          <w:sz w:val="20"/>
          <w:szCs w:val="20"/>
          <w:color w:val="auto"/>
        </w:rPr>
      </w:pPr>
      <w:r>
        <w:rPr>
          <w:rFonts w:ascii="Times New Roman" w:cs="Times New Roman" w:eastAsia="Times New Roman" w:hAnsi="Times New Roman"/>
          <w:sz w:val="19"/>
          <w:szCs w:val="19"/>
          <w:color w:val="auto"/>
        </w:rPr>
        <w:t>The Company has implemented procedures to monitor the creditworthiness of its customers. The Company obtains bank guarantees for first time or infrequent unknown customers, and in certain cases obtains insurance against the risk of a payment default by the customer. The Company reviewed individual customer balances considering current and historical loss experience and general economic conditions in determining the allowance for doubtful accounts receivable of $0.5 million and $0.4 million, for the years ended December 31, 2025 and 2024, respectively.</w:t>
      </w:r>
    </w:p>
    <w:p>
      <w:pPr>
        <w:spacing w:after="0" w:line="141" w:lineRule="exact"/>
        <w:rPr>
          <w:sz w:val="20"/>
          <w:szCs w:val="20"/>
          <w:color w:val="auto"/>
        </w:rPr>
      </w:pPr>
    </w:p>
    <w:p>
      <w:pPr>
        <w:jc w:val="both"/>
        <w:ind w:firstLine="720"/>
        <w:spacing w:after="0" w:line="279" w:lineRule="auto"/>
        <w:rPr>
          <w:sz w:val="20"/>
          <w:szCs w:val="20"/>
          <w:color w:val="auto"/>
        </w:rPr>
      </w:pPr>
      <w:r>
        <w:rPr>
          <w:rFonts w:ascii="Times New Roman" w:cs="Times New Roman" w:eastAsia="Times New Roman" w:hAnsi="Times New Roman"/>
          <w:sz w:val="20"/>
          <w:szCs w:val="20"/>
          <w:color w:val="auto"/>
        </w:rPr>
        <w:t>Actual losses may vary from the current estimates, and any adjustments are reported in earnings in the periods in which they become known.</w:t>
      </w:r>
    </w:p>
    <w:p>
      <w:pPr>
        <w:spacing w:after="0" w:line="125" w:lineRule="exact"/>
        <w:rPr>
          <w:sz w:val="20"/>
          <w:szCs w:val="20"/>
          <w:color w:val="auto"/>
        </w:rPr>
      </w:pPr>
    </w:p>
    <w:p>
      <w:pPr>
        <w:ind w:right="880" w:firstLine="720"/>
        <w:spacing w:after="0" w:line="464" w:lineRule="auto"/>
        <w:rPr>
          <w:sz w:val="20"/>
          <w:szCs w:val="20"/>
          <w:color w:val="auto"/>
        </w:rPr>
      </w:pPr>
      <w:r>
        <w:rPr>
          <w:rFonts w:ascii="Times New Roman" w:cs="Times New Roman" w:eastAsia="Times New Roman" w:hAnsi="Times New Roman"/>
          <w:sz w:val="20"/>
          <w:szCs w:val="20"/>
          <w:color w:val="auto"/>
        </w:rPr>
        <w:t xml:space="preserve">In 2025 and 2024, the Company did not generate more than 10% revenue with a single customer. </w:t>
      </w:r>
      <w:r>
        <w:rPr>
          <w:sz w:val="1"/>
          <w:szCs w:val="1"/>
          <w:color w:val="auto"/>
        </w:rPr>
        <w:drawing>
          <wp:inline distT="0" distB="0" distL="0" distR="0">
            <wp:extent cx="259080" cy="95885"/>
            <wp:effectExtent l="0" t="0" r="0" b="0"/>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139">
                      <a:extLst>
                        <a:ext uri="{28A0092B-C50C-407E-A947-70E740481C1C}"/>
                      </a:extLst>
                    </a:blip>
                    <a:srcRect/>
                    <a:stretch>
                      <a:fillRect/>
                    </a:stretch>
                  </pic:blipFill>
                  <pic:spPr bwMode="auto">
                    <a:xfrm>
                      <a:off x="0" y="0"/>
                      <a:ext cx="259080" cy="95885"/>
                    </a:xfrm>
                    <a:prstGeom prst="rect">
                      <a:avLst/>
                    </a:prstGeom>
                    <a:noFill/>
                    <a:ln>
                      <a:noFill/>
                    </a:ln>
                  </pic:spPr>
                </pic:pic>
              </a:graphicData>
            </a:graphic>
          </wp:inline>
        </w:drawing>
      </w:r>
      <w:r>
        <w:rPr>
          <w:rFonts w:ascii="Times New Roman" w:cs="Times New Roman" w:eastAsia="Times New Roman" w:hAnsi="Times New Roman"/>
          <w:sz w:val="20"/>
          <w:szCs w:val="20"/>
          <w:b w:val="1"/>
          <w:bCs w:val="1"/>
          <w:color w:val="auto"/>
        </w:rPr>
        <w:t xml:space="preserve"> FOREIGN CURRENCY TRANSACTIONS</w:t>
      </w:r>
    </w:p>
    <w:p>
      <w:pPr>
        <w:jc w:val="both"/>
        <w:ind w:firstLine="720"/>
        <w:spacing w:after="0" w:line="247" w:lineRule="auto"/>
        <w:rPr>
          <w:sz w:val="20"/>
          <w:szCs w:val="20"/>
          <w:color w:val="auto"/>
        </w:rPr>
      </w:pPr>
      <w:r>
        <w:rPr>
          <w:rFonts w:ascii="Times New Roman" w:cs="Times New Roman" w:eastAsia="Times New Roman" w:hAnsi="Times New Roman"/>
          <w:sz w:val="20"/>
          <w:szCs w:val="20"/>
          <w:color w:val="auto"/>
        </w:rPr>
        <w:t>The Company generates a significant percentage of its revenues, and of its operating expenses, in currencies other than the U.S. dollar. The Company’s operating profitability could be materially adversely affected by large fluctuations in the rate of exchange between the euro and such other currencies. The Company may engage in foreign exchange hedging activities when deemed necessary, but there can be no assurance that hedging activities will be offset by the impact of movements in exchange rates on the Company’s results of operations. As of December 31, 2025, there were no outstanding hedging instruments.</w:t>
      </w:r>
    </w:p>
    <w:p>
      <w:pPr>
        <w:spacing w:after="0" w:line="185" w:lineRule="exact"/>
        <w:rPr>
          <w:sz w:val="20"/>
          <w:szCs w:val="20"/>
          <w:color w:val="auto"/>
        </w:rPr>
      </w:pPr>
    </w:p>
    <w:p>
      <w:pPr>
        <w:spacing w:after="0"/>
        <w:rPr>
          <w:sz w:val="20"/>
          <w:szCs w:val="20"/>
          <w:color w:val="auto"/>
        </w:rPr>
      </w:pPr>
      <w:r>
        <w:rPr>
          <w:sz w:val="1"/>
          <w:szCs w:val="1"/>
          <w:color w:val="auto"/>
        </w:rPr>
        <w:drawing>
          <wp:inline distT="0" distB="0" distL="0" distR="0">
            <wp:extent cx="259080" cy="95885"/>
            <wp:effectExtent l="0" t="0" r="0" b="0"/>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140">
                      <a:extLst>
                        <a:ext uri="{28A0092B-C50C-407E-A947-70E740481C1C}"/>
                      </a:extLst>
                    </a:blip>
                    <a:srcRect/>
                    <a:stretch>
                      <a:fillRect/>
                    </a:stretch>
                  </pic:blipFill>
                  <pic:spPr bwMode="auto">
                    <a:xfrm>
                      <a:off x="0" y="0"/>
                      <a:ext cx="259080" cy="95885"/>
                    </a:xfrm>
                    <a:prstGeom prst="rect">
                      <a:avLst/>
                    </a:prstGeom>
                    <a:noFill/>
                    <a:ln>
                      <a:noFill/>
                    </a:ln>
                  </pic:spPr>
                </pic:pic>
              </a:graphicData>
            </a:graphic>
          </wp:inline>
        </w:drawing>
      </w:r>
      <w:r>
        <w:rPr>
          <w:rFonts w:ascii="Times New Roman" w:cs="Times New Roman" w:eastAsia="Times New Roman" w:hAnsi="Times New Roman"/>
          <w:sz w:val="20"/>
          <w:szCs w:val="20"/>
          <w:b w:val="1"/>
          <w:bCs w:val="1"/>
          <w:color w:val="auto"/>
        </w:rPr>
        <w:t xml:space="preserve"> DIVISION INFORMATION (SEGMENT REPORTING)</w:t>
      </w:r>
    </w:p>
    <w:p>
      <w:pPr>
        <w:spacing w:after="0" w:line="203" w:lineRule="exact"/>
        <w:rPr>
          <w:sz w:val="20"/>
          <w:szCs w:val="20"/>
          <w:color w:val="auto"/>
        </w:rPr>
      </w:pPr>
    </w:p>
    <w:p>
      <w:pPr>
        <w:jc w:val="both"/>
        <w:ind w:firstLine="720"/>
        <w:spacing w:after="0" w:line="248" w:lineRule="auto"/>
        <w:rPr>
          <w:sz w:val="20"/>
          <w:szCs w:val="20"/>
          <w:color w:val="auto"/>
        </w:rPr>
      </w:pPr>
      <w:r>
        <w:rPr>
          <w:rFonts w:ascii="Times New Roman" w:cs="Times New Roman" w:eastAsia="Times New Roman" w:hAnsi="Times New Roman"/>
          <w:sz w:val="20"/>
          <w:szCs w:val="20"/>
          <w:color w:val="auto"/>
        </w:rPr>
        <w:t>Our activity is organized into three reportable segments corresponding to our three divisions: HIFU, ESWL (including lithotripsy activities) and Distribution. Through these three divisions, we develop, produce, market and distribute non-invasive medical devices, mainly for urological diseases. HIFU division includes sales of Focal One, and related consumables and services, ESWL division includes revenues generated by the existing Sonolith range of lithotripters and, Distribution division includes the sale of complimentary products such as lasers, micro-ultrasound systems and other products from third parties.</w:t>
      </w:r>
    </w:p>
    <w:p>
      <w:pPr>
        <w:spacing w:after="0" w:line="156" w:lineRule="exact"/>
        <w:rPr>
          <w:sz w:val="20"/>
          <w:szCs w:val="20"/>
          <w:color w:val="auto"/>
        </w:rPr>
      </w:pPr>
    </w:p>
    <w:p>
      <w:pPr>
        <w:jc w:val="both"/>
        <w:ind w:firstLine="720"/>
        <w:spacing w:after="0" w:line="259" w:lineRule="auto"/>
        <w:rPr>
          <w:sz w:val="20"/>
          <w:szCs w:val="20"/>
          <w:color w:val="auto"/>
        </w:rPr>
      </w:pPr>
      <w:r>
        <w:rPr>
          <w:rFonts w:ascii="Times New Roman" w:cs="Times New Roman" w:eastAsia="Times New Roman" w:hAnsi="Times New Roman"/>
          <w:sz w:val="20"/>
          <w:szCs w:val="20"/>
          <w:color w:val="auto"/>
        </w:rPr>
        <w:t>The organization of our activities into three divisions better clarified our vision and enhanced our financial reporting of our three businesses HIFU, ESWL and Distribution. This new structure also allows for an improved measurement of our business progress.</w:t>
      </w:r>
    </w:p>
    <w:p>
      <w:pPr>
        <w:spacing w:after="0" w:line="146"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The business in which the Company operates is the development, production and distribution of non-invasive medical devices, primarily for the treatment of urological diseases. The divisions s derive their revenues from this activity.</w:t>
      </w:r>
    </w:p>
    <w:p>
      <w:pPr>
        <w:spacing w:after="0" w:line="147" w:lineRule="exact"/>
        <w:rPr>
          <w:sz w:val="20"/>
          <w:szCs w:val="20"/>
          <w:color w:val="auto"/>
        </w:rPr>
      </w:pPr>
    </w:p>
    <w:p>
      <w:pPr>
        <w:jc w:val="both"/>
        <w:ind w:firstLine="720"/>
        <w:spacing w:after="0" w:line="250" w:lineRule="auto"/>
        <w:rPr>
          <w:sz w:val="20"/>
          <w:szCs w:val="20"/>
          <w:color w:val="auto"/>
        </w:rPr>
      </w:pPr>
      <w:r>
        <w:rPr>
          <w:rFonts w:ascii="Times New Roman" w:cs="Times New Roman" w:eastAsia="Times New Roman" w:hAnsi="Times New Roman"/>
          <w:sz w:val="20"/>
          <w:szCs w:val="20"/>
          <w:color w:val="auto"/>
        </w:rPr>
        <w:t>The following tables set forth the key Statement of loss figures, by division for fiscal years 2025 and 2024 and the key balance sheet figures, by division, for fiscal years 2025 and 2024. Division operating profit or loss and division assets are determined in accordance with the same policies as those described in the summary of significant accounting policies and they are reviewed by the CODM, who is the CEO. The CODM uses operating income (loss) as the measure of profit or loss to allocate resources, assess performance, and monitor budgets against actual results.</w:t>
      </w:r>
    </w:p>
    <w:p>
      <w:pPr>
        <w:sectPr>
          <w:pgSz w:w="11900" w:h="16838" w:orient="portrait"/>
          <w:cols w:equalWidth="0" w:num="1">
            <w:col w:w="9380"/>
          </w:cols>
          <w:pgMar w:left="1260" w:top="838" w:right="1266" w:bottom="72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F-48</w:t>
      </w:r>
    </w:p>
    <w:p>
      <w:pPr>
        <w:sectPr>
          <w:pgSz w:w="11900" w:h="16838" w:orient="portrait"/>
          <w:cols w:equalWidth="0" w:num="1">
            <w:col w:w="9380"/>
          </w:cols>
          <w:pgMar w:left="1260" w:top="838" w:right="1266" w:bottom="723" w:gutter="0" w:footer="0" w:header="0"/>
          <w:type w:val="continuous"/>
        </w:sectPr>
      </w:pPr>
    </w:p>
    <w:bookmarkStart w:id="103" w:name="page104"/>
    <w:bookmarkEnd w:id="103"/>
    <w:p>
      <w:pPr>
        <w:ind w:left="3180"/>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795655</wp:posOffset>
            </wp:positionH>
            <wp:positionV relativeFrom="page">
              <wp:posOffset>292735</wp:posOffset>
            </wp:positionV>
            <wp:extent cx="929005" cy="1149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141">
                      <a:extLst>
                        <a:ext uri="{28A0092B-C50C-407E-A947-70E740481C1C}"/>
                      </a:extLst>
                    </a:blip>
                    <a:srcRect/>
                    <a:stretch>
                      <a:fillRect/>
                    </a:stretch>
                  </pic:blipFill>
                  <pic:spPr bwMode="auto">
                    <a:xfrm>
                      <a:off x="0" y="0"/>
                      <a:ext cx="929005" cy="114935"/>
                    </a:xfrm>
                    <a:prstGeom prst="rect">
                      <a:avLst/>
                    </a:prstGeom>
                    <a:noFill/>
                  </pic:spPr>
                </pic:pic>
              </a:graphicData>
            </a:graphic>
          </wp:anchor>
        </w:drawing>
        <w:t>EDAP TMS S.A. AND SUBSIDIARIES</w:t>
      </w:r>
    </w:p>
    <w:p>
      <w:pPr>
        <w:ind w:left="2760"/>
        <w:spacing w:after="0"/>
        <w:rPr>
          <w:sz w:val="20"/>
          <w:szCs w:val="20"/>
          <w:color w:val="auto"/>
        </w:rPr>
      </w:pPr>
      <w:r>
        <w:rPr>
          <w:rFonts w:ascii="Times New Roman" w:cs="Times New Roman" w:eastAsia="Times New Roman" w:hAnsi="Times New Roman"/>
          <w:sz w:val="20"/>
          <w:szCs w:val="20"/>
          <w:b w:val="1"/>
          <w:bCs w:val="1"/>
          <w:color w:val="auto"/>
        </w:rPr>
        <w:t>CONSOLIDATED FINANCIAL STATEMENTS</w:t>
      </w:r>
    </w:p>
    <w:p>
      <w:pPr>
        <w:ind w:left="1500"/>
        <w:spacing w:after="0"/>
        <w:rPr>
          <w:sz w:val="20"/>
          <w:szCs w:val="20"/>
          <w:color w:val="auto"/>
        </w:rPr>
      </w:pPr>
      <w:r>
        <w:rPr>
          <w:rFonts w:ascii="Times New Roman" w:cs="Times New Roman" w:eastAsia="Times New Roman" w:hAnsi="Times New Roman"/>
          <w:sz w:val="20"/>
          <w:szCs w:val="20"/>
          <w:b w:val="1"/>
          <w:bCs w:val="1"/>
          <w:color w:val="auto"/>
        </w:rPr>
        <w:t>(In thousands of U.S. dollars unless otherwise noted, except per share data)</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20"/>
          <w:szCs w:val="20"/>
          <w:color w:val="auto"/>
        </w:rPr>
        <w:t>Interest income and expense, current and deferred income taxes are not allocated to individual divisions. A reconciliation of division operating profit or loss to consolidated net loss is as follows:</w:t>
      </w:r>
    </w:p>
    <w:p>
      <w:pPr>
        <w:spacing w:after="0" w:line="247" w:lineRule="exact"/>
        <w:rPr>
          <w:sz w:val="20"/>
          <w:szCs w:val="20"/>
          <w:color w:val="auto"/>
        </w:rPr>
      </w:pPr>
    </w:p>
    <w:tbl>
      <w:tblPr>
        <w:tblLayout w:type="fixed"/>
        <w:tblInd w:w="940" w:type="dxa"/>
        <w:tblCellMar>
          <w:top w:w="0" w:type="dxa"/>
          <w:left w:w="0" w:type="dxa"/>
          <w:bottom w:w="0" w:type="dxa"/>
          <w:right w:w="0" w:type="dxa"/>
        </w:tblCellMar>
      </w:tblPr>
      <w:tr>
        <w:trPr>
          <w:trHeight w:val="203"/>
        </w:trPr>
        <w:tc>
          <w:tcPr>
            <w:tcW w:w="5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Year Ended December 31,</w:t>
            </w:r>
          </w:p>
        </w:tc>
      </w:tr>
      <w:tr>
        <w:trPr>
          <w:trHeight w:val="177"/>
        </w:trPr>
        <w:tc>
          <w:tcPr>
            <w:tcW w:w="56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right"/>
              <w:ind w:right="146"/>
              <w:spacing w:after="0" w:line="177" w:lineRule="exact"/>
              <w:rPr>
                <w:sz w:val="20"/>
                <w:szCs w:val="20"/>
                <w:color w:val="auto"/>
              </w:rPr>
            </w:pPr>
            <w:r>
              <w:rPr>
                <w:rFonts w:ascii="Times New Roman" w:cs="Times New Roman" w:eastAsia="Times New Roman" w:hAnsi="Times New Roman"/>
                <w:sz w:val="16"/>
                <w:szCs w:val="16"/>
                <w:b w:val="1"/>
                <w:bCs w:val="1"/>
                <w:color w:val="auto"/>
              </w:rPr>
              <w:t>2025</w:t>
            </w:r>
          </w:p>
        </w:tc>
        <w:tc>
          <w:tcPr>
            <w:tcW w:w="20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ind w:right="147"/>
              <w:spacing w:after="0" w:line="177" w:lineRule="exact"/>
              <w:rPr>
                <w:sz w:val="20"/>
                <w:szCs w:val="20"/>
                <w:color w:val="auto"/>
              </w:rPr>
            </w:pPr>
            <w:r>
              <w:rPr>
                <w:rFonts w:ascii="Times New Roman" w:cs="Times New Roman" w:eastAsia="Times New Roman" w:hAnsi="Times New Roman"/>
                <w:sz w:val="16"/>
                <w:szCs w:val="16"/>
                <w:b w:val="1"/>
                <w:bCs w:val="1"/>
                <w:color w:val="auto"/>
              </w:rPr>
              <w:t>2024</w:t>
            </w:r>
          </w:p>
        </w:tc>
      </w:tr>
      <w:tr>
        <w:trPr>
          <w:trHeight w:val="220"/>
        </w:trPr>
        <w:tc>
          <w:tcPr>
            <w:tcW w:w="5680" w:type="dxa"/>
            <w:vAlign w:val="bottom"/>
            <w:gridSpan w:val="2"/>
            <w:shd w:val="clear" w:color="auto" w:fill="CCEEFF"/>
          </w:tcPr>
          <w:p>
            <w:pPr>
              <w:spacing w:after="0" w:line="220" w:lineRule="exact"/>
              <w:rPr>
                <w:sz w:val="20"/>
                <w:szCs w:val="20"/>
                <w:color w:val="auto"/>
              </w:rPr>
            </w:pPr>
            <w:r>
              <w:rPr>
                <w:rFonts w:ascii="Times New Roman" w:cs="Times New Roman" w:eastAsia="Times New Roman" w:hAnsi="Times New Roman"/>
                <w:sz w:val="20"/>
                <w:szCs w:val="20"/>
                <w:color w:val="auto"/>
              </w:rPr>
              <w:t>Division operating loss</w:t>
            </w:r>
          </w:p>
        </w:tc>
        <w:tc>
          <w:tcPr>
            <w:tcW w:w="800" w:type="dxa"/>
            <w:vAlign w:val="bottom"/>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(24,694)</w:t>
            </w:r>
          </w:p>
        </w:tc>
        <w:tc>
          <w:tcPr>
            <w:tcW w:w="1020" w:type="dxa"/>
            <w:vAlign w:val="bottom"/>
            <w:gridSpan w:val="2"/>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(22,225)</w:t>
            </w:r>
          </w:p>
        </w:tc>
      </w:tr>
      <w:tr>
        <w:trPr>
          <w:trHeight w:val="230"/>
        </w:trPr>
        <w:tc>
          <w:tcPr>
            <w:tcW w:w="56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Financial (expense) income, net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(3,110)</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606</w:t>
            </w:r>
          </w:p>
        </w:tc>
      </w:tr>
      <w:tr>
        <w:trPr>
          <w:trHeight w:val="230"/>
        </w:trPr>
        <w:tc>
          <w:tcPr>
            <w:tcW w:w="5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Foreign Currency exchange (losses) gains, net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(1,003)</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1,348</w:t>
            </w:r>
          </w:p>
        </w:tc>
      </w:tr>
      <w:tr>
        <w:trPr>
          <w:trHeight w:val="233"/>
        </w:trPr>
        <w:tc>
          <w:tcPr>
            <w:tcW w:w="56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20"/>
                <w:szCs w:val="20"/>
                <w:color w:val="auto"/>
              </w:rPr>
              <w:t>Income tax (expense) benefit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(438)</w:t>
            </w:r>
          </w:p>
        </w:tc>
        <w:tc>
          <w:tcPr>
            <w:tcW w:w="200" w:type="dxa"/>
            <w:vAlign w:val="bottom"/>
            <w:tcBorders>
              <w:bottom w:val="single" w:sz="8" w:color="CCEEFF"/>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(313)</w:t>
            </w:r>
          </w:p>
        </w:tc>
      </w:tr>
      <w:tr>
        <w:trPr>
          <w:trHeight w:val="231"/>
        </w:trPr>
        <w:tc>
          <w:tcPr>
            <w:tcW w:w="5660" w:type="dxa"/>
            <w:vAlign w:val="bottom"/>
            <w:shd w:val="clear" w:color="auto" w:fill="CCEEFF"/>
          </w:tcPr>
          <w:p>
            <w:pPr>
              <w:spacing w:after="0" w:line="220" w:lineRule="exact"/>
              <w:rPr>
                <w:sz w:val="20"/>
                <w:szCs w:val="20"/>
                <w:color w:val="auto"/>
              </w:rPr>
            </w:pPr>
            <w:r>
              <w:rPr>
                <w:rFonts w:ascii="Times New Roman" w:cs="Times New Roman" w:eastAsia="Times New Roman" w:hAnsi="Times New Roman"/>
                <w:sz w:val="20"/>
                <w:szCs w:val="20"/>
                <w:color w:val="auto"/>
              </w:rPr>
              <w:t>Consolidated net loss</w:t>
            </w:r>
          </w:p>
        </w:tc>
        <w:tc>
          <w:tcPr>
            <w:tcW w:w="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line="221" w:lineRule="exact"/>
              <w:rPr>
                <w:sz w:val="20"/>
                <w:szCs w:val="20"/>
                <w:color w:val="auto"/>
              </w:rPr>
            </w:pPr>
            <w:r>
              <w:rPr>
                <w:rFonts w:ascii="Times New Roman" w:cs="Times New Roman" w:eastAsia="Times New Roman" w:hAnsi="Times New Roman"/>
                <w:sz w:val="20"/>
                <w:szCs w:val="20"/>
                <w:color w:val="auto"/>
              </w:rPr>
              <w:t>(29,246)</w:t>
            </w:r>
          </w:p>
        </w:tc>
        <w:tc>
          <w:tcPr>
            <w:tcW w:w="200" w:type="dxa"/>
            <w:vAlign w:val="bottom"/>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line="221" w:lineRule="exact"/>
              <w:rPr>
                <w:sz w:val="20"/>
                <w:szCs w:val="20"/>
                <w:color w:val="auto"/>
              </w:rPr>
            </w:pPr>
            <w:r>
              <w:rPr>
                <w:rFonts w:ascii="Times New Roman" w:cs="Times New Roman" w:eastAsia="Times New Roman" w:hAnsi="Times New Roman"/>
                <w:sz w:val="20"/>
                <w:szCs w:val="20"/>
                <w:color w:val="auto"/>
              </w:rPr>
              <w:t>(20,584)</w:t>
            </w:r>
          </w:p>
        </w:tc>
      </w:tr>
    </w:tbl>
    <w:p>
      <w:pPr>
        <w:spacing w:after="0" w:line="208" w:lineRule="exact"/>
        <w:rPr>
          <w:sz w:val="20"/>
          <w:szCs w:val="20"/>
          <w:color w:val="auto"/>
        </w:rPr>
      </w:pPr>
    </w:p>
    <w:p>
      <w:pPr>
        <w:ind w:firstLine="720"/>
        <w:spacing w:after="0" w:line="279" w:lineRule="auto"/>
        <w:rPr>
          <w:sz w:val="20"/>
          <w:szCs w:val="20"/>
          <w:color w:val="auto"/>
        </w:rPr>
      </w:pPr>
      <w:r>
        <w:rPr>
          <w:rFonts w:ascii="Times New Roman" w:cs="Times New Roman" w:eastAsia="Times New Roman" w:hAnsi="Times New Roman"/>
          <w:sz w:val="20"/>
          <w:szCs w:val="20"/>
          <w:color w:val="auto"/>
        </w:rPr>
        <w:t>A summary of the Company’s operations by division is presented below for years ended December 31, 2025 and 2024:</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HIFU</w:t>
            </w:r>
          </w:p>
        </w:tc>
        <w:tc>
          <w:tcPr>
            <w:tcW w:w="200" w:type="dxa"/>
            <w:vAlign w:val="bottom"/>
          </w:tcPr>
          <w:p>
            <w:pPr>
              <w:spacing w:after="0"/>
              <w:rPr>
                <w:sz w:val="16"/>
                <w:szCs w:val="16"/>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ESWL</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DISTRIB</w:t>
            </w:r>
          </w:p>
        </w:tc>
        <w:tc>
          <w:tcPr>
            <w:tcW w:w="18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Reconciling</w:t>
            </w:r>
          </w:p>
        </w:tc>
        <w:tc>
          <w:tcPr>
            <w:tcW w:w="18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03"/>
        </w:trPr>
        <w:tc>
          <w:tcPr>
            <w:tcW w:w="4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2025</w:t>
            </w:r>
          </w:p>
        </w:tc>
        <w:tc>
          <w:tcPr>
            <w:tcW w:w="18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Division</w:t>
            </w:r>
          </w:p>
        </w:tc>
        <w:tc>
          <w:tcPr>
            <w:tcW w:w="20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Division</w:t>
            </w:r>
          </w:p>
        </w:tc>
        <w:tc>
          <w:tcPr>
            <w:tcW w:w="18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Division</w:t>
            </w:r>
          </w:p>
        </w:tc>
        <w:tc>
          <w:tcPr>
            <w:tcW w:w="18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Items</w:t>
            </w:r>
          </w:p>
        </w:tc>
        <w:tc>
          <w:tcPr>
            <w:tcW w:w="18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consolidated</w:t>
            </w:r>
          </w:p>
        </w:tc>
      </w:tr>
      <w:tr>
        <w:trPr>
          <w:trHeight w:val="220"/>
        </w:trPr>
        <w:tc>
          <w:tcPr>
            <w:tcW w:w="4580" w:type="dxa"/>
            <w:vAlign w:val="bottom"/>
            <w:shd w:val="clear" w:color="auto" w:fill="CCEEFF"/>
          </w:tcPr>
          <w:p>
            <w:pPr>
              <w:spacing w:after="0" w:line="220" w:lineRule="exact"/>
              <w:rPr>
                <w:sz w:val="20"/>
                <w:szCs w:val="20"/>
                <w:color w:val="auto"/>
              </w:rPr>
            </w:pPr>
            <w:r>
              <w:rPr>
                <w:rFonts w:ascii="Times New Roman" w:cs="Times New Roman" w:eastAsia="Times New Roman" w:hAnsi="Times New Roman"/>
                <w:sz w:val="20"/>
                <w:szCs w:val="20"/>
                <w:color w:val="auto"/>
              </w:rPr>
              <w:t>Sales of goods</w:t>
            </w:r>
          </w:p>
        </w:tc>
        <w:tc>
          <w:tcPr>
            <w:tcW w:w="920" w:type="dxa"/>
            <w:vAlign w:val="bottom"/>
            <w:gridSpan w:val="2"/>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24,857</w:t>
            </w:r>
          </w:p>
        </w:tc>
        <w:tc>
          <w:tcPr>
            <w:tcW w:w="940" w:type="dxa"/>
            <w:vAlign w:val="bottom"/>
            <w:gridSpan w:val="2"/>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1,711</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22,328</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1040" w:type="dxa"/>
            <w:vAlign w:val="bottom"/>
            <w:gridSpan w:val="2"/>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48,896</w:t>
            </w:r>
          </w:p>
        </w:tc>
      </w:tr>
      <w:tr>
        <w:trPr>
          <w:trHeight w:val="228"/>
        </w:trPr>
        <w:tc>
          <w:tcPr>
            <w:tcW w:w="4580" w:type="dxa"/>
            <w:vAlign w:val="bottom"/>
          </w:tcPr>
          <w:p>
            <w:pPr>
              <w:spacing w:after="0" w:line="228" w:lineRule="exact"/>
              <w:rPr>
                <w:sz w:val="20"/>
                <w:szCs w:val="20"/>
                <w:color w:val="auto"/>
              </w:rPr>
            </w:pPr>
            <w:r>
              <w:rPr>
                <w:rFonts w:ascii="Times New Roman" w:cs="Times New Roman" w:eastAsia="Times New Roman" w:hAnsi="Times New Roman"/>
                <w:sz w:val="20"/>
                <w:szCs w:val="20"/>
                <w:color w:val="auto"/>
              </w:rPr>
              <w:t>Sales of RPPs &amp; leases</w:t>
            </w:r>
          </w:p>
        </w:tc>
        <w:tc>
          <w:tcPr>
            <w:tcW w:w="920" w:type="dxa"/>
            <w:vAlign w:val="bottom"/>
            <w:gridSpan w:val="2"/>
          </w:tcPr>
          <w:p>
            <w:pPr>
              <w:jc w:val="right"/>
              <w:spacing w:after="0" w:line="228" w:lineRule="exact"/>
              <w:rPr>
                <w:sz w:val="20"/>
                <w:szCs w:val="20"/>
                <w:color w:val="auto"/>
              </w:rPr>
            </w:pPr>
            <w:r>
              <w:rPr>
                <w:rFonts w:ascii="Times New Roman" w:cs="Times New Roman" w:eastAsia="Times New Roman" w:hAnsi="Times New Roman"/>
                <w:sz w:val="20"/>
                <w:szCs w:val="20"/>
                <w:color w:val="auto"/>
              </w:rPr>
              <w:t>8,791</w:t>
            </w:r>
          </w:p>
        </w:tc>
        <w:tc>
          <w:tcPr>
            <w:tcW w:w="940" w:type="dxa"/>
            <w:vAlign w:val="bottom"/>
            <w:gridSpan w:val="2"/>
          </w:tcPr>
          <w:p>
            <w:pPr>
              <w:jc w:val="right"/>
              <w:spacing w:after="0" w:line="228" w:lineRule="exact"/>
              <w:rPr>
                <w:sz w:val="20"/>
                <w:szCs w:val="20"/>
                <w:color w:val="auto"/>
              </w:rPr>
            </w:pPr>
            <w:r>
              <w:rPr>
                <w:rFonts w:ascii="Times New Roman" w:cs="Times New Roman" w:eastAsia="Times New Roman" w:hAnsi="Times New Roman"/>
                <w:sz w:val="20"/>
                <w:szCs w:val="20"/>
                <w:color w:val="auto"/>
              </w:rPr>
              <w:t>1,159</w:t>
            </w:r>
          </w:p>
        </w:tc>
        <w:tc>
          <w:tcPr>
            <w:tcW w:w="180" w:type="dxa"/>
            <w:vAlign w:val="bottom"/>
          </w:tcPr>
          <w:p>
            <w:pPr>
              <w:spacing w:after="0"/>
              <w:rPr>
                <w:sz w:val="19"/>
                <w:szCs w:val="19"/>
                <w:color w:val="auto"/>
              </w:rPr>
            </w:pPr>
          </w:p>
        </w:tc>
        <w:tc>
          <w:tcPr>
            <w:tcW w:w="74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auto"/>
              </w:rPr>
              <w:t>340</w:t>
            </w:r>
          </w:p>
        </w:tc>
        <w:tc>
          <w:tcPr>
            <w:tcW w:w="180" w:type="dxa"/>
            <w:vAlign w:val="bottom"/>
          </w:tcPr>
          <w:p>
            <w:pPr>
              <w:spacing w:after="0"/>
              <w:rPr>
                <w:sz w:val="19"/>
                <w:szCs w:val="19"/>
                <w:color w:val="auto"/>
              </w:rPr>
            </w:pPr>
          </w:p>
        </w:tc>
        <w:tc>
          <w:tcPr>
            <w:tcW w:w="80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auto"/>
              </w:rPr>
              <w:t>—</w:t>
            </w:r>
          </w:p>
        </w:tc>
        <w:tc>
          <w:tcPr>
            <w:tcW w:w="1040" w:type="dxa"/>
            <w:vAlign w:val="bottom"/>
            <w:gridSpan w:val="2"/>
          </w:tcPr>
          <w:p>
            <w:pPr>
              <w:jc w:val="right"/>
              <w:spacing w:after="0" w:line="228" w:lineRule="exact"/>
              <w:rPr>
                <w:sz w:val="20"/>
                <w:szCs w:val="20"/>
                <w:color w:val="auto"/>
              </w:rPr>
            </w:pPr>
            <w:r>
              <w:rPr>
                <w:rFonts w:ascii="Times New Roman" w:cs="Times New Roman" w:eastAsia="Times New Roman" w:hAnsi="Times New Roman"/>
                <w:sz w:val="20"/>
                <w:szCs w:val="20"/>
                <w:color w:val="auto"/>
              </w:rPr>
              <w:t>10,289</w:t>
            </w:r>
          </w:p>
        </w:tc>
      </w:tr>
      <w:tr>
        <w:trPr>
          <w:trHeight w:val="250"/>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Sales of spare parts and services</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3,703</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4,593</w:t>
            </w:r>
          </w:p>
        </w:tc>
        <w:tc>
          <w:tcPr>
            <w:tcW w:w="18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3,045</w:t>
            </w:r>
          </w:p>
        </w:tc>
        <w:tc>
          <w:tcPr>
            <w:tcW w:w="1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11,342</w:t>
            </w:r>
          </w:p>
        </w:tc>
      </w:tr>
      <w:tr>
        <w:trPr>
          <w:trHeight w:val="200"/>
        </w:trPr>
        <w:tc>
          <w:tcPr>
            <w:tcW w:w="4580" w:type="dxa"/>
            <w:vAlign w:val="bottom"/>
            <w:tcBorders>
              <w:top w:val="single" w:sz="8" w:color="CCEEFF"/>
            </w:tcBorders>
          </w:tcPr>
          <w:p>
            <w:pPr>
              <w:spacing w:after="0" w:line="200" w:lineRule="exact"/>
              <w:rPr>
                <w:sz w:val="20"/>
                <w:szCs w:val="20"/>
                <w:color w:val="auto"/>
              </w:rPr>
            </w:pPr>
            <w:r>
              <w:rPr>
                <w:rFonts w:ascii="Times New Roman" w:cs="Times New Roman" w:eastAsia="Times New Roman" w:hAnsi="Times New Roman"/>
                <w:sz w:val="20"/>
                <w:szCs w:val="20"/>
                <w:color w:val="auto"/>
              </w:rPr>
              <w:t>Total sales</w:t>
            </w:r>
          </w:p>
        </w:tc>
        <w:tc>
          <w:tcPr>
            <w:tcW w:w="180" w:type="dxa"/>
            <w:vAlign w:val="bottom"/>
            <w:tcBorders>
              <w:top w:val="single" w:sz="8" w:color="CCEEFF"/>
            </w:tcBorders>
          </w:tcPr>
          <w:p>
            <w:pPr>
              <w:spacing w:after="0"/>
              <w:rPr>
                <w:sz w:val="17"/>
                <w:szCs w:val="17"/>
                <w:color w:val="auto"/>
              </w:rPr>
            </w:pPr>
          </w:p>
        </w:tc>
        <w:tc>
          <w:tcPr>
            <w:tcW w:w="740" w:type="dxa"/>
            <w:vAlign w:val="bottom"/>
            <w:tcBorders>
              <w:top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37,351</w:t>
            </w:r>
          </w:p>
        </w:tc>
        <w:tc>
          <w:tcPr>
            <w:tcW w:w="200" w:type="dxa"/>
            <w:vAlign w:val="bottom"/>
            <w:tcBorders>
              <w:top w:val="single" w:sz="8" w:color="CCEEFF"/>
            </w:tcBorders>
          </w:tcPr>
          <w:p>
            <w:pPr>
              <w:spacing w:after="0"/>
              <w:rPr>
                <w:sz w:val="17"/>
                <w:szCs w:val="17"/>
                <w:color w:val="auto"/>
              </w:rPr>
            </w:pPr>
          </w:p>
        </w:tc>
        <w:tc>
          <w:tcPr>
            <w:tcW w:w="740" w:type="dxa"/>
            <w:vAlign w:val="bottom"/>
            <w:tcBorders>
              <w:top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7,463</w:t>
            </w:r>
          </w:p>
        </w:tc>
        <w:tc>
          <w:tcPr>
            <w:tcW w:w="180" w:type="dxa"/>
            <w:vAlign w:val="bottom"/>
            <w:tcBorders>
              <w:top w:val="single" w:sz="8" w:color="CCEEFF"/>
            </w:tcBorders>
          </w:tcPr>
          <w:p>
            <w:pPr>
              <w:spacing w:after="0"/>
              <w:rPr>
                <w:sz w:val="17"/>
                <w:szCs w:val="17"/>
                <w:color w:val="auto"/>
              </w:rPr>
            </w:pPr>
          </w:p>
        </w:tc>
        <w:tc>
          <w:tcPr>
            <w:tcW w:w="740" w:type="dxa"/>
            <w:vAlign w:val="bottom"/>
            <w:tcBorders>
              <w:top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25,712</w:t>
            </w:r>
          </w:p>
        </w:tc>
        <w:tc>
          <w:tcPr>
            <w:tcW w:w="180" w:type="dxa"/>
            <w:vAlign w:val="bottom"/>
            <w:tcBorders>
              <w:top w:val="single" w:sz="8" w:color="CCEEFF"/>
            </w:tcBorders>
          </w:tcPr>
          <w:p>
            <w:pPr>
              <w:spacing w:after="0"/>
              <w:rPr>
                <w:sz w:val="17"/>
                <w:szCs w:val="17"/>
                <w:color w:val="auto"/>
              </w:rPr>
            </w:pPr>
          </w:p>
        </w:tc>
        <w:tc>
          <w:tcPr>
            <w:tcW w:w="800" w:type="dxa"/>
            <w:vAlign w:val="bottom"/>
            <w:tcBorders>
              <w:top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w:t>
            </w:r>
          </w:p>
        </w:tc>
        <w:tc>
          <w:tcPr>
            <w:tcW w:w="180" w:type="dxa"/>
            <w:vAlign w:val="bottom"/>
            <w:tcBorders>
              <w:top w:val="single" w:sz="8" w:color="CCEEFF"/>
            </w:tcBorders>
          </w:tcPr>
          <w:p>
            <w:pPr>
              <w:spacing w:after="0"/>
              <w:rPr>
                <w:sz w:val="17"/>
                <w:szCs w:val="17"/>
                <w:color w:val="auto"/>
              </w:rPr>
            </w:pPr>
          </w:p>
        </w:tc>
        <w:tc>
          <w:tcPr>
            <w:tcW w:w="860" w:type="dxa"/>
            <w:vAlign w:val="bottom"/>
            <w:tcBorders>
              <w:top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70,527</w:t>
            </w:r>
          </w:p>
        </w:tc>
      </w:tr>
      <w:tr>
        <w:trPr>
          <w:trHeight w:val="230"/>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External other revenues</w:t>
            </w: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29"/>
        </w:trPr>
        <w:tc>
          <w:tcPr>
            <w:tcW w:w="4580" w:type="dxa"/>
            <w:vAlign w:val="bottom"/>
            <w:tcBorders>
              <w:bottom w:val="single" w:sz="8" w:color="CCEEFF"/>
            </w:tcBorders>
          </w:tcPr>
          <w:p>
            <w:pPr>
              <w:spacing w:after="0" w:line="220" w:lineRule="exact"/>
              <w:rPr>
                <w:sz w:val="20"/>
                <w:szCs w:val="20"/>
                <w:color w:val="auto"/>
              </w:rPr>
            </w:pPr>
            <w:r>
              <w:rPr>
                <w:rFonts w:ascii="Times New Roman" w:cs="Times New Roman" w:eastAsia="Times New Roman" w:hAnsi="Times New Roman"/>
                <w:sz w:val="20"/>
                <w:szCs w:val="20"/>
                <w:color w:val="auto"/>
              </w:rPr>
              <w:t>Total revenues</w:t>
            </w:r>
          </w:p>
        </w:tc>
        <w:tc>
          <w:tcPr>
            <w:tcW w:w="180" w:type="dxa"/>
            <w:vAlign w:val="bottom"/>
            <w:tcBorders>
              <w:bottom w:val="single" w:sz="8" w:color="CCEEFF"/>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37,351</w:t>
            </w:r>
          </w:p>
        </w:tc>
        <w:tc>
          <w:tcPr>
            <w:tcW w:w="200" w:type="dxa"/>
            <w:vAlign w:val="bottom"/>
            <w:tcBorders>
              <w:bottom w:val="single" w:sz="8" w:color="CCEEFF"/>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7,463</w:t>
            </w:r>
          </w:p>
        </w:tc>
        <w:tc>
          <w:tcPr>
            <w:tcW w:w="180" w:type="dxa"/>
            <w:vAlign w:val="bottom"/>
            <w:tcBorders>
              <w:bottom w:val="single" w:sz="8" w:color="CCEEFF"/>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25,712</w:t>
            </w:r>
          </w:p>
        </w:tc>
        <w:tc>
          <w:tcPr>
            <w:tcW w:w="180" w:type="dxa"/>
            <w:vAlign w:val="bottom"/>
            <w:tcBorders>
              <w:bottom w:val="single" w:sz="8" w:color="CCEEFF"/>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180" w:type="dxa"/>
            <w:vAlign w:val="bottom"/>
            <w:tcBorders>
              <w:bottom w:val="single" w:sz="8" w:color="CCEEFF"/>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70,527</w:t>
            </w:r>
          </w:p>
        </w:tc>
      </w:tr>
      <w:tr>
        <w:trPr>
          <w:trHeight w:val="239"/>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Total COS</w:t>
            </w:r>
          </w:p>
        </w:tc>
        <w:tc>
          <w:tcPr>
            <w:tcW w:w="180" w:type="dxa"/>
            <w:vAlign w:val="bottom"/>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(19,373)</w:t>
            </w:r>
          </w:p>
        </w:tc>
        <w:tc>
          <w:tcPr>
            <w:tcW w:w="200" w:type="dxa"/>
            <w:vAlign w:val="bottom"/>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(4,017)</w:t>
            </w:r>
          </w:p>
        </w:tc>
        <w:tc>
          <w:tcPr>
            <w:tcW w:w="180" w:type="dxa"/>
            <w:vAlign w:val="bottom"/>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(17,135)</w:t>
            </w:r>
          </w:p>
        </w:tc>
        <w:tc>
          <w:tcPr>
            <w:tcW w:w="180" w:type="dxa"/>
            <w:vAlign w:val="bottom"/>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(40,526)</w:t>
            </w:r>
          </w:p>
        </w:tc>
      </w:tr>
      <w:tr>
        <w:trPr>
          <w:trHeight w:val="242"/>
        </w:trPr>
        <w:tc>
          <w:tcPr>
            <w:tcW w:w="4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20"/>
                <w:szCs w:val="20"/>
                <w:color w:val="auto"/>
              </w:rPr>
              <w:t>Gross profit</w:t>
            </w:r>
          </w:p>
        </w:tc>
        <w:tc>
          <w:tcPr>
            <w:tcW w:w="180" w:type="dxa"/>
            <w:vAlign w:val="bottom"/>
            <w:tcBorders>
              <w:bottom w:val="single" w:sz="8" w:color="CCEEFF"/>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17,978</w:t>
            </w:r>
          </w:p>
        </w:tc>
        <w:tc>
          <w:tcPr>
            <w:tcW w:w="200" w:type="dxa"/>
            <w:vAlign w:val="bottom"/>
            <w:tcBorders>
              <w:bottom w:val="single" w:sz="8" w:color="CCEEFF"/>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3,446</w:t>
            </w:r>
          </w:p>
        </w:tc>
        <w:tc>
          <w:tcPr>
            <w:tcW w:w="180" w:type="dxa"/>
            <w:vAlign w:val="bottom"/>
            <w:tcBorders>
              <w:bottom w:val="single" w:sz="8" w:color="CCEEFF"/>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8,577</w:t>
            </w:r>
          </w:p>
        </w:tc>
        <w:tc>
          <w:tcPr>
            <w:tcW w:w="180" w:type="dxa"/>
            <w:vAlign w:val="bottom"/>
            <w:tcBorders>
              <w:bottom w:val="single" w:sz="8" w:color="CCEEFF"/>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Borders>
              <w:bottom w:val="single" w:sz="8" w:color="CCEEFF"/>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30,001</w:t>
            </w:r>
          </w:p>
        </w:tc>
      </w:tr>
      <w:tr>
        <w:trPr>
          <w:trHeight w:val="230"/>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R&amp;D expenses</w:t>
            </w: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(8,909)</w:t>
            </w: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(191)</w:t>
            </w: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(561)</w:t>
            </w: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(9,661)</w:t>
            </w:r>
          </w:p>
        </w:tc>
      </w:tr>
      <w:tr>
        <w:trPr>
          <w:trHeight w:val="230"/>
        </w:trPr>
        <w:tc>
          <w:tcPr>
            <w:tcW w:w="4580" w:type="dxa"/>
            <w:vAlign w:val="bottom"/>
          </w:tcPr>
          <w:p>
            <w:pPr>
              <w:spacing w:after="0"/>
              <w:rPr>
                <w:sz w:val="20"/>
                <w:szCs w:val="20"/>
                <w:color w:val="auto"/>
              </w:rPr>
            </w:pPr>
            <w:r>
              <w:rPr>
                <w:rFonts w:ascii="Times New Roman" w:cs="Times New Roman" w:eastAsia="Times New Roman" w:hAnsi="Times New Roman"/>
                <w:sz w:val="20"/>
                <w:szCs w:val="20"/>
                <w:color w:val="auto"/>
              </w:rPr>
              <w:t>Selling and marketing expenses</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(20,153)</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(647)</w:t>
            </w: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(6,514)</w:t>
            </w: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(27,315)</w:t>
            </w:r>
          </w:p>
        </w:tc>
      </w:tr>
      <w:tr>
        <w:trPr>
          <w:trHeight w:val="250"/>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G&amp;A expenses</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(9,594)</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(509)</w:t>
            </w:r>
          </w:p>
        </w:tc>
        <w:tc>
          <w:tcPr>
            <w:tcW w:w="18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(2,311)</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(5,305)</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(17,720)</w:t>
            </w:r>
          </w:p>
        </w:tc>
      </w:tr>
      <w:tr>
        <w:trPr>
          <w:trHeight w:val="209"/>
        </w:trPr>
        <w:tc>
          <w:tcPr>
            <w:tcW w:w="4580" w:type="dxa"/>
            <w:vAlign w:val="bottom"/>
            <w:tcBorders>
              <w:top w:val="single" w:sz="8" w:color="CCEEFF"/>
              <w:bottom w:val="single" w:sz="8" w:color="CCEEFF"/>
            </w:tcBorders>
          </w:tcPr>
          <w:p>
            <w:pPr>
              <w:spacing w:after="0" w:line="200" w:lineRule="exact"/>
              <w:rPr>
                <w:sz w:val="20"/>
                <w:szCs w:val="20"/>
                <w:color w:val="auto"/>
              </w:rPr>
            </w:pPr>
            <w:r>
              <w:rPr>
                <w:rFonts w:ascii="Times New Roman" w:cs="Times New Roman" w:eastAsia="Times New Roman" w:hAnsi="Times New Roman"/>
                <w:sz w:val="20"/>
                <w:szCs w:val="20"/>
                <w:color w:val="auto"/>
              </w:rPr>
              <w:t>Total expenses</w:t>
            </w:r>
          </w:p>
        </w:tc>
        <w:tc>
          <w:tcPr>
            <w:tcW w:w="180" w:type="dxa"/>
            <w:vAlign w:val="bottom"/>
            <w:tcBorders>
              <w:top w:val="single" w:sz="8" w:color="CCEEFF"/>
              <w:bottom w:val="single" w:sz="8" w:color="CCEEFF"/>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(38,657)</w:t>
            </w:r>
          </w:p>
        </w:tc>
        <w:tc>
          <w:tcPr>
            <w:tcW w:w="200" w:type="dxa"/>
            <w:vAlign w:val="bottom"/>
            <w:tcBorders>
              <w:top w:val="single" w:sz="8" w:color="CCEEFF"/>
              <w:bottom w:val="single" w:sz="8" w:color="CCEEFF"/>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(1,347)</w:t>
            </w:r>
          </w:p>
        </w:tc>
        <w:tc>
          <w:tcPr>
            <w:tcW w:w="180" w:type="dxa"/>
            <w:vAlign w:val="bottom"/>
            <w:tcBorders>
              <w:top w:val="single" w:sz="8" w:color="CCEEFF"/>
              <w:bottom w:val="single" w:sz="8" w:color="CCEEFF"/>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(9,386)</w:t>
            </w:r>
          </w:p>
        </w:tc>
        <w:tc>
          <w:tcPr>
            <w:tcW w:w="180" w:type="dxa"/>
            <w:vAlign w:val="bottom"/>
            <w:tcBorders>
              <w:top w:val="single" w:sz="8" w:color="CCEEFF"/>
              <w:bottom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(5,305)</w:t>
            </w:r>
          </w:p>
        </w:tc>
        <w:tc>
          <w:tcPr>
            <w:tcW w:w="180" w:type="dxa"/>
            <w:vAlign w:val="bottom"/>
            <w:tcBorders>
              <w:top w:val="single" w:sz="8" w:color="CCEEFF"/>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(54,695)</w:t>
            </w:r>
          </w:p>
        </w:tc>
      </w:tr>
      <w:tr>
        <w:trPr>
          <w:trHeight w:val="239"/>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Operating income (loss) from operations</w:t>
            </w:r>
          </w:p>
        </w:tc>
        <w:tc>
          <w:tcPr>
            <w:tcW w:w="180" w:type="dxa"/>
            <w:vAlign w:val="bottom"/>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(20,679)</w:t>
            </w:r>
          </w:p>
        </w:tc>
        <w:tc>
          <w:tcPr>
            <w:tcW w:w="200" w:type="dxa"/>
            <w:vAlign w:val="bottom"/>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2,099</w:t>
            </w:r>
          </w:p>
        </w:tc>
        <w:tc>
          <w:tcPr>
            <w:tcW w:w="180" w:type="dxa"/>
            <w:vAlign w:val="bottom"/>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(809)</w:t>
            </w:r>
          </w:p>
        </w:tc>
        <w:tc>
          <w:tcPr>
            <w:tcW w:w="180" w:type="dxa"/>
            <w:vAlign w:val="bottom"/>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(5,305)</w:t>
            </w:r>
          </w:p>
        </w:tc>
        <w:tc>
          <w:tcPr>
            <w:tcW w:w="180" w:type="dxa"/>
            <w:vAlign w:val="bottom"/>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(24,694)</w:t>
            </w:r>
          </w:p>
        </w:tc>
      </w:tr>
      <w:tr>
        <w:trPr>
          <w:trHeight w:val="230"/>
        </w:trPr>
        <w:tc>
          <w:tcPr>
            <w:tcW w:w="4580" w:type="dxa"/>
            <w:vAlign w:val="bottom"/>
          </w:tcPr>
          <w:p>
            <w:pPr>
              <w:spacing w:after="0"/>
              <w:rPr>
                <w:sz w:val="20"/>
                <w:szCs w:val="20"/>
                <w:color w:val="auto"/>
              </w:rPr>
            </w:pPr>
            <w:r>
              <w:rPr>
                <w:rFonts w:ascii="Times New Roman" w:cs="Times New Roman" w:eastAsia="Times New Roman" w:hAnsi="Times New Roman"/>
                <w:sz w:val="20"/>
                <w:szCs w:val="20"/>
                <w:color w:val="auto"/>
              </w:rPr>
              <w:t>Total Assets</w:t>
            </w: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36,908</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8,935</w:t>
            </w: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22,701</w:t>
            </w: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10,453</w:t>
            </w: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78,997</w:t>
            </w:r>
          </w:p>
        </w:tc>
      </w:tr>
      <w:tr>
        <w:trPr>
          <w:trHeight w:val="230"/>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Net cash generated by (used in) investing activities</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5,165</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89</w:t>
            </w: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462</w:t>
            </w: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5,715</w:t>
            </w:r>
          </w:p>
        </w:tc>
      </w:tr>
      <w:tr>
        <w:trPr>
          <w:trHeight w:val="230"/>
        </w:trPr>
        <w:tc>
          <w:tcPr>
            <w:tcW w:w="4580" w:type="dxa"/>
            <w:vAlign w:val="bottom"/>
          </w:tcPr>
          <w:p>
            <w:pPr>
              <w:spacing w:after="0"/>
              <w:rPr>
                <w:sz w:val="20"/>
                <w:szCs w:val="20"/>
                <w:color w:val="auto"/>
              </w:rPr>
            </w:pPr>
            <w:r>
              <w:rPr>
                <w:rFonts w:ascii="Times New Roman" w:cs="Times New Roman" w:eastAsia="Times New Roman" w:hAnsi="Times New Roman"/>
                <w:sz w:val="20"/>
                <w:szCs w:val="20"/>
                <w:color w:val="auto"/>
              </w:rPr>
              <w:t>Non-current assets</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13,790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2,250</w:t>
            </w: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5,794</w:t>
            </w: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21,834</w:t>
            </w:r>
          </w:p>
        </w:tc>
      </w:tr>
      <w:tr>
        <w:trPr>
          <w:trHeight w:val="230"/>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Goodwill</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757</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583</w:t>
            </w: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1,493</w:t>
            </w: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2,834</w:t>
            </w:r>
          </w:p>
        </w:tc>
      </w:tr>
      <w:tr>
        <w:trPr>
          <w:trHeight w:val="414"/>
        </w:trPr>
        <w:tc>
          <w:tcPr>
            <w:tcW w:w="4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HIFU</w:t>
            </w:r>
          </w:p>
        </w:tc>
        <w:tc>
          <w:tcPr>
            <w:tcW w:w="200" w:type="dxa"/>
            <w:vAlign w:val="bottom"/>
          </w:tcPr>
          <w:p>
            <w:pPr>
              <w:spacing w:after="0"/>
              <w:rPr>
                <w:sz w:val="24"/>
                <w:szCs w:val="24"/>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ESWL</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DISTRIB</w:t>
            </w:r>
          </w:p>
        </w:tc>
        <w:tc>
          <w:tcPr>
            <w:tcW w:w="18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Reconciling</w:t>
            </w:r>
          </w:p>
        </w:tc>
        <w:tc>
          <w:tcPr>
            <w:tcW w:w="18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02"/>
        </w:trPr>
        <w:tc>
          <w:tcPr>
            <w:tcW w:w="4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2024</w:t>
            </w:r>
          </w:p>
        </w:tc>
        <w:tc>
          <w:tcPr>
            <w:tcW w:w="18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Division</w:t>
            </w:r>
          </w:p>
        </w:tc>
        <w:tc>
          <w:tcPr>
            <w:tcW w:w="20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Division</w:t>
            </w:r>
          </w:p>
        </w:tc>
        <w:tc>
          <w:tcPr>
            <w:tcW w:w="18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Division</w:t>
            </w:r>
          </w:p>
        </w:tc>
        <w:tc>
          <w:tcPr>
            <w:tcW w:w="18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Items</w:t>
            </w:r>
          </w:p>
        </w:tc>
        <w:tc>
          <w:tcPr>
            <w:tcW w:w="18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consolidated</w:t>
            </w:r>
          </w:p>
        </w:tc>
      </w:tr>
      <w:tr>
        <w:trPr>
          <w:trHeight w:val="220"/>
        </w:trPr>
        <w:tc>
          <w:tcPr>
            <w:tcW w:w="4580" w:type="dxa"/>
            <w:vAlign w:val="bottom"/>
            <w:shd w:val="clear" w:color="auto" w:fill="CCEEFF"/>
          </w:tcPr>
          <w:p>
            <w:pPr>
              <w:spacing w:after="0" w:line="220" w:lineRule="exact"/>
              <w:rPr>
                <w:sz w:val="20"/>
                <w:szCs w:val="20"/>
                <w:color w:val="auto"/>
              </w:rPr>
            </w:pPr>
            <w:r>
              <w:rPr>
                <w:rFonts w:ascii="Times New Roman" w:cs="Times New Roman" w:eastAsia="Times New Roman" w:hAnsi="Times New Roman"/>
                <w:sz w:val="20"/>
                <w:szCs w:val="20"/>
                <w:color w:val="auto"/>
              </w:rPr>
              <w:t>Sales of goods</w:t>
            </w:r>
          </w:p>
        </w:tc>
        <w:tc>
          <w:tcPr>
            <w:tcW w:w="920" w:type="dxa"/>
            <w:vAlign w:val="bottom"/>
            <w:gridSpan w:val="2"/>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16,046</w:t>
            </w:r>
          </w:p>
        </w:tc>
        <w:tc>
          <w:tcPr>
            <w:tcW w:w="940" w:type="dxa"/>
            <w:vAlign w:val="bottom"/>
            <w:gridSpan w:val="2"/>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3,768</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27,850</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1040" w:type="dxa"/>
            <w:vAlign w:val="bottom"/>
            <w:gridSpan w:val="2"/>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47,664</w:t>
            </w:r>
          </w:p>
        </w:tc>
      </w:tr>
      <w:tr>
        <w:trPr>
          <w:trHeight w:val="230"/>
        </w:trPr>
        <w:tc>
          <w:tcPr>
            <w:tcW w:w="4580" w:type="dxa"/>
            <w:vAlign w:val="bottom"/>
          </w:tcPr>
          <w:p>
            <w:pPr>
              <w:spacing w:after="0"/>
              <w:rPr>
                <w:sz w:val="20"/>
                <w:szCs w:val="20"/>
                <w:color w:val="auto"/>
              </w:rPr>
            </w:pPr>
            <w:r>
              <w:rPr>
                <w:rFonts w:ascii="Times New Roman" w:cs="Times New Roman" w:eastAsia="Times New Roman" w:hAnsi="Times New Roman"/>
                <w:sz w:val="20"/>
                <w:szCs w:val="20"/>
                <w:color w:val="auto"/>
              </w:rPr>
              <w:t>Sales of RPPs &amp; leases</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6,789</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1,118</w:t>
            </w: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329</w:t>
            </w: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8,237</w:t>
            </w:r>
          </w:p>
        </w:tc>
      </w:tr>
      <w:tr>
        <w:trPr>
          <w:trHeight w:val="230"/>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Sales of spare parts and services</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2,967</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4,836</w:t>
            </w: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5,691</w:t>
            </w: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13,495</w:t>
            </w:r>
          </w:p>
        </w:tc>
      </w:tr>
      <w:tr>
        <w:trPr>
          <w:trHeight w:val="220"/>
        </w:trPr>
        <w:tc>
          <w:tcPr>
            <w:tcW w:w="458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Total sales</w:t>
            </w:r>
          </w:p>
        </w:tc>
        <w:tc>
          <w:tcPr>
            <w:tcW w:w="180" w:type="dxa"/>
            <w:vAlign w:val="bottom"/>
          </w:tcPr>
          <w:p>
            <w:pPr>
              <w:spacing w:after="0"/>
              <w:rPr>
                <w:sz w:val="19"/>
                <w:szCs w:val="19"/>
                <w:color w:val="auto"/>
              </w:rPr>
            </w:pPr>
          </w:p>
        </w:tc>
        <w:tc>
          <w:tcPr>
            <w:tcW w:w="740" w:type="dxa"/>
            <w:vAlign w:val="bottom"/>
            <w:tcBorders>
              <w:top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25,803</w:t>
            </w:r>
          </w:p>
        </w:tc>
        <w:tc>
          <w:tcPr>
            <w:tcW w:w="200" w:type="dxa"/>
            <w:vAlign w:val="bottom"/>
          </w:tcPr>
          <w:p>
            <w:pPr>
              <w:spacing w:after="0"/>
              <w:rPr>
                <w:sz w:val="19"/>
                <w:szCs w:val="19"/>
                <w:color w:val="auto"/>
              </w:rPr>
            </w:pPr>
          </w:p>
        </w:tc>
        <w:tc>
          <w:tcPr>
            <w:tcW w:w="740" w:type="dxa"/>
            <w:vAlign w:val="bottom"/>
            <w:tcBorders>
              <w:top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9,722</w:t>
            </w:r>
          </w:p>
        </w:tc>
        <w:tc>
          <w:tcPr>
            <w:tcW w:w="180" w:type="dxa"/>
            <w:vAlign w:val="bottom"/>
          </w:tcPr>
          <w:p>
            <w:pPr>
              <w:spacing w:after="0"/>
              <w:rPr>
                <w:sz w:val="19"/>
                <w:szCs w:val="19"/>
                <w:color w:val="auto"/>
              </w:rPr>
            </w:pPr>
          </w:p>
        </w:tc>
        <w:tc>
          <w:tcPr>
            <w:tcW w:w="740" w:type="dxa"/>
            <w:vAlign w:val="bottom"/>
            <w:tcBorders>
              <w:top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33,871</w:t>
            </w:r>
          </w:p>
        </w:tc>
        <w:tc>
          <w:tcPr>
            <w:tcW w:w="180" w:type="dxa"/>
            <w:vAlign w:val="bottom"/>
          </w:tcPr>
          <w:p>
            <w:pPr>
              <w:spacing w:after="0"/>
              <w:rPr>
                <w:sz w:val="19"/>
                <w:szCs w:val="19"/>
                <w:color w:val="auto"/>
              </w:rPr>
            </w:pPr>
          </w:p>
        </w:tc>
        <w:tc>
          <w:tcPr>
            <w:tcW w:w="800" w:type="dxa"/>
            <w:vAlign w:val="bottom"/>
            <w:tcBorders>
              <w:top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19"/>
                <w:szCs w:val="19"/>
                <w:color w:val="auto"/>
              </w:rPr>
            </w:pPr>
          </w:p>
        </w:tc>
        <w:tc>
          <w:tcPr>
            <w:tcW w:w="860" w:type="dxa"/>
            <w:vAlign w:val="bottom"/>
            <w:tcBorders>
              <w:top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69,395</w:t>
            </w:r>
          </w:p>
        </w:tc>
      </w:tr>
      <w:tr>
        <w:trPr>
          <w:trHeight w:val="230"/>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External other revenues</w:t>
            </w: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29"/>
        </w:trPr>
        <w:tc>
          <w:tcPr>
            <w:tcW w:w="4580" w:type="dxa"/>
            <w:vAlign w:val="bottom"/>
            <w:tcBorders>
              <w:bottom w:val="single" w:sz="8" w:color="CCEEFF"/>
            </w:tcBorders>
          </w:tcPr>
          <w:p>
            <w:pPr>
              <w:spacing w:after="0" w:line="220" w:lineRule="exact"/>
              <w:rPr>
                <w:sz w:val="20"/>
                <w:szCs w:val="20"/>
                <w:color w:val="auto"/>
              </w:rPr>
            </w:pPr>
            <w:r>
              <w:rPr>
                <w:rFonts w:ascii="Times New Roman" w:cs="Times New Roman" w:eastAsia="Times New Roman" w:hAnsi="Times New Roman"/>
                <w:sz w:val="20"/>
                <w:szCs w:val="20"/>
                <w:color w:val="auto"/>
              </w:rPr>
              <w:t>Total revenues</w:t>
            </w:r>
          </w:p>
        </w:tc>
        <w:tc>
          <w:tcPr>
            <w:tcW w:w="180" w:type="dxa"/>
            <w:vAlign w:val="bottom"/>
            <w:tcBorders>
              <w:bottom w:val="single" w:sz="8" w:color="CCEEFF"/>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25,803</w:t>
            </w:r>
          </w:p>
        </w:tc>
        <w:tc>
          <w:tcPr>
            <w:tcW w:w="200" w:type="dxa"/>
            <w:vAlign w:val="bottom"/>
            <w:tcBorders>
              <w:bottom w:val="single" w:sz="8" w:color="CCEEFF"/>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9,722</w:t>
            </w:r>
          </w:p>
        </w:tc>
        <w:tc>
          <w:tcPr>
            <w:tcW w:w="180" w:type="dxa"/>
            <w:vAlign w:val="bottom"/>
            <w:tcBorders>
              <w:bottom w:val="single" w:sz="8" w:color="CCEEFF"/>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33,871</w:t>
            </w:r>
          </w:p>
        </w:tc>
        <w:tc>
          <w:tcPr>
            <w:tcW w:w="180" w:type="dxa"/>
            <w:vAlign w:val="bottom"/>
            <w:tcBorders>
              <w:bottom w:val="single" w:sz="8" w:color="CCEEFF"/>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180" w:type="dxa"/>
            <w:vAlign w:val="bottom"/>
            <w:tcBorders>
              <w:bottom w:val="single" w:sz="8" w:color="CCEEFF"/>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69,395</w:t>
            </w:r>
          </w:p>
        </w:tc>
      </w:tr>
      <w:tr>
        <w:trPr>
          <w:trHeight w:val="250"/>
        </w:trPr>
        <w:tc>
          <w:tcPr>
            <w:tcW w:w="4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20"/>
                <w:szCs w:val="20"/>
                <w:color w:val="auto"/>
              </w:rPr>
              <w:t>Total COS</w:t>
            </w: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(12,519)</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(5,949)</w:t>
            </w: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(22,184)</w:t>
            </w: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(40,652)</w:t>
            </w:r>
          </w:p>
        </w:tc>
      </w:tr>
      <w:tr>
        <w:trPr>
          <w:trHeight w:val="228"/>
        </w:trPr>
        <w:tc>
          <w:tcPr>
            <w:tcW w:w="4580" w:type="dxa"/>
            <w:vAlign w:val="bottom"/>
            <w:tcBorders>
              <w:bottom w:val="single" w:sz="8" w:color="CCEEFF"/>
            </w:tcBorders>
          </w:tcPr>
          <w:p>
            <w:pPr>
              <w:spacing w:after="0" w:line="219" w:lineRule="exact"/>
              <w:rPr>
                <w:sz w:val="20"/>
                <w:szCs w:val="20"/>
                <w:color w:val="auto"/>
              </w:rPr>
            </w:pPr>
            <w:r>
              <w:rPr>
                <w:rFonts w:ascii="Times New Roman" w:cs="Times New Roman" w:eastAsia="Times New Roman" w:hAnsi="Times New Roman"/>
                <w:sz w:val="20"/>
                <w:szCs w:val="20"/>
                <w:color w:val="auto"/>
              </w:rPr>
              <w:t>Gross profit</w:t>
            </w:r>
          </w:p>
        </w:tc>
        <w:tc>
          <w:tcPr>
            <w:tcW w:w="18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13,283</w:t>
            </w:r>
          </w:p>
        </w:tc>
        <w:tc>
          <w:tcPr>
            <w:tcW w:w="2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3,773</w:t>
            </w:r>
          </w:p>
        </w:tc>
        <w:tc>
          <w:tcPr>
            <w:tcW w:w="18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11,687</w:t>
            </w:r>
          </w:p>
        </w:tc>
        <w:tc>
          <w:tcPr>
            <w:tcW w:w="18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w:t>
            </w:r>
          </w:p>
        </w:tc>
        <w:tc>
          <w:tcPr>
            <w:tcW w:w="18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28,744</w:t>
            </w:r>
          </w:p>
        </w:tc>
      </w:tr>
      <w:tr>
        <w:trPr>
          <w:trHeight w:val="233"/>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R&amp;D expenses</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(7,245)</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(395)</w:t>
            </w: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(723)</w:t>
            </w: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(8,363)</w:t>
            </w:r>
          </w:p>
        </w:tc>
      </w:tr>
      <w:tr>
        <w:trPr>
          <w:trHeight w:val="228"/>
        </w:trPr>
        <w:tc>
          <w:tcPr>
            <w:tcW w:w="4580" w:type="dxa"/>
            <w:vAlign w:val="bottom"/>
          </w:tcPr>
          <w:p>
            <w:pPr>
              <w:spacing w:after="0" w:line="228" w:lineRule="exact"/>
              <w:rPr>
                <w:sz w:val="20"/>
                <w:szCs w:val="20"/>
                <w:color w:val="auto"/>
              </w:rPr>
            </w:pPr>
            <w:r>
              <w:rPr>
                <w:rFonts w:ascii="Times New Roman" w:cs="Times New Roman" w:eastAsia="Times New Roman" w:hAnsi="Times New Roman"/>
                <w:sz w:val="20"/>
                <w:szCs w:val="20"/>
                <w:color w:val="auto"/>
              </w:rPr>
              <w:t>Selling and marketing expenses</w:t>
            </w:r>
          </w:p>
        </w:tc>
        <w:tc>
          <w:tcPr>
            <w:tcW w:w="920" w:type="dxa"/>
            <w:vAlign w:val="bottom"/>
            <w:gridSpan w:val="2"/>
          </w:tcPr>
          <w:p>
            <w:pPr>
              <w:jc w:val="right"/>
              <w:spacing w:after="0" w:line="228" w:lineRule="exact"/>
              <w:rPr>
                <w:sz w:val="20"/>
                <w:szCs w:val="20"/>
                <w:color w:val="auto"/>
              </w:rPr>
            </w:pPr>
            <w:r>
              <w:rPr>
                <w:rFonts w:ascii="Times New Roman" w:cs="Times New Roman" w:eastAsia="Times New Roman" w:hAnsi="Times New Roman"/>
                <w:sz w:val="20"/>
                <w:szCs w:val="20"/>
                <w:color w:val="auto"/>
              </w:rPr>
              <w:t>(16,827)</w:t>
            </w:r>
          </w:p>
        </w:tc>
        <w:tc>
          <w:tcPr>
            <w:tcW w:w="940" w:type="dxa"/>
            <w:vAlign w:val="bottom"/>
            <w:gridSpan w:val="2"/>
          </w:tcPr>
          <w:p>
            <w:pPr>
              <w:jc w:val="right"/>
              <w:spacing w:after="0" w:line="228" w:lineRule="exact"/>
              <w:rPr>
                <w:sz w:val="20"/>
                <w:szCs w:val="20"/>
                <w:color w:val="auto"/>
              </w:rPr>
            </w:pPr>
            <w:r>
              <w:rPr>
                <w:rFonts w:ascii="Times New Roman" w:cs="Times New Roman" w:eastAsia="Times New Roman" w:hAnsi="Times New Roman"/>
                <w:sz w:val="20"/>
                <w:szCs w:val="20"/>
                <w:color w:val="auto"/>
              </w:rPr>
              <w:t>(1,412)</w:t>
            </w:r>
          </w:p>
        </w:tc>
        <w:tc>
          <w:tcPr>
            <w:tcW w:w="180" w:type="dxa"/>
            <w:vAlign w:val="bottom"/>
          </w:tcPr>
          <w:p>
            <w:pPr>
              <w:spacing w:after="0"/>
              <w:rPr>
                <w:sz w:val="19"/>
                <w:szCs w:val="19"/>
                <w:color w:val="auto"/>
              </w:rPr>
            </w:pPr>
          </w:p>
        </w:tc>
        <w:tc>
          <w:tcPr>
            <w:tcW w:w="74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auto"/>
              </w:rPr>
              <w:t>(9,124)</w:t>
            </w:r>
          </w:p>
        </w:tc>
        <w:tc>
          <w:tcPr>
            <w:tcW w:w="180" w:type="dxa"/>
            <w:vAlign w:val="bottom"/>
          </w:tcPr>
          <w:p>
            <w:pPr>
              <w:spacing w:after="0"/>
              <w:rPr>
                <w:sz w:val="19"/>
                <w:szCs w:val="19"/>
                <w:color w:val="auto"/>
              </w:rPr>
            </w:pPr>
          </w:p>
        </w:tc>
        <w:tc>
          <w:tcPr>
            <w:tcW w:w="80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auto"/>
              </w:rPr>
              <w:t>—</w:t>
            </w:r>
          </w:p>
        </w:tc>
        <w:tc>
          <w:tcPr>
            <w:tcW w:w="1040" w:type="dxa"/>
            <w:vAlign w:val="bottom"/>
            <w:gridSpan w:val="2"/>
          </w:tcPr>
          <w:p>
            <w:pPr>
              <w:jc w:val="right"/>
              <w:spacing w:after="0" w:line="228" w:lineRule="exact"/>
              <w:rPr>
                <w:sz w:val="20"/>
                <w:szCs w:val="20"/>
                <w:color w:val="auto"/>
              </w:rPr>
            </w:pPr>
            <w:r>
              <w:rPr>
                <w:rFonts w:ascii="Times New Roman" w:cs="Times New Roman" w:eastAsia="Times New Roman" w:hAnsi="Times New Roman"/>
                <w:sz w:val="20"/>
                <w:szCs w:val="20"/>
                <w:color w:val="auto"/>
              </w:rPr>
              <w:t>(27,363)</w:t>
            </w:r>
          </w:p>
        </w:tc>
      </w:tr>
      <w:tr>
        <w:trPr>
          <w:trHeight w:val="250"/>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G&amp;A expenses</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(8,109)</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(656)</w:t>
            </w:r>
          </w:p>
        </w:tc>
        <w:tc>
          <w:tcPr>
            <w:tcW w:w="18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(2,458)</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(4,020)</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(15,243)</w:t>
            </w:r>
          </w:p>
        </w:tc>
      </w:tr>
      <w:tr>
        <w:trPr>
          <w:trHeight w:val="209"/>
        </w:trPr>
        <w:tc>
          <w:tcPr>
            <w:tcW w:w="4580" w:type="dxa"/>
            <w:vAlign w:val="bottom"/>
            <w:tcBorders>
              <w:top w:val="single" w:sz="8" w:color="CCEEFF"/>
              <w:bottom w:val="single" w:sz="8" w:color="CCEEFF"/>
            </w:tcBorders>
          </w:tcPr>
          <w:p>
            <w:pPr>
              <w:spacing w:after="0" w:line="200" w:lineRule="exact"/>
              <w:rPr>
                <w:sz w:val="20"/>
                <w:szCs w:val="20"/>
                <w:color w:val="auto"/>
              </w:rPr>
            </w:pPr>
            <w:r>
              <w:rPr>
                <w:rFonts w:ascii="Times New Roman" w:cs="Times New Roman" w:eastAsia="Times New Roman" w:hAnsi="Times New Roman"/>
                <w:sz w:val="20"/>
                <w:szCs w:val="20"/>
                <w:color w:val="auto"/>
              </w:rPr>
              <w:t>Total expenses</w:t>
            </w:r>
          </w:p>
        </w:tc>
        <w:tc>
          <w:tcPr>
            <w:tcW w:w="180" w:type="dxa"/>
            <w:vAlign w:val="bottom"/>
            <w:tcBorders>
              <w:top w:val="single" w:sz="8" w:color="CCEEFF"/>
              <w:bottom w:val="single" w:sz="8" w:color="CCEEFF"/>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(32,180)</w:t>
            </w:r>
          </w:p>
        </w:tc>
        <w:tc>
          <w:tcPr>
            <w:tcW w:w="200" w:type="dxa"/>
            <w:vAlign w:val="bottom"/>
            <w:tcBorders>
              <w:top w:val="single" w:sz="8" w:color="CCEEFF"/>
              <w:bottom w:val="single" w:sz="8" w:color="CCEEFF"/>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(2,464)</w:t>
            </w:r>
          </w:p>
        </w:tc>
        <w:tc>
          <w:tcPr>
            <w:tcW w:w="180" w:type="dxa"/>
            <w:vAlign w:val="bottom"/>
            <w:tcBorders>
              <w:top w:val="single" w:sz="8" w:color="CCEEFF"/>
              <w:bottom w:val="single" w:sz="8" w:color="CCEEFF"/>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(12,305)</w:t>
            </w:r>
          </w:p>
        </w:tc>
        <w:tc>
          <w:tcPr>
            <w:tcW w:w="180" w:type="dxa"/>
            <w:vAlign w:val="bottom"/>
            <w:tcBorders>
              <w:top w:val="single" w:sz="8" w:color="CCEEFF"/>
              <w:bottom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(4,020)</w:t>
            </w:r>
          </w:p>
        </w:tc>
        <w:tc>
          <w:tcPr>
            <w:tcW w:w="180" w:type="dxa"/>
            <w:vAlign w:val="bottom"/>
            <w:tcBorders>
              <w:top w:val="single" w:sz="8" w:color="CCEEFF"/>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(50,969)</w:t>
            </w:r>
          </w:p>
        </w:tc>
      </w:tr>
      <w:tr>
        <w:trPr>
          <w:trHeight w:val="242"/>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Operating income (loss) from operations</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(18,897)</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1,310</w:t>
            </w:r>
          </w:p>
        </w:tc>
        <w:tc>
          <w:tcPr>
            <w:tcW w:w="18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(618)</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(4,020)</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(22,225)</w:t>
            </w:r>
          </w:p>
        </w:tc>
      </w:tr>
      <w:tr>
        <w:trPr>
          <w:trHeight w:val="230"/>
        </w:trPr>
        <w:tc>
          <w:tcPr>
            <w:tcW w:w="4580" w:type="dxa"/>
            <w:vAlign w:val="bottom"/>
          </w:tcPr>
          <w:p>
            <w:pPr>
              <w:spacing w:after="0"/>
              <w:rPr>
                <w:sz w:val="20"/>
                <w:szCs w:val="20"/>
                <w:color w:val="auto"/>
              </w:rPr>
            </w:pPr>
            <w:r>
              <w:rPr>
                <w:rFonts w:ascii="Times New Roman" w:cs="Times New Roman" w:eastAsia="Times New Roman" w:hAnsi="Times New Roman"/>
                <w:sz w:val="20"/>
                <w:szCs w:val="20"/>
                <w:color w:val="auto"/>
              </w:rPr>
              <w:t>Total Assets</w:t>
            </w:r>
          </w:p>
        </w:tc>
        <w:tc>
          <w:tcPr>
            <w:tcW w:w="180" w:type="dxa"/>
            <w:vAlign w:val="bottom"/>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31,118</w:t>
            </w:r>
          </w:p>
        </w:tc>
        <w:tc>
          <w:tcPr>
            <w:tcW w:w="200" w:type="dxa"/>
            <w:vAlign w:val="bottom"/>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12,074</w:t>
            </w:r>
          </w:p>
        </w:tc>
        <w:tc>
          <w:tcPr>
            <w:tcW w:w="180" w:type="dxa"/>
            <w:vAlign w:val="bottom"/>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34,043</w:t>
            </w:r>
          </w:p>
        </w:tc>
        <w:tc>
          <w:tcPr>
            <w:tcW w:w="180" w:type="dxa"/>
            <w:vAlign w:val="bottom"/>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12,171</w:t>
            </w:r>
          </w:p>
        </w:tc>
        <w:tc>
          <w:tcPr>
            <w:tcW w:w="180" w:type="dxa"/>
            <w:vAlign w:val="bottom"/>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89,407</w:t>
            </w:r>
          </w:p>
        </w:tc>
      </w:tr>
      <w:tr>
        <w:trPr>
          <w:trHeight w:val="230"/>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Net cash generated by (used in) investing activities</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3,351</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331</w:t>
            </w: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777</w:t>
            </w: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4,459</w:t>
            </w:r>
          </w:p>
        </w:tc>
      </w:tr>
      <w:tr>
        <w:trPr>
          <w:trHeight w:val="230"/>
        </w:trPr>
        <w:tc>
          <w:tcPr>
            <w:tcW w:w="4580" w:type="dxa"/>
            <w:vAlign w:val="bottom"/>
          </w:tcPr>
          <w:p>
            <w:pPr>
              <w:spacing w:after="0"/>
              <w:rPr>
                <w:sz w:val="20"/>
                <w:szCs w:val="20"/>
                <w:color w:val="auto"/>
              </w:rPr>
            </w:pPr>
            <w:r>
              <w:rPr>
                <w:rFonts w:ascii="Times New Roman" w:cs="Times New Roman" w:eastAsia="Times New Roman" w:hAnsi="Times New Roman"/>
                <w:sz w:val="20"/>
                <w:szCs w:val="20"/>
                <w:color w:val="auto"/>
              </w:rPr>
              <w:t>Non-current assets</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10,214</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1,524</w:t>
            </w: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5,078</w:t>
            </w: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16,816</w:t>
            </w:r>
          </w:p>
        </w:tc>
      </w:tr>
      <w:tr>
        <w:trPr>
          <w:trHeight w:val="228"/>
        </w:trPr>
        <w:tc>
          <w:tcPr>
            <w:tcW w:w="4580" w:type="dxa"/>
            <w:vAlign w:val="bottom"/>
            <w:shd w:val="clear" w:color="auto" w:fill="CCEEFF"/>
          </w:tcPr>
          <w:p>
            <w:pPr>
              <w:spacing w:after="0" w:line="228" w:lineRule="exact"/>
              <w:rPr>
                <w:sz w:val="20"/>
                <w:szCs w:val="20"/>
                <w:color w:val="auto"/>
              </w:rPr>
            </w:pPr>
            <w:r>
              <w:rPr>
                <w:rFonts w:ascii="Times New Roman" w:cs="Times New Roman" w:eastAsia="Times New Roman" w:hAnsi="Times New Roman"/>
                <w:sz w:val="20"/>
                <w:szCs w:val="20"/>
                <w:color w:val="auto"/>
              </w:rPr>
              <w:t>Goodwill</w:t>
            </w:r>
          </w:p>
        </w:tc>
        <w:tc>
          <w:tcPr>
            <w:tcW w:w="920" w:type="dxa"/>
            <w:vAlign w:val="bottom"/>
            <w:gridSpan w:val="2"/>
            <w:shd w:val="clear" w:color="auto" w:fill="CCEEFF"/>
          </w:tcPr>
          <w:p>
            <w:pPr>
              <w:jc w:val="right"/>
              <w:spacing w:after="0" w:line="228" w:lineRule="exact"/>
              <w:rPr>
                <w:sz w:val="20"/>
                <w:szCs w:val="20"/>
                <w:color w:val="auto"/>
              </w:rPr>
            </w:pPr>
            <w:r>
              <w:rPr>
                <w:rFonts w:ascii="Times New Roman" w:cs="Times New Roman" w:eastAsia="Times New Roman" w:hAnsi="Times New Roman"/>
                <w:sz w:val="20"/>
                <w:szCs w:val="20"/>
                <w:color w:val="auto"/>
              </w:rPr>
              <w:t>670</w:t>
            </w:r>
          </w:p>
        </w:tc>
        <w:tc>
          <w:tcPr>
            <w:tcW w:w="940" w:type="dxa"/>
            <w:vAlign w:val="bottom"/>
            <w:gridSpan w:val="2"/>
            <w:shd w:val="clear" w:color="auto" w:fill="CCEEFF"/>
          </w:tcPr>
          <w:p>
            <w:pPr>
              <w:jc w:val="right"/>
              <w:spacing w:after="0" w:line="228" w:lineRule="exact"/>
              <w:rPr>
                <w:sz w:val="20"/>
                <w:szCs w:val="20"/>
                <w:color w:val="auto"/>
              </w:rPr>
            </w:pPr>
            <w:r>
              <w:rPr>
                <w:rFonts w:ascii="Times New Roman" w:cs="Times New Roman" w:eastAsia="Times New Roman" w:hAnsi="Times New Roman"/>
                <w:sz w:val="20"/>
                <w:szCs w:val="20"/>
                <w:color w:val="auto"/>
              </w:rPr>
              <w:t>515</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line="228" w:lineRule="exact"/>
              <w:rPr>
                <w:sz w:val="20"/>
                <w:szCs w:val="20"/>
                <w:color w:val="auto"/>
              </w:rPr>
            </w:pPr>
            <w:r>
              <w:rPr>
                <w:rFonts w:ascii="Times New Roman" w:cs="Times New Roman" w:eastAsia="Times New Roman" w:hAnsi="Times New Roman"/>
                <w:sz w:val="20"/>
                <w:szCs w:val="20"/>
                <w:color w:val="auto"/>
              </w:rPr>
              <w:t>1,320</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line="228" w:lineRule="exact"/>
              <w:rPr>
                <w:sz w:val="20"/>
                <w:szCs w:val="20"/>
                <w:color w:val="auto"/>
              </w:rPr>
            </w:pPr>
            <w:r>
              <w:rPr>
                <w:rFonts w:ascii="Times New Roman" w:cs="Times New Roman" w:eastAsia="Times New Roman" w:hAnsi="Times New Roman"/>
                <w:sz w:val="20"/>
                <w:szCs w:val="20"/>
                <w:color w:val="auto"/>
              </w:rPr>
              <w:t>—</w:t>
            </w:r>
          </w:p>
        </w:tc>
        <w:tc>
          <w:tcPr>
            <w:tcW w:w="1040" w:type="dxa"/>
            <w:vAlign w:val="bottom"/>
            <w:gridSpan w:val="2"/>
            <w:shd w:val="clear" w:color="auto" w:fill="CCEEFF"/>
          </w:tcPr>
          <w:p>
            <w:pPr>
              <w:jc w:val="right"/>
              <w:spacing w:after="0" w:line="228" w:lineRule="exact"/>
              <w:rPr>
                <w:sz w:val="20"/>
                <w:szCs w:val="20"/>
                <w:color w:val="auto"/>
              </w:rPr>
            </w:pPr>
            <w:r>
              <w:rPr>
                <w:rFonts w:ascii="Times New Roman" w:cs="Times New Roman" w:eastAsia="Times New Roman" w:hAnsi="Times New Roman"/>
                <w:sz w:val="20"/>
                <w:szCs w:val="20"/>
                <w:color w:val="auto"/>
              </w:rPr>
              <w:t>2,505</w:t>
            </w:r>
          </w:p>
        </w:tc>
      </w:tr>
    </w:tbl>
    <w:p>
      <w:pPr>
        <w:spacing w:after="0" w:line="200" w:lineRule="exact"/>
        <w:rPr>
          <w:sz w:val="20"/>
          <w:szCs w:val="20"/>
          <w:color w:val="auto"/>
        </w:rPr>
      </w:pPr>
    </w:p>
    <w:p>
      <w:pPr>
        <w:sectPr>
          <w:pgSz w:w="11900" w:h="16838" w:orient="portrait"/>
          <w:cols w:equalWidth="0" w:num="1">
            <w:col w:w="9380"/>
          </w:cols>
          <w:pgMar w:left="1260" w:top="838" w:right="1266" w:bottom="723" w:gutter="0" w:footer="0" w:header="0"/>
        </w:sect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F-49</w:t>
      </w:r>
    </w:p>
    <w:p>
      <w:pPr>
        <w:sectPr>
          <w:pgSz w:w="11900" w:h="16838" w:orient="portrait"/>
          <w:cols w:equalWidth="0" w:num="1">
            <w:col w:w="9380"/>
          </w:cols>
          <w:pgMar w:left="1260" w:top="838" w:right="1266" w:bottom="723" w:gutter="0" w:footer="0" w:header="0"/>
          <w:type w:val="continuous"/>
        </w:sectPr>
      </w:pPr>
    </w:p>
    <w:bookmarkStart w:id="104" w:name="page105"/>
    <w:bookmarkEnd w:id="104"/>
    <w:p>
      <w:pPr>
        <w:ind w:left="3180"/>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795655</wp:posOffset>
            </wp:positionH>
            <wp:positionV relativeFrom="page">
              <wp:posOffset>292735</wp:posOffset>
            </wp:positionV>
            <wp:extent cx="929005" cy="1149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142">
                      <a:extLst>
                        <a:ext uri="{28A0092B-C50C-407E-A947-70E740481C1C}"/>
                      </a:extLst>
                    </a:blip>
                    <a:srcRect/>
                    <a:stretch>
                      <a:fillRect/>
                    </a:stretch>
                  </pic:blipFill>
                  <pic:spPr bwMode="auto">
                    <a:xfrm>
                      <a:off x="0" y="0"/>
                      <a:ext cx="929005" cy="114935"/>
                    </a:xfrm>
                    <a:prstGeom prst="rect">
                      <a:avLst/>
                    </a:prstGeom>
                    <a:noFill/>
                  </pic:spPr>
                </pic:pic>
              </a:graphicData>
            </a:graphic>
          </wp:anchor>
        </w:drawing>
        <w:t>EDAP TMS S.A. AND SUBSIDIARIES</w:t>
      </w:r>
    </w:p>
    <w:p>
      <w:pPr>
        <w:ind w:left="2760"/>
        <w:spacing w:after="0"/>
        <w:rPr>
          <w:sz w:val="20"/>
          <w:szCs w:val="20"/>
          <w:color w:val="auto"/>
        </w:rPr>
      </w:pPr>
      <w:r>
        <w:rPr>
          <w:rFonts w:ascii="Times New Roman" w:cs="Times New Roman" w:eastAsia="Times New Roman" w:hAnsi="Times New Roman"/>
          <w:sz w:val="20"/>
          <w:szCs w:val="20"/>
          <w:b w:val="1"/>
          <w:bCs w:val="1"/>
          <w:color w:val="auto"/>
        </w:rPr>
        <w:t>CONSOLIDATED FINANCIAL STATEMENTS</w:t>
      </w:r>
    </w:p>
    <w:p>
      <w:pPr>
        <w:ind w:left="1500"/>
        <w:spacing w:after="0"/>
        <w:rPr>
          <w:sz w:val="20"/>
          <w:szCs w:val="20"/>
          <w:color w:val="auto"/>
        </w:rPr>
      </w:pPr>
      <w:r>
        <w:rPr>
          <w:rFonts w:ascii="Times New Roman" w:cs="Times New Roman" w:eastAsia="Times New Roman" w:hAnsi="Times New Roman"/>
          <w:sz w:val="20"/>
          <w:szCs w:val="20"/>
          <w:b w:val="1"/>
          <w:bCs w:val="1"/>
          <w:color w:val="auto"/>
        </w:rPr>
        <w:t>(In thousands of U.S. dollars unless otherwise noted, except per share data)</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sz w:val="1"/>
          <w:szCs w:val="1"/>
          <w:color w:val="auto"/>
        </w:rPr>
        <w:drawing>
          <wp:inline distT="0" distB="0" distL="0" distR="0">
            <wp:extent cx="260350" cy="95885"/>
            <wp:effectExtent l="0" t="0" r="0" b="0"/>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143">
                      <a:extLst>
                        <a:ext uri="{28A0092B-C50C-407E-A947-70E740481C1C}"/>
                      </a:extLst>
                    </a:blip>
                    <a:srcRect/>
                    <a:stretch>
                      <a:fillRect/>
                    </a:stretch>
                  </pic:blipFill>
                  <pic:spPr bwMode="auto">
                    <a:xfrm>
                      <a:off x="0" y="0"/>
                      <a:ext cx="260350" cy="95885"/>
                    </a:xfrm>
                    <a:prstGeom prst="rect">
                      <a:avLst/>
                    </a:prstGeom>
                    <a:noFill/>
                    <a:ln>
                      <a:noFill/>
                    </a:ln>
                  </pic:spPr>
                </pic:pic>
              </a:graphicData>
            </a:graphic>
          </wp:inline>
        </w:drawing>
      </w:r>
      <w:r>
        <w:rPr>
          <w:rFonts w:ascii="Times New Roman" w:cs="Times New Roman" w:eastAsia="Times New Roman" w:hAnsi="Times New Roman"/>
          <w:sz w:val="20"/>
          <w:szCs w:val="20"/>
          <w:b w:val="1"/>
          <w:bCs w:val="1"/>
          <w:color w:val="auto"/>
        </w:rPr>
        <w:t xml:space="preserve"> VALUATION ACCOUNTS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6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Allowance</w:t>
            </w:r>
          </w:p>
        </w:tc>
        <w:tc>
          <w:tcPr>
            <w:tcW w:w="160" w:type="dxa"/>
            <w:vAlign w:val="bottom"/>
          </w:tcPr>
          <w:p>
            <w:pPr>
              <w:spacing w:after="0"/>
              <w:rPr>
                <w:sz w:val="16"/>
                <w:szCs w:val="16"/>
                <w:color w:val="auto"/>
              </w:rPr>
            </w:pP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Allowance</w:t>
            </w: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5"/>
        </w:trPr>
        <w:tc>
          <w:tcPr>
            <w:tcW w:w="566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for deferred</w:t>
            </w:r>
          </w:p>
        </w:tc>
        <w:tc>
          <w:tcPr>
            <w:tcW w:w="160" w:type="dxa"/>
            <w:vAlign w:val="bottom"/>
          </w:tcPr>
          <w:p>
            <w:pPr>
              <w:spacing w:after="0"/>
              <w:rPr>
                <w:sz w:val="16"/>
                <w:szCs w:val="16"/>
                <w:color w:val="auto"/>
              </w:rPr>
            </w:pP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for doubtful</w:t>
            </w:r>
          </w:p>
        </w:tc>
        <w:tc>
          <w:tcPr>
            <w:tcW w:w="1220" w:type="dxa"/>
            <w:vAlign w:val="bottom"/>
            <w:gridSpan w:val="5"/>
          </w:tcPr>
          <w:p>
            <w:pPr>
              <w:ind w:left="160"/>
              <w:spacing w:after="0"/>
              <w:rPr>
                <w:sz w:val="20"/>
                <w:szCs w:val="20"/>
                <w:color w:val="auto"/>
              </w:rPr>
            </w:pPr>
            <w:r>
              <w:rPr>
                <w:rFonts w:ascii="Times New Roman" w:cs="Times New Roman" w:eastAsia="Times New Roman" w:hAnsi="Times New Roman"/>
                <w:sz w:val="16"/>
                <w:szCs w:val="16"/>
                <w:b w:val="1"/>
                <w:bCs w:val="1"/>
                <w:color w:val="auto"/>
              </w:rPr>
              <w:t>Slow-moving</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6"/>
              </w:rPr>
              <w:t>Warranty</w:t>
            </w:r>
          </w:p>
        </w:tc>
      </w:tr>
      <w:tr>
        <w:trPr>
          <w:trHeight w:val="205"/>
        </w:trPr>
        <w:tc>
          <w:tcPr>
            <w:tcW w:w="566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tax assets</w:t>
            </w:r>
          </w:p>
        </w:tc>
        <w:tc>
          <w:tcPr>
            <w:tcW w:w="16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accounts</w:t>
            </w:r>
          </w:p>
        </w:tc>
        <w:tc>
          <w:tcPr>
            <w:tcW w:w="16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inventory</w:t>
            </w:r>
          </w:p>
        </w:tc>
        <w:tc>
          <w:tcPr>
            <w:tcW w:w="160" w:type="dxa"/>
            <w:vAlign w:val="bottom"/>
            <w:tcBorders>
              <w:bottom w:val="single" w:sz="8" w:color="CCEEFF"/>
            </w:tcBorders>
          </w:tcPr>
          <w:p>
            <w:pPr>
              <w:spacing w:after="0"/>
              <w:rPr>
                <w:sz w:val="17"/>
                <w:szCs w:val="17"/>
                <w:color w:val="auto"/>
              </w:rPr>
            </w:pPr>
          </w:p>
        </w:tc>
        <w:tc>
          <w:tcPr>
            <w:tcW w:w="68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6"/>
                <w:szCs w:val="16"/>
                <w:b w:val="1"/>
                <w:bCs w:val="1"/>
                <w:color w:val="auto"/>
              </w:rPr>
              <w:t>reserve</w:t>
            </w:r>
          </w:p>
        </w:tc>
      </w:tr>
      <w:tr>
        <w:trPr>
          <w:trHeight w:val="229"/>
        </w:trPr>
        <w:tc>
          <w:tcPr>
            <w:tcW w:w="5660" w:type="dxa"/>
            <w:vAlign w:val="bottom"/>
            <w:shd w:val="clear" w:color="auto" w:fill="CCEEFF"/>
          </w:tcPr>
          <w:p>
            <w:pPr>
              <w:spacing w:after="0" w:line="220" w:lineRule="exact"/>
              <w:rPr>
                <w:sz w:val="20"/>
                <w:szCs w:val="20"/>
                <w:color w:val="auto"/>
              </w:rPr>
            </w:pPr>
            <w:r>
              <w:rPr>
                <w:rFonts w:ascii="Times New Roman" w:cs="Times New Roman" w:eastAsia="Times New Roman" w:hAnsi="Times New Roman"/>
                <w:sz w:val="20"/>
                <w:szCs w:val="20"/>
                <w:color w:val="auto"/>
              </w:rPr>
              <w:t>Balance as of December 31, 2023</w:t>
            </w:r>
          </w:p>
        </w:tc>
        <w:tc>
          <w:tcPr>
            <w:tcW w:w="840" w:type="dxa"/>
            <w:vAlign w:val="bottom"/>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19,602</w:t>
            </w:r>
          </w:p>
        </w:tc>
        <w:tc>
          <w:tcPr>
            <w:tcW w:w="980" w:type="dxa"/>
            <w:vAlign w:val="bottom"/>
            <w:gridSpan w:val="3"/>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248</w:t>
            </w:r>
          </w:p>
        </w:tc>
        <w:tc>
          <w:tcPr>
            <w:tcW w:w="1000" w:type="dxa"/>
            <w:vAlign w:val="bottom"/>
            <w:gridSpan w:val="3"/>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1,395</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190</w:t>
            </w:r>
          </w:p>
        </w:tc>
      </w:tr>
      <w:tr>
        <w:trPr>
          <w:trHeight w:val="233"/>
        </w:trPr>
        <w:tc>
          <w:tcPr>
            <w:tcW w:w="5660" w:type="dxa"/>
            <w:vAlign w:val="bottom"/>
          </w:tcPr>
          <w:p>
            <w:pPr>
              <w:spacing w:after="0"/>
              <w:rPr>
                <w:sz w:val="20"/>
                <w:szCs w:val="20"/>
                <w:color w:val="auto"/>
              </w:rPr>
            </w:pPr>
            <w:r>
              <w:rPr>
                <w:rFonts w:ascii="Times New Roman" w:cs="Times New Roman" w:eastAsia="Times New Roman" w:hAnsi="Times New Roman"/>
                <w:sz w:val="20"/>
                <w:szCs w:val="20"/>
                <w:color w:val="auto"/>
              </w:rPr>
              <w:t>Charges to costs and expenses</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4,274</w:t>
            </w:r>
          </w:p>
        </w:tc>
        <w:tc>
          <w:tcPr>
            <w:tcW w:w="160" w:type="dxa"/>
            <w:vAlign w:val="bottom"/>
          </w:tcPr>
          <w:p>
            <w:pPr>
              <w:spacing w:after="0"/>
              <w:rPr>
                <w:sz w:val="20"/>
                <w:szCs w:val="20"/>
                <w:color w:val="auto"/>
              </w:rPr>
            </w:pPr>
          </w:p>
        </w:tc>
        <w:tc>
          <w:tcPr>
            <w:tcW w:w="8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152</w:t>
            </w:r>
          </w:p>
        </w:tc>
        <w:tc>
          <w:tcPr>
            <w:tcW w:w="160" w:type="dxa"/>
            <w:vAlign w:val="bottom"/>
          </w:tcPr>
          <w:p>
            <w:pPr>
              <w:spacing w:after="0"/>
              <w:rPr>
                <w:sz w:val="20"/>
                <w:szCs w:val="20"/>
                <w:color w:val="auto"/>
              </w:rPr>
            </w:pPr>
          </w:p>
        </w:tc>
        <w:tc>
          <w:tcPr>
            <w:tcW w:w="8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841</w:t>
            </w:r>
          </w:p>
        </w:tc>
        <w:tc>
          <w:tcPr>
            <w:tcW w:w="6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54</w:t>
            </w:r>
          </w:p>
        </w:tc>
      </w:tr>
      <w:tr>
        <w:trPr>
          <w:trHeight w:val="230"/>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Deductions: write-off and others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(26)</w:t>
            </w: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10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(18)</w:t>
            </w: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(102)</w:t>
            </w:r>
          </w:p>
        </w:tc>
      </w:tr>
      <w:tr>
        <w:trPr>
          <w:trHeight w:val="239"/>
        </w:trPr>
        <w:tc>
          <w:tcPr>
            <w:tcW w:w="5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20"/>
                <w:szCs w:val="20"/>
                <w:color w:val="auto"/>
              </w:rPr>
              <w:t>Exchange rate impact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(1,173)</w:t>
            </w:r>
          </w:p>
        </w:tc>
        <w:tc>
          <w:tcPr>
            <w:tcW w:w="160" w:type="dxa"/>
            <w:vAlign w:val="bottom"/>
            <w:tcBorders>
              <w:bottom w:val="single" w:sz="8" w:color="CCEEFF"/>
            </w:tcBorders>
          </w:tcPr>
          <w:p>
            <w:pPr>
              <w:spacing w:after="0"/>
              <w:rPr>
                <w:sz w:val="20"/>
                <w:szCs w:val="20"/>
                <w:color w:val="auto"/>
              </w:rPr>
            </w:pPr>
          </w:p>
        </w:tc>
        <w:tc>
          <w:tcPr>
            <w:tcW w:w="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(15)</w:t>
            </w:r>
          </w:p>
        </w:tc>
        <w:tc>
          <w:tcPr>
            <w:tcW w:w="16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20"/>
                <w:szCs w:val="20"/>
                <w:color w:val="auto"/>
              </w:rPr>
              <w:t>(83)</w:t>
            </w:r>
          </w:p>
        </w:tc>
        <w:tc>
          <w:tcPr>
            <w:tcW w:w="160" w:type="dxa"/>
            <w:vAlign w:val="bottom"/>
            <w:tcBorders>
              <w:bottom w:val="single" w:sz="8" w:color="CCEEFF"/>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w:t>
            </w:r>
          </w:p>
        </w:tc>
      </w:tr>
      <w:tr>
        <w:trPr>
          <w:trHeight w:val="233"/>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Balance as of December 31, 2024</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22,677</w:t>
            </w: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387</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2,134</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131</w:t>
            </w:r>
          </w:p>
        </w:tc>
      </w:tr>
      <w:tr>
        <w:trPr>
          <w:trHeight w:val="230"/>
        </w:trPr>
        <w:tc>
          <w:tcPr>
            <w:tcW w:w="5660" w:type="dxa"/>
            <w:vAlign w:val="bottom"/>
          </w:tcPr>
          <w:p>
            <w:pPr>
              <w:spacing w:after="0"/>
              <w:rPr>
                <w:sz w:val="20"/>
                <w:szCs w:val="20"/>
                <w:color w:val="auto"/>
              </w:rPr>
            </w:pPr>
            <w:r>
              <w:rPr>
                <w:rFonts w:ascii="Times New Roman" w:cs="Times New Roman" w:eastAsia="Times New Roman" w:hAnsi="Times New Roman"/>
                <w:sz w:val="20"/>
                <w:szCs w:val="20"/>
                <w:color w:val="auto"/>
              </w:rPr>
              <w:t>Charges to costs and expenses</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4,746</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212</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243</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190</w:t>
            </w:r>
          </w:p>
        </w:tc>
      </w:tr>
      <w:tr>
        <w:trPr>
          <w:trHeight w:val="230"/>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Deductions: write-off and others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192</w:t>
            </w: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(140)</w:t>
            </w:r>
          </w:p>
        </w:tc>
        <w:tc>
          <w:tcPr>
            <w:tcW w:w="10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(1,172)</w:t>
            </w: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(139)</w:t>
            </w:r>
          </w:p>
        </w:tc>
      </w:tr>
      <w:tr>
        <w:trPr>
          <w:trHeight w:val="242"/>
        </w:trPr>
        <w:tc>
          <w:tcPr>
            <w:tcW w:w="5660" w:type="dxa"/>
            <w:vAlign w:val="bottom"/>
          </w:tcPr>
          <w:p>
            <w:pPr>
              <w:spacing w:after="0"/>
              <w:rPr>
                <w:sz w:val="20"/>
                <w:szCs w:val="20"/>
                <w:color w:val="auto"/>
              </w:rPr>
            </w:pPr>
            <w:r>
              <w:rPr>
                <w:rFonts w:ascii="Times New Roman" w:cs="Times New Roman" w:eastAsia="Times New Roman" w:hAnsi="Times New Roman"/>
                <w:sz w:val="20"/>
                <w:szCs w:val="20"/>
                <w:color w:val="auto"/>
              </w:rPr>
              <w:t>Exchange rate impact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2,971</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51</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280</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w:t>
            </w:r>
          </w:p>
        </w:tc>
      </w:tr>
      <w:tr>
        <w:trPr>
          <w:trHeight w:val="230"/>
        </w:trPr>
        <w:tc>
          <w:tcPr>
            <w:tcW w:w="5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20"/>
                <w:szCs w:val="20"/>
                <w:color w:val="auto"/>
              </w:rPr>
              <w:t>Balance as of December 31, 2025</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30,585</w:t>
            </w:r>
          </w:p>
        </w:tc>
        <w:tc>
          <w:tcPr>
            <w:tcW w:w="160" w:type="dxa"/>
            <w:vAlign w:val="bottom"/>
            <w:tcBorders>
              <w:top w:val="single" w:sz="8" w:color="CCEEFF"/>
            </w:tcBorders>
            <w:shd w:val="clear" w:color="auto" w:fill="CCEEFF"/>
          </w:tcPr>
          <w:p>
            <w:pPr>
              <w:spacing w:after="0"/>
              <w:rPr>
                <w:sz w:val="20"/>
                <w:szCs w:val="20"/>
                <w:color w:val="auto"/>
              </w:rPr>
            </w:pPr>
          </w:p>
        </w:tc>
        <w:tc>
          <w:tcPr>
            <w:tcW w:w="8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510</w:t>
            </w:r>
          </w:p>
        </w:tc>
        <w:tc>
          <w:tcPr>
            <w:tcW w:w="160" w:type="dxa"/>
            <w:vAlign w:val="bottom"/>
            <w:tcBorders>
              <w:top w:val="single" w:sz="8" w:color="CCEEFF"/>
            </w:tcBorders>
            <w:shd w:val="clear" w:color="auto" w:fill="CCEEFF"/>
          </w:tcPr>
          <w:p>
            <w:pPr>
              <w:spacing w:after="0"/>
              <w:rPr>
                <w:sz w:val="20"/>
                <w:szCs w:val="20"/>
                <w:color w:val="auto"/>
              </w:rPr>
            </w:pPr>
          </w:p>
        </w:tc>
        <w:tc>
          <w:tcPr>
            <w:tcW w:w="8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1,484</w:t>
            </w:r>
          </w:p>
        </w:tc>
        <w:tc>
          <w:tcPr>
            <w:tcW w:w="60" w:type="dxa"/>
            <w:vAlign w:val="bottom"/>
            <w:tcBorders>
              <w:top w:val="single" w:sz="8" w:color="auto"/>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198</w:t>
            </w:r>
          </w:p>
        </w:tc>
      </w:tr>
      <w:tr>
        <w:trPr>
          <w:trHeight w:val="506"/>
        </w:trPr>
        <w:tc>
          <w:tcPr>
            <w:tcW w:w="7480" w:type="dxa"/>
            <w:vAlign w:val="bottom"/>
            <w:gridSpan w:val="5"/>
          </w:tcPr>
          <w:p>
            <w:pPr>
              <w:ind w:left="460"/>
              <w:spacing w:after="0"/>
              <w:rPr>
                <w:sz w:val="20"/>
                <w:szCs w:val="20"/>
                <w:color w:val="auto"/>
              </w:rPr>
            </w:pPr>
            <w:r>
              <w:rPr>
                <w:rFonts w:ascii="Times New Roman" w:cs="Times New Roman" w:eastAsia="Times New Roman" w:hAnsi="Times New Roman"/>
                <w:sz w:val="20"/>
                <w:szCs w:val="20"/>
                <w:b w:val="1"/>
                <w:bCs w:val="1"/>
                <w:color w:val="auto"/>
              </w:rPr>
              <w:t>SUPPLEMENTAL DISCLOSURES OF CASH FLOW INFORMATION</w:t>
            </w: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426"/>
        </w:trPr>
        <w:tc>
          <w:tcPr>
            <w:tcW w:w="566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Interest and income taxes paid are as follows:</w:t>
            </w: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57"/>
        </w:trPr>
        <w:tc>
          <w:tcPr>
            <w:tcW w:w="56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40" w:type="dxa"/>
            <w:vAlign w:val="bottom"/>
            <w:tcBorders>
              <w:bottom w:val="single" w:sz="8" w:color="auto"/>
            </w:tcBorders>
            <w:gridSpan w:val="7"/>
          </w:tcPr>
          <w:p>
            <w:pPr>
              <w:jc w:val="right"/>
              <w:ind w:right="45"/>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174"/>
        </w:trPr>
        <w:tc>
          <w:tcPr>
            <w:tcW w:w="5660" w:type="dxa"/>
            <w:vAlign w:val="bottom"/>
            <w:tcBorders>
              <w:bottom w:val="single" w:sz="8" w:color="CCEEFF"/>
            </w:tcBorders>
          </w:tcPr>
          <w:p>
            <w:pPr>
              <w:spacing w:after="0"/>
              <w:rPr>
                <w:sz w:val="15"/>
                <w:szCs w:val="15"/>
                <w:color w:val="auto"/>
              </w:rPr>
            </w:pPr>
          </w:p>
        </w:tc>
        <w:tc>
          <w:tcPr>
            <w:tcW w:w="84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6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2"/>
          </w:tcPr>
          <w:p>
            <w:pPr>
              <w:jc w:val="right"/>
              <w:ind w:right="185"/>
              <w:spacing w:after="0" w:line="175" w:lineRule="exact"/>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85"/>
              <w:spacing w:after="0" w:line="175" w:lineRule="exact"/>
              <w:rPr>
                <w:sz w:val="20"/>
                <w:szCs w:val="20"/>
                <w:color w:val="auto"/>
              </w:rPr>
            </w:pPr>
            <w:r>
              <w:rPr>
                <w:rFonts w:ascii="Times New Roman" w:cs="Times New Roman" w:eastAsia="Times New Roman" w:hAnsi="Times New Roman"/>
                <w:sz w:val="16"/>
                <w:szCs w:val="16"/>
                <w:b w:val="1"/>
                <w:bCs w:val="1"/>
                <w:color w:val="auto"/>
              </w:rPr>
              <w:t>2024</w:t>
            </w:r>
          </w:p>
        </w:tc>
      </w:tr>
      <w:tr>
        <w:trPr>
          <w:trHeight w:val="222"/>
        </w:trPr>
        <w:tc>
          <w:tcPr>
            <w:tcW w:w="5660" w:type="dxa"/>
            <w:vAlign w:val="bottom"/>
            <w:shd w:val="clear" w:color="auto" w:fill="CCEEFF"/>
          </w:tcPr>
          <w:p>
            <w:pPr>
              <w:spacing w:after="0" w:line="223" w:lineRule="exact"/>
              <w:rPr>
                <w:sz w:val="20"/>
                <w:szCs w:val="20"/>
                <w:color w:val="auto"/>
              </w:rPr>
            </w:pPr>
            <w:r>
              <w:rPr>
                <w:rFonts w:ascii="Times New Roman" w:cs="Times New Roman" w:eastAsia="Times New Roman" w:hAnsi="Times New Roman"/>
                <w:sz w:val="20"/>
                <w:szCs w:val="20"/>
                <w:color w:val="auto"/>
              </w:rPr>
              <w:t>Income taxes paid (refunds received)</w:t>
            </w:r>
          </w:p>
        </w:tc>
        <w:tc>
          <w:tcPr>
            <w:tcW w:w="8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366</w:t>
            </w:r>
          </w:p>
        </w:tc>
        <w:tc>
          <w:tcPr>
            <w:tcW w:w="2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408</w:t>
            </w:r>
          </w:p>
        </w:tc>
      </w:tr>
      <w:tr>
        <w:trPr>
          <w:trHeight w:val="230"/>
        </w:trPr>
        <w:tc>
          <w:tcPr>
            <w:tcW w:w="5660" w:type="dxa"/>
            <w:vAlign w:val="bottom"/>
          </w:tcPr>
          <w:p>
            <w:pPr>
              <w:spacing w:after="0"/>
              <w:rPr>
                <w:sz w:val="20"/>
                <w:szCs w:val="20"/>
                <w:color w:val="auto"/>
              </w:rPr>
            </w:pPr>
            <w:r>
              <w:rPr>
                <w:rFonts w:ascii="Times New Roman" w:cs="Times New Roman" w:eastAsia="Times New Roman" w:hAnsi="Times New Roman"/>
                <w:sz w:val="20"/>
                <w:szCs w:val="20"/>
                <w:color w:val="auto"/>
              </w:rPr>
              <w:t>Interest paid</w:t>
            </w: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562</w:t>
            </w: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300</w:t>
            </w:r>
          </w:p>
        </w:tc>
      </w:tr>
      <w:tr>
        <w:trPr>
          <w:trHeight w:val="230"/>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Interest received</w:t>
            </w:r>
          </w:p>
        </w:tc>
        <w:tc>
          <w:tcPr>
            <w:tcW w:w="8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250</w:t>
            </w:r>
          </w:p>
        </w:tc>
        <w:tc>
          <w:tcPr>
            <w:tcW w:w="2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862</w:t>
            </w:r>
          </w:p>
        </w:tc>
      </w:tr>
      <w:tr>
        <w:trPr>
          <w:trHeight w:val="478"/>
        </w:trPr>
        <w:tc>
          <w:tcPr>
            <w:tcW w:w="566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Non-cash transactions:</w:t>
            </w: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57"/>
        </w:trPr>
        <w:tc>
          <w:tcPr>
            <w:tcW w:w="56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40" w:type="dxa"/>
            <w:vAlign w:val="bottom"/>
            <w:tcBorders>
              <w:bottom w:val="single" w:sz="8" w:color="auto"/>
            </w:tcBorders>
            <w:gridSpan w:val="7"/>
          </w:tcPr>
          <w:p>
            <w:pPr>
              <w:jc w:val="right"/>
              <w:ind w:right="45"/>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20"/>
        </w:trPr>
        <w:tc>
          <w:tcPr>
            <w:tcW w:w="566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2"/>
          </w:tcPr>
          <w:p>
            <w:pPr>
              <w:jc w:val="right"/>
              <w:ind w:right="185"/>
              <w:spacing w:after="0"/>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85"/>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2"/>
        </w:trPr>
        <w:tc>
          <w:tcPr>
            <w:tcW w:w="5660" w:type="dxa"/>
            <w:vAlign w:val="bottom"/>
            <w:shd w:val="clear" w:color="auto" w:fill="CCEEFF"/>
          </w:tcPr>
          <w:p>
            <w:pPr>
              <w:spacing w:after="0" w:line="223" w:lineRule="exact"/>
              <w:rPr>
                <w:sz w:val="20"/>
                <w:szCs w:val="20"/>
                <w:color w:val="auto"/>
              </w:rPr>
            </w:pPr>
            <w:r>
              <w:rPr>
                <w:rFonts w:ascii="Times New Roman" w:cs="Times New Roman" w:eastAsia="Times New Roman" w:hAnsi="Times New Roman"/>
                <w:sz w:val="20"/>
                <w:szCs w:val="20"/>
                <w:color w:val="auto"/>
              </w:rPr>
              <w:t>Financing lease obligations incurred</w:t>
            </w:r>
          </w:p>
        </w:tc>
        <w:tc>
          <w:tcPr>
            <w:tcW w:w="8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164</w:t>
            </w:r>
          </w:p>
        </w:tc>
        <w:tc>
          <w:tcPr>
            <w:tcW w:w="2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151</w:t>
            </w:r>
          </w:p>
        </w:tc>
      </w:tr>
      <w:tr>
        <w:trPr>
          <w:trHeight w:val="265"/>
        </w:trPr>
        <w:tc>
          <w:tcPr>
            <w:tcW w:w="5660" w:type="dxa"/>
            <w:vAlign w:val="bottom"/>
          </w:tcPr>
          <w:p>
            <w:pPr>
              <w:spacing w:after="0"/>
              <w:rPr>
                <w:sz w:val="20"/>
                <w:szCs w:val="20"/>
                <w:color w:val="auto"/>
              </w:rPr>
            </w:pPr>
            <w:r>
              <w:rPr>
                <w:rFonts w:ascii="Times New Roman" w:cs="Times New Roman" w:eastAsia="Times New Roman" w:hAnsi="Times New Roman"/>
                <w:sz w:val="20"/>
                <w:szCs w:val="20"/>
                <w:color w:val="auto"/>
              </w:rPr>
              <w:t>Operating lease obligations incurred</w:t>
            </w:r>
          </w:p>
        </w:tc>
        <w:tc>
          <w:tcPr>
            <w:tcW w:w="8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1,386</w:t>
            </w: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2,072</w:t>
            </w:r>
          </w:p>
        </w:tc>
      </w:tr>
      <w:tr>
        <w:trPr>
          <w:trHeight w:val="443"/>
        </w:trPr>
        <w:tc>
          <w:tcPr>
            <w:tcW w:w="6500" w:type="dxa"/>
            <w:vAlign w:val="bottom"/>
            <w:gridSpan w:val="2"/>
          </w:tcPr>
          <w:p>
            <w:pPr>
              <w:ind w:left="720"/>
              <w:spacing w:after="0"/>
              <w:rPr>
                <w:sz w:val="20"/>
                <w:szCs w:val="20"/>
                <w:color w:val="auto"/>
              </w:rPr>
            </w:pPr>
            <w:r>
              <w:rPr>
                <w:rFonts w:ascii="Times New Roman" w:cs="Times New Roman" w:eastAsia="Times New Roman" w:hAnsi="Times New Roman"/>
                <w:sz w:val="20"/>
                <w:szCs w:val="20"/>
                <w:color w:val="auto"/>
              </w:rPr>
              <w:t>Cash paid for amounts included in the measurement of lease liabilities:</w:t>
            </w: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502"/>
        </w:trPr>
        <w:tc>
          <w:tcPr>
            <w:tcW w:w="5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40" w:type="dxa"/>
            <w:vAlign w:val="bottom"/>
            <w:tcBorders>
              <w:bottom w:val="single" w:sz="8" w:color="auto"/>
            </w:tcBorders>
            <w:gridSpan w:val="7"/>
          </w:tcPr>
          <w:p>
            <w:pPr>
              <w:jc w:val="right"/>
              <w:ind w:right="45"/>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174"/>
        </w:trPr>
        <w:tc>
          <w:tcPr>
            <w:tcW w:w="5660" w:type="dxa"/>
            <w:vAlign w:val="bottom"/>
            <w:tcBorders>
              <w:bottom w:val="single" w:sz="8" w:color="CCEEFF"/>
            </w:tcBorders>
          </w:tcPr>
          <w:p>
            <w:pPr>
              <w:spacing w:after="0"/>
              <w:rPr>
                <w:sz w:val="15"/>
                <w:szCs w:val="15"/>
                <w:color w:val="auto"/>
              </w:rPr>
            </w:pPr>
          </w:p>
        </w:tc>
        <w:tc>
          <w:tcPr>
            <w:tcW w:w="84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6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2"/>
          </w:tcPr>
          <w:p>
            <w:pPr>
              <w:jc w:val="right"/>
              <w:ind w:right="185"/>
              <w:spacing w:after="0" w:line="175" w:lineRule="exact"/>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85"/>
              <w:spacing w:after="0" w:line="175" w:lineRule="exact"/>
              <w:rPr>
                <w:sz w:val="20"/>
                <w:szCs w:val="20"/>
                <w:color w:val="auto"/>
              </w:rPr>
            </w:pPr>
            <w:r>
              <w:rPr>
                <w:rFonts w:ascii="Times New Roman" w:cs="Times New Roman" w:eastAsia="Times New Roman" w:hAnsi="Times New Roman"/>
                <w:sz w:val="16"/>
                <w:szCs w:val="16"/>
                <w:b w:val="1"/>
                <w:bCs w:val="1"/>
                <w:color w:val="auto"/>
              </w:rPr>
              <w:t>2024</w:t>
            </w:r>
          </w:p>
        </w:tc>
      </w:tr>
      <w:tr>
        <w:trPr>
          <w:trHeight w:val="222"/>
        </w:trPr>
        <w:tc>
          <w:tcPr>
            <w:tcW w:w="5660" w:type="dxa"/>
            <w:vAlign w:val="bottom"/>
            <w:shd w:val="clear" w:color="auto" w:fill="CCEEFF"/>
          </w:tcPr>
          <w:p>
            <w:pPr>
              <w:spacing w:after="0" w:line="223" w:lineRule="exact"/>
              <w:rPr>
                <w:sz w:val="20"/>
                <w:szCs w:val="20"/>
                <w:color w:val="auto"/>
              </w:rPr>
            </w:pPr>
            <w:r>
              <w:rPr>
                <w:rFonts w:ascii="Times New Roman" w:cs="Times New Roman" w:eastAsia="Times New Roman" w:hAnsi="Times New Roman"/>
                <w:sz w:val="20"/>
                <w:szCs w:val="20"/>
                <w:color w:val="auto"/>
              </w:rPr>
              <w:t>Operating cash flow used in operating leases</w:t>
            </w:r>
          </w:p>
        </w:tc>
        <w:tc>
          <w:tcPr>
            <w:tcW w:w="8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1,247</w:t>
            </w:r>
          </w:p>
        </w:tc>
        <w:tc>
          <w:tcPr>
            <w:tcW w:w="2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1,162</w:t>
            </w:r>
          </w:p>
        </w:tc>
      </w:tr>
      <w:tr>
        <w:trPr>
          <w:trHeight w:val="230"/>
        </w:trPr>
        <w:tc>
          <w:tcPr>
            <w:tcW w:w="5660" w:type="dxa"/>
            <w:vAlign w:val="bottom"/>
          </w:tcPr>
          <w:p>
            <w:pPr>
              <w:spacing w:after="0"/>
              <w:rPr>
                <w:sz w:val="20"/>
                <w:szCs w:val="20"/>
                <w:color w:val="auto"/>
              </w:rPr>
            </w:pPr>
            <w:r>
              <w:rPr>
                <w:rFonts w:ascii="Times New Roman" w:cs="Times New Roman" w:eastAsia="Times New Roman" w:hAnsi="Times New Roman"/>
                <w:sz w:val="20"/>
                <w:szCs w:val="20"/>
                <w:color w:val="auto"/>
              </w:rPr>
              <w:t>Operating cash flow used in finance leases</w:t>
            </w: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17</w:t>
            </w: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w:t>
            </w:r>
          </w:p>
        </w:tc>
      </w:tr>
      <w:tr>
        <w:trPr>
          <w:trHeight w:val="230"/>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Financing cash flow used in finance leases</w:t>
            </w:r>
          </w:p>
        </w:tc>
        <w:tc>
          <w:tcPr>
            <w:tcW w:w="8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205</w:t>
            </w:r>
          </w:p>
        </w:tc>
        <w:tc>
          <w:tcPr>
            <w:tcW w:w="2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-3244215</wp:posOffset>
            </wp:positionV>
            <wp:extent cx="260350" cy="9588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144">
                      <a:extLst>
                        <a:ext uri="{28A0092B-C50C-407E-A947-70E740481C1C}"/>
                      </a:extLst>
                    </a:blip>
                    <a:srcRect/>
                    <a:stretch>
                      <a:fillRect/>
                    </a:stretch>
                  </pic:blipFill>
                  <pic:spPr bwMode="auto">
                    <a:xfrm>
                      <a:off x="0" y="0"/>
                      <a:ext cx="260350" cy="95885"/>
                    </a:xfrm>
                    <a:prstGeom prst="rect">
                      <a:avLst/>
                    </a:prstGeom>
                    <a:noFill/>
                  </pic:spPr>
                </pic:pic>
              </a:graphicData>
            </a:graphic>
          </wp:anchor>
        </w:drawing>
      </w:r>
    </w:p>
    <w:p>
      <w:pPr>
        <w:sectPr>
          <w:pgSz w:w="11900" w:h="16838" w:orient="portrait"/>
          <w:cols w:equalWidth="0" w:num="1">
            <w:col w:w="9380"/>
          </w:cols>
          <w:pgMar w:left="1260" w:top="838" w:right="1266" w:bottom="72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F-50</w:t>
      </w:r>
    </w:p>
    <w:p>
      <w:pPr>
        <w:sectPr>
          <w:pgSz w:w="11900" w:h="16838" w:orient="portrait"/>
          <w:cols w:equalWidth="0" w:num="1">
            <w:col w:w="9380"/>
          </w:cols>
          <w:pgMar w:left="1260" w:top="838" w:right="1266" w:bottom="723" w:gutter="0" w:footer="0" w:header="0"/>
          <w:type w:val="continuous"/>
        </w:sectPr>
      </w:pPr>
    </w:p>
    <w:bookmarkStart w:id="105" w:name="page106"/>
    <w:bookmarkEnd w:id="105"/>
    <w:p>
      <w:pPr>
        <w:ind w:left="3180"/>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795655</wp:posOffset>
            </wp:positionH>
            <wp:positionV relativeFrom="page">
              <wp:posOffset>292735</wp:posOffset>
            </wp:positionV>
            <wp:extent cx="929005" cy="1149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145">
                      <a:extLst>
                        <a:ext uri="{28A0092B-C50C-407E-A947-70E740481C1C}"/>
                      </a:extLst>
                    </a:blip>
                    <a:srcRect/>
                    <a:stretch>
                      <a:fillRect/>
                    </a:stretch>
                  </pic:blipFill>
                  <pic:spPr bwMode="auto">
                    <a:xfrm>
                      <a:off x="0" y="0"/>
                      <a:ext cx="929005" cy="114935"/>
                    </a:xfrm>
                    <a:prstGeom prst="rect">
                      <a:avLst/>
                    </a:prstGeom>
                    <a:noFill/>
                  </pic:spPr>
                </pic:pic>
              </a:graphicData>
            </a:graphic>
          </wp:anchor>
        </w:drawing>
        <w:t>EDAP TMS S.A. AND SUBSIDIARIES</w:t>
      </w:r>
    </w:p>
    <w:p>
      <w:pPr>
        <w:ind w:left="2760"/>
        <w:spacing w:after="0"/>
        <w:rPr>
          <w:sz w:val="20"/>
          <w:szCs w:val="20"/>
          <w:color w:val="auto"/>
        </w:rPr>
      </w:pPr>
      <w:r>
        <w:rPr>
          <w:rFonts w:ascii="Times New Roman" w:cs="Times New Roman" w:eastAsia="Times New Roman" w:hAnsi="Times New Roman"/>
          <w:sz w:val="20"/>
          <w:szCs w:val="20"/>
          <w:b w:val="1"/>
          <w:bCs w:val="1"/>
          <w:color w:val="auto"/>
        </w:rPr>
        <w:t>CONSOLIDATED FINANCIAL STATEMENTS</w:t>
      </w:r>
    </w:p>
    <w:p>
      <w:pPr>
        <w:ind w:left="1500"/>
        <w:spacing w:after="0"/>
        <w:rPr>
          <w:sz w:val="20"/>
          <w:szCs w:val="20"/>
          <w:color w:val="auto"/>
        </w:rPr>
      </w:pPr>
      <w:r>
        <w:rPr>
          <w:rFonts w:ascii="Times New Roman" w:cs="Times New Roman" w:eastAsia="Times New Roman" w:hAnsi="Times New Roman"/>
          <w:sz w:val="20"/>
          <w:szCs w:val="20"/>
          <w:b w:val="1"/>
          <w:bCs w:val="1"/>
          <w:color w:val="auto"/>
        </w:rPr>
        <w:t>(In thousands of U.S. dollars unless otherwise noted, except per share data)</w:t>
      </w: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sz w:val="1"/>
          <w:szCs w:val="1"/>
          <w:color w:val="auto"/>
        </w:rPr>
        <w:drawing>
          <wp:inline distT="0" distB="0" distL="0" distR="0">
            <wp:extent cx="260350" cy="95885"/>
            <wp:effectExtent l="0" t="0" r="0" b="0"/>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146">
                      <a:extLst>
                        <a:ext uri="{28A0092B-C50C-407E-A947-70E740481C1C}"/>
                      </a:extLst>
                    </a:blip>
                    <a:srcRect/>
                    <a:stretch>
                      <a:fillRect/>
                    </a:stretch>
                  </pic:blipFill>
                  <pic:spPr bwMode="auto">
                    <a:xfrm>
                      <a:off x="0" y="0"/>
                      <a:ext cx="260350" cy="95885"/>
                    </a:xfrm>
                    <a:prstGeom prst="rect">
                      <a:avLst/>
                    </a:prstGeom>
                    <a:noFill/>
                    <a:ln>
                      <a:noFill/>
                    </a:ln>
                  </pic:spPr>
                </pic:pic>
              </a:graphicData>
            </a:graphic>
          </wp:inline>
        </w:drawing>
      </w:r>
      <w:r>
        <w:rPr>
          <w:rFonts w:ascii="Times New Roman" w:cs="Times New Roman" w:eastAsia="Times New Roman" w:hAnsi="Times New Roman"/>
          <w:sz w:val="20"/>
          <w:szCs w:val="20"/>
          <w:b w:val="1"/>
          <w:bCs w:val="1"/>
          <w:color w:val="auto"/>
        </w:rPr>
        <w:t xml:space="preserve"> RELATED PARTY TRANSACTIONS</w:t>
      </w:r>
    </w:p>
    <w:p>
      <w:pPr>
        <w:spacing w:after="0" w:line="203" w:lineRule="exact"/>
        <w:rPr>
          <w:sz w:val="20"/>
          <w:szCs w:val="20"/>
          <w:color w:val="auto"/>
        </w:rPr>
      </w:pPr>
    </w:p>
    <w:p>
      <w:pPr>
        <w:jc w:val="both"/>
        <w:ind w:firstLine="721"/>
        <w:spacing w:after="0" w:line="249" w:lineRule="auto"/>
        <w:rPr>
          <w:sz w:val="20"/>
          <w:szCs w:val="20"/>
          <w:color w:val="auto"/>
        </w:rPr>
      </w:pPr>
      <w:r>
        <w:rPr>
          <w:rFonts w:ascii="Times New Roman" w:cs="Times New Roman" w:eastAsia="Times New Roman" w:hAnsi="Times New Roman"/>
          <w:sz w:val="20"/>
          <w:szCs w:val="20"/>
          <w:color w:val="auto"/>
        </w:rPr>
        <w:t>On August 19, 2019, EDAP Technomed Co. Ltd. (Japan) contracted a loan amounting to JPY 80,000,000. As a current practice in Japan, this loan required a personal warranty from the representative director, President and CEO of the subsidiary Mr. Jean-François Bachelard. EDAP TMS S.A., as the parent company, counter- warranted this personal loan and agreed to indemnify Mr. Bachelard, in an indemnification letter dated September 12, 2019 expiring upon loan maturity date of August 26, 2026.</w:t>
      </w:r>
    </w:p>
    <w:p>
      <w:pPr>
        <w:spacing w:after="0" w:line="156" w:lineRule="exact"/>
        <w:rPr>
          <w:sz w:val="20"/>
          <w:szCs w:val="20"/>
          <w:color w:val="auto"/>
        </w:rPr>
      </w:pPr>
    </w:p>
    <w:p>
      <w:pPr>
        <w:jc w:val="both"/>
        <w:ind w:firstLine="720"/>
        <w:spacing w:after="0" w:line="271" w:lineRule="auto"/>
        <w:rPr>
          <w:sz w:val="20"/>
          <w:szCs w:val="20"/>
          <w:color w:val="auto"/>
        </w:rPr>
      </w:pPr>
      <w:r>
        <w:rPr>
          <w:rFonts w:ascii="Times New Roman" w:cs="Times New Roman" w:eastAsia="Times New Roman" w:hAnsi="Times New Roman"/>
          <w:sz w:val="19"/>
          <w:szCs w:val="19"/>
          <w:color w:val="auto"/>
        </w:rPr>
        <w:t>On April 22, 2020, EDAP Technomed Co. Ltd (Japan) contracted another loan amounting to JPY 50,000,000 requiring a personal warranty from the representative director, president and CEO of the subsidiary Mr. Jean-François Bachelard. EDAP TMS S.A., as the parent company, counter- warranted this personal loan and agreed to indemnify Mr. Bachelard, in an indemnification letter dated June 2, 2020, expiring upon loan maturity date of April 2, 2025.</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33— SUBSEQUENT EVENTS</w:t>
      </w:r>
    </w:p>
    <w:p>
      <w:pPr>
        <w:spacing w:after="0" w:line="20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Refer to note 16.3 for bank waivers obtained after year-end.</w:t>
      </w:r>
    </w:p>
    <w:p>
      <w:pPr>
        <w:sectPr>
          <w:pgSz w:w="11900" w:h="16838" w:orient="portrait"/>
          <w:cols w:equalWidth="0" w:num="1">
            <w:col w:w="9380"/>
          </w:cols>
          <w:pgMar w:left="1260" w:top="838" w:right="1266" w:bottom="72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F-51</w:t>
      </w:r>
    </w:p>
    <w:p>
      <w:pPr>
        <w:sectPr>
          <w:pgSz w:w="11900" w:h="16838" w:orient="portrait"/>
          <w:cols w:equalWidth="0" w:num="1">
            <w:col w:w="9380"/>
          </w:cols>
          <w:pgMar w:left="1260" w:top="838" w:right="1266" w:bottom="723" w:gutter="0" w:footer="0" w:header="0"/>
          <w:type w:val="continuous"/>
        </w:sectPr>
      </w:pPr>
    </w:p>
    <w:bookmarkStart w:id="106" w:name="page107"/>
    <w:bookmarkEnd w:id="106"/>
    <w:p>
      <w:pPr>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795655</wp:posOffset>
            </wp:positionH>
            <wp:positionV relativeFrom="page">
              <wp:posOffset>292735</wp:posOffset>
            </wp:positionV>
            <wp:extent cx="929005" cy="1149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147">
                      <a:extLst>
                        <a:ext uri="{28A0092B-C50C-407E-A947-70E740481C1C}"/>
                      </a:extLst>
                    </a:blip>
                    <a:srcRect/>
                    <a:stretch>
                      <a:fillRect/>
                    </a:stretch>
                  </pic:blipFill>
                  <pic:spPr bwMode="auto">
                    <a:xfrm>
                      <a:off x="0" y="0"/>
                      <a:ext cx="929005" cy="114935"/>
                    </a:xfrm>
                    <a:prstGeom prst="rect">
                      <a:avLst/>
                    </a:prstGeom>
                    <a:noFill/>
                  </pic:spPr>
                </pic:pic>
              </a:graphicData>
            </a:graphic>
          </wp:anchor>
        </w:drawing>
        <w:t>Item 9. Changes in and Disagreements With Accountants on Accounting and Financial Disclosure.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9A. Controls and Procedures.</w:t>
      </w:r>
    </w:p>
    <w:p>
      <w:pPr>
        <w:spacing w:after="0" w:line="203" w:lineRule="exact"/>
        <w:rPr>
          <w:sz w:val="20"/>
          <w:szCs w:val="20"/>
          <w:color w:val="auto"/>
        </w:rPr>
      </w:pPr>
    </w:p>
    <w:p>
      <w:pPr>
        <w:ind w:right="240"/>
        <w:spacing w:after="0" w:line="259" w:lineRule="auto"/>
        <w:rPr>
          <w:sz w:val="20"/>
          <w:szCs w:val="20"/>
          <w:color w:val="auto"/>
        </w:rPr>
      </w:pPr>
      <w:r>
        <w:rPr>
          <w:rFonts w:ascii="Times New Roman" w:cs="Times New Roman" w:eastAsia="Times New Roman" w:hAnsi="Times New Roman"/>
          <w:sz w:val="20"/>
          <w:szCs w:val="20"/>
          <w:color w:val="auto"/>
        </w:rPr>
        <w:t>The Company’s management, with the participation of the Chief Executive Officer and Chief Financial Officer, conducted an evaluation, pursuant to Rule 13a-15(e) promulgated under the Exchange Act, of the effectiveness of the Company’s disclosure controls and procedures as of December 31, 2025.</w:t>
      </w:r>
    </w:p>
    <w:p>
      <w:pPr>
        <w:spacing w:after="0" w:line="146" w:lineRule="exact"/>
        <w:rPr>
          <w:sz w:val="20"/>
          <w:szCs w:val="20"/>
          <w:color w:val="auto"/>
        </w:rPr>
      </w:pPr>
    </w:p>
    <w:p>
      <w:pPr>
        <w:ind w:right="340"/>
        <w:spacing w:after="0" w:line="279" w:lineRule="auto"/>
        <w:rPr>
          <w:sz w:val="20"/>
          <w:szCs w:val="20"/>
          <w:color w:val="auto"/>
        </w:rPr>
      </w:pPr>
      <w:r>
        <w:rPr>
          <w:rFonts w:ascii="Times New Roman" w:cs="Times New Roman" w:eastAsia="Times New Roman" w:hAnsi="Times New Roman"/>
          <w:sz w:val="20"/>
          <w:szCs w:val="20"/>
          <w:color w:val="auto"/>
        </w:rPr>
        <w:t>Based on this evaluation, the Chief Executive Officer and Chief Financial Officer concluded that the Company’s disclosure controls and procedures were effective as of December 31, 2025.</w:t>
      </w:r>
    </w:p>
    <w:p>
      <w:pPr>
        <w:spacing w:after="0" w:line="125"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0"/>
          <w:szCs w:val="20"/>
          <w:color w:val="auto"/>
        </w:rPr>
        <w:t>Disclosure controls and procedures means controls and other procedures that are designed to ensure that information required to be disclosed by the Company in the reports that the Company files or submits under the Exchange Act is recorded, processed, summarized and reported, within the time periods specified in the SEC’s rules and forms, and that such information required to be disclosed by the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disclosures. The Company’s disclosure controls and procedures are designed to provide reasonable, not absolute, assurance that the objectives of its disclosure control system are met. Because of inherent limitations in all control systems, no evaluation of controls can provide absolute assurance that all control issues, if any, within a company have been detected.</w:t>
      </w:r>
    </w:p>
    <w:p>
      <w:pPr>
        <w:spacing w:after="0" w:line="16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auto"/>
        </w:rPr>
        <w:t>As described below, the Company previously identified material weaknesses in internal control over financial reporting as of December 31, 2024. During 2025, management implemented remediation actions designed to address these material weaknesses and strengthen the Company’s internal control environment.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Management’s Annual Report on Internal Control Over Financial Reporting</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Management is responsible for establishing and maintaining adequate internal control over financial reporting.</w:t>
      </w:r>
    </w:p>
    <w:p>
      <w:pPr>
        <w:spacing w:after="0" w:line="200"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20"/>
          <w:szCs w:val="20"/>
          <w:color w:val="auto"/>
        </w:rPr>
        <w:t>Management is responsible for establishing and maintaining adequate internal control over financial reporting (as defined in Rules 13a 15(f) and 15d 15(f) under the Exchange Act) and for the assessment of the effectiveness of our internal control over financial reporting. Internal control over financial reporting is a process designed to provide reasonable assurance regarding the reliability of financial reporting and the preparation of financial statements for external purposes in accordance with generally accepted accounting principles.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Company’s internal controls over financial reporting include those policies and procedures that:</w:t>
      </w:r>
    </w:p>
    <w:p>
      <w:pPr>
        <w:spacing w:after="0" w:line="214" w:lineRule="exact"/>
        <w:rPr>
          <w:sz w:val="20"/>
          <w:szCs w:val="20"/>
          <w:color w:val="auto"/>
        </w:rPr>
      </w:pPr>
    </w:p>
    <w:p>
      <w:pPr>
        <w:ind w:left="720" w:right="140" w:hanging="353"/>
        <w:spacing w:after="0" w:line="278" w:lineRule="auto"/>
        <w:tabs>
          <w:tab w:leader="none" w:pos="720" w:val="left"/>
        </w:tabs>
        <w:numPr>
          <w:ilvl w:val="0"/>
          <w:numId w:val="59"/>
        </w:numPr>
        <w:rPr>
          <w:rFonts w:ascii="Arial" w:cs="Arial" w:eastAsia="Arial" w:hAnsi="Arial"/>
          <w:sz w:val="20"/>
          <w:szCs w:val="20"/>
          <w:color w:val="auto"/>
        </w:rPr>
      </w:pPr>
      <w:r>
        <w:rPr>
          <w:rFonts w:ascii="Times New Roman" w:cs="Times New Roman" w:eastAsia="Times New Roman" w:hAnsi="Times New Roman"/>
          <w:sz w:val="20"/>
          <w:szCs w:val="20"/>
          <w:color w:val="auto"/>
        </w:rPr>
        <w:t>Pertain to the maintenance of records that in reasonable detail accurately and fairly reflect the transactions and dispositions of the assets of the Company;</w:t>
      </w:r>
    </w:p>
    <w:p>
      <w:pPr>
        <w:spacing w:after="0" w:line="140" w:lineRule="exact"/>
        <w:rPr>
          <w:rFonts w:ascii="Arial" w:cs="Arial" w:eastAsia="Arial" w:hAnsi="Arial"/>
          <w:sz w:val="20"/>
          <w:szCs w:val="20"/>
          <w:color w:val="auto"/>
        </w:rPr>
      </w:pPr>
    </w:p>
    <w:p>
      <w:pPr>
        <w:jc w:val="both"/>
        <w:ind w:left="720" w:right="20" w:hanging="353"/>
        <w:spacing w:after="0" w:line="253" w:lineRule="auto"/>
        <w:tabs>
          <w:tab w:leader="none" w:pos="720" w:val="left"/>
        </w:tabs>
        <w:numPr>
          <w:ilvl w:val="0"/>
          <w:numId w:val="59"/>
        </w:numPr>
        <w:rPr>
          <w:rFonts w:ascii="Arial" w:cs="Arial" w:eastAsia="Arial" w:hAnsi="Arial"/>
          <w:sz w:val="20"/>
          <w:szCs w:val="20"/>
          <w:color w:val="auto"/>
        </w:rPr>
      </w:pPr>
      <w:r>
        <w:rPr>
          <w:rFonts w:ascii="Times New Roman" w:cs="Times New Roman" w:eastAsia="Times New Roman" w:hAnsi="Times New Roman"/>
          <w:sz w:val="20"/>
          <w:szCs w:val="20"/>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the Company’s management and directors; and</w:t>
      </w:r>
    </w:p>
    <w:p>
      <w:pPr>
        <w:spacing w:after="0" w:line="164" w:lineRule="exact"/>
        <w:rPr>
          <w:rFonts w:ascii="Arial" w:cs="Arial" w:eastAsia="Arial" w:hAnsi="Arial"/>
          <w:sz w:val="20"/>
          <w:szCs w:val="20"/>
          <w:color w:val="auto"/>
        </w:rPr>
      </w:pPr>
    </w:p>
    <w:p>
      <w:pPr>
        <w:ind w:left="720" w:right="180" w:hanging="353"/>
        <w:spacing w:after="0" w:line="278" w:lineRule="auto"/>
        <w:tabs>
          <w:tab w:leader="none" w:pos="720" w:val="left"/>
        </w:tabs>
        <w:numPr>
          <w:ilvl w:val="0"/>
          <w:numId w:val="59"/>
        </w:numPr>
        <w:rPr>
          <w:rFonts w:ascii="Arial" w:cs="Arial" w:eastAsia="Arial" w:hAnsi="Arial"/>
          <w:sz w:val="20"/>
          <w:szCs w:val="20"/>
          <w:color w:val="auto"/>
        </w:rPr>
      </w:pPr>
      <w:r>
        <w:rPr>
          <w:rFonts w:ascii="Times New Roman" w:cs="Times New Roman" w:eastAsia="Times New Roman" w:hAnsi="Times New Roman"/>
          <w:sz w:val="20"/>
          <w:szCs w:val="20"/>
          <w:color w:val="auto"/>
        </w:rPr>
        <w:t>Provide reasonable assurance regarding prevention or timely detection of unauthorized acquisition, use or disposition of the Company’s assets that could have a material effect on the financial statements.</w:t>
      </w:r>
    </w:p>
    <w:p>
      <w:pPr>
        <w:spacing w:after="0" w:line="126"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20"/>
          <w:szCs w:val="20"/>
          <w:color w:val="auto"/>
        </w:rPr>
        <w:t>Because of inherent limitations, internal controls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51" w:lineRule="exact"/>
        <w:rPr>
          <w:sz w:val="20"/>
          <w:szCs w:val="20"/>
          <w:color w:val="auto"/>
        </w:rPr>
      </w:pPr>
    </w:p>
    <w:p>
      <w:pPr>
        <w:ind w:right="1060"/>
        <w:spacing w:after="0" w:line="279" w:lineRule="auto"/>
        <w:rPr>
          <w:sz w:val="20"/>
          <w:szCs w:val="20"/>
          <w:color w:val="auto"/>
        </w:rPr>
      </w:pPr>
      <w:r>
        <w:rPr>
          <w:rFonts w:ascii="Times New Roman" w:cs="Times New Roman" w:eastAsia="Times New Roman" w:hAnsi="Times New Roman"/>
          <w:sz w:val="20"/>
          <w:szCs w:val="20"/>
          <w:color w:val="auto"/>
        </w:rPr>
        <w:t>Management assessed the effectiveness of the Company’s internal control over financial reporting as of December 31, 2025 based on the COSO 2013 Internal Control Framework.</w:t>
      </w:r>
    </w:p>
    <w:p>
      <w:pPr>
        <w:spacing w:after="0" w:line="125" w:lineRule="exact"/>
        <w:rPr>
          <w:sz w:val="20"/>
          <w:szCs w:val="20"/>
          <w:color w:val="auto"/>
        </w:rPr>
      </w:pPr>
    </w:p>
    <w:p>
      <w:pPr>
        <w:ind w:right="140"/>
        <w:spacing w:after="0" w:line="279" w:lineRule="auto"/>
        <w:rPr>
          <w:sz w:val="20"/>
          <w:szCs w:val="20"/>
          <w:color w:val="auto"/>
        </w:rPr>
      </w:pPr>
      <w:r>
        <w:rPr>
          <w:rFonts w:ascii="Times New Roman" w:cs="Times New Roman" w:eastAsia="Times New Roman" w:hAnsi="Times New Roman"/>
          <w:sz w:val="20"/>
          <w:szCs w:val="20"/>
          <w:color w:val="auto"/>
        </w:rPr>
        <w:t>Based on this assessment, management concluded that the Company’s internal control over financial reporting was effective as of December 31, 2025.</w:t>
      </w:r>
    </w:p>
    <w:p>
      <w:pPr>
        <w:sectPr>
          <w:pgSz w:w="11900" w:h="16838" w:orient="portrait"/>
          <w:cols w:equalWidth="0" w:num="1">
            <w:col w:w="9360"/>
          </w:cols>
          <w:pgMar w:left="1260" w:top="1243" w:right="1286" w:bottom="723"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53</w:t>
      </w:r>
    </w:p>
    <w:p>
      <w:pPr>
        <w:sectPr>
          <w:pgSz w:w="11900" w:h="16838" w:orient="portrait"/>
          <w:cols w:equalWidth="0" w:num="1">
            <w:col w:w="9360"/>
          </w:cols>
          <w:pgMar w:left="1260" w:top="1243" w:right="1286" w:bottom="723" w:gutter="0" w:footer="0" w:header="0"/>
          <w:type w:val="continuous"/>
        </w:sectPr>
      </w:pPr>
    </w:p>
    <w:bookmarkStart w:id="107" w:name="page108"/>
    <w:bookmarkEnd w:id="107"/>
    <w:p>
      <w:pPr>
        <w:ind w:right="20"/>
        <w:spacing w:after="0" w:line="279"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795655</wp:posOffset>
            </wp:positionH>
            <wp:positionV relativeFrom="page">
              <wp:posOffset>292735</wp:posOffset>
            </wp:positionV>
            <wp:extent cx="929005" cy="1149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148">
                      <a:extLst>
                        <a:ext uri="{28A0092B-C50C-407E-A947-70E740481C1C}"/>
                      </a:extLst>
                    </a:blip>
                    <a:srcRect/>
                    <a:stretch>
                      <a:fillRect/>
                    </a:stretch>
                  </pic:blipFill>
                  <pic:spPr bwMode="auto">
                    <a:xfrm>
                      <a:off x="0" y="0"/>
                      <a:ext cx="929005" cy="114935"/>
                    </a:xfrm>
                    <a:prstGeom prst="rect">
                      <a:avLst/>
                    </a:prstGeom>
                    <a:noFill/>
                  </pic:spPr>
                </pic:pic>
              </a:graphicData>
            </a:graphic>
          </wp:anchor>
        </w:drawing>
        <w:t>As described below, material weaknesses were previously identified as of December 31, 2024 within the Company’s U.S. subsidiary, EDAP Technomed Inc.</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Previously Identified Material Weaknesses</w:t>
      </w:r>
    </w:p>
    <w:p>
      <w:pPr>
        <w:spacing w:after="0" w:line="203" w:lineRule="exact"/>
        <w:rPr>
          <w:sz w:val="20"/>
          <w:szCs w:val="20"/>
          <w:color w:val="auto"/>
        </w:rPr>
      </w:pPr>
    </w:p>
    <w:p>
      <w:pPr>
        <w:ind w:right="60"/>
        <w:spacing w:after="0" w:line="279" w:lineRule="auto"/>
        <w:rPr>
          <w:sz w:val="20"/>
          <w:szCs w:val="20"/>
          <w:color w:val="auto"/>
        </w:rPr>
      </w:pPr>
      <w:r>
        <w:rPr>
          <w:rFonts w:ascii="Times New Roman" w:cs="Times New Roman" w:eastAsia="Times New Roman" w:hAnsi="Times New Roman"/>
          <w:sz w:val="20"/>
          <w:szCs w:val="20"/>
          <w:color w:val="auto"/>
        </w:rPr>
        <w:t>As previously disclosed, management identified two material weaknesses in internal control over financial reporting within the Company’s U.S. subsidiary, EDAP Technomed Inc., as of December 31, 2024, related to:</w:t>
      </w:r>
    </w:p>
    <w:p>
      <w:pPr>
        <w:spacing w:after="0" w:line="140" w:lineRule="exact"/>
        <w:rPr>
          <w:sz w:val="20"/>
          <w:szCs w:val="20"/>
          <w:color w:val="auto"/>
        </w:rPr>
      </w:pPr>
    </w:p>
    <w:p>
      <w:pPr>
        <w:ind w:left="720" w:right="120" w:hanging="353"/>
        <w:spacing w:after="0" w:line="246" w:lineRule="auto"/>
        <w:tabs>
          <w:tab w:leader="none" w:pos="720" w:val="left"/>
        </w:tabs>
        <w:numPr>
          <w:ilvl w:val="0"/>
          <w:numId w:val="60"/>
        </w:numPr>
        <w:rPr>
          <w:rFonts w:ascii="Arial" w:cs="Arial" w:eastAsia="Arial" w:hAnsi="Arial"/>
          <w:sz w:val="20"/>
          <w:szCs w:val="20"/>
          <w:color w:val="auto"/>
        </w:rPr>
      </w:pPr>
      <w:r>
        <w:rPr>
          <w:rFonts w:ascii="Times New Roman" w:cs="Times New Roman" w:eastAsia="Times New Roman" w:hAnsi="Times New Roman"/>
          <w:sz w:val="20"/>
          <w:szCs w:val="20"/>
          <w:color w:val="auto"/>
        </w:rPr>
        <w:t>Ineffective design and implementation of certain controls within the accounts payable process, specifically related to the recording and review of third-party vendor invoices.</w:t>
      </w:r>
    </w:p>
    <w:p>
      <w:pPr>
        <w:ind w:left="720" w:right="100" w:hanging="353"/>
        <w:spacing w:after="0" w:line="259" w:lineRule="auto"/>
        <w:tabs>
          <w:tab w:leader="none" w:pos="720" w:val="left"/>
        </w:tabs>
        <w:numPr>
          <w:ilvl w:val="0"/>
          <w:numId w:val="60"/>
        </w:numPr>
        <w:rPr>
          <w:rFonts w:ascii="Arial" w:cs="Arial" w:eastAsia="Arial" w:hAnsi="Arial"/>
          <w:sz w:val="20"/>
          <w:szCs w:val="20"/>
          <w:color w:val="auto"/>
        </w:rPr>
      </w:pPr>
      <w:r>
        <w:rPr>
          <w:rFonts w:ascii="Times New Roman" w:cs="Times New Roman" w:eastAsia="Times New Roman" w:hAnsi="Times New Roman"/>
          <w:sz w:val="20"/>
          <w:szCs w:val="20"/>
          <w:color w:val="auto"/>
        </w:rPr>
        <w:t>Limitations in the subsidiary’s information technology systems, including system configuration limitations that did not sufficiently ensure data integrity, enforce segregation of duties, or prevent unauthorized or erroneous changes to accounting entries.</w:t>
      </w:r>
    </w:p>
    <w:p>
      <w:pPr>
        <w:spacing w:after="0" w:line="145"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20"/>
          <w:szCs w:val="20"/>
          <w:color w:val="auto"/>
        </w:rPr>
        <w:t>As a result of these deficiencies, management concluded that the Company’s internal control over financial reporting was not effective as of December 31, 2024.</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Remediation of the Material Weaknesses</w:t>
      </w:r>
    </w:p>
    <w:p>
      <w:pPr>
        <w:spacing w:after="0" w:line="203" w:lineRule="exact"/>
        <w:rPr>
          <w:sz w:val="20"/>
          <w:szCs w:val="20"/>
          <w:color w:val="auto"/>
        </w:rPr>
      </w:pPr>
    </w:p>
    <w:p>
      <w:pPr>
        <w:ind w:right="540"/>
        <w:spacing w:after="0" w:line="279" w:lineRule="auto"/>
        <w:rPr>
          <w:sz w:val="20"/>
          <w:szCs w:val="20"/>
          <w:color w:val="auto"/>
        </w:rPr>
      </w:pPr>
      <w:r>
        <w:rPr>
          <w:rFonts w:ascii="Times New Roman" w:cs="Times New Roman" w:eastAsia="Times New Roman" w:hAnsi="Times New Roman"/>
          <w:sz w:val="20"/>
          <w:szCs w:val="20"/>
          <w:color w:val="auto"/>
        </w:rPr>
        <w:t>During 2025, in continuation with the actions initiated in 2024, management implemented remediation actions designed to address the previously identified material weaknesses, including:</w:t>
      </w:r>
    </w:p>
    <w:p>
      <w:pPr>
        <w:spacing w:after="0" w:line="140" w:lineRule="exact"/>
        <w:rPr>
          <w:sz w:val="20"/>
          <w:szCs w:val="20"/>
          <w:color w:val="auto"/>
        </w:rPr>
      </w:pPr>
    </w:p>
    <w:p>
      <w:pPr>
        <w:ind w:left="720" w:hanging="353"/>
        <w:spacing w:after="0" w:line="243" w:lineRule="auto"/>
        <w:tabs>
          <w:tab w:leader="none" w:pos="720" w:val="left"/>
        </w:tabs>
        <w:numPr>
          <w:ilvl w:val="0"/>
          <w:numId w:val="61"/>
        </w:numPr>
        <w:rPr>
          <w:rFonts w:ascii="Arial" w:cs="Arial" w:eastAsia="Arial" w:hAnsi="Arial"/>
          <w:sz w:val="20"/>
          <w:szCs w:val="20"/>
          <w:color w:val="auto"/>
        </w:rPr>
      </w:pPr>
      <w:r>
        <w:rPr>
          <w:rFonts w:ascii="Times New Roman" w:cs="Times New Roman" w:eastAsia="Times New Roman" w:hAnsi="Times New Roman"/>
          <w:sz w:val="20"/>
          <w:szCs w:val="20"/>
          <w:color w:val="auto"/>
        </w:rPr>
        <w:t>Hiring additional accounting and IT personnel with internal control experience, including (i) a Vice President of Information Technology with over 20 years of experience in information technology leadership and expertise spanning enterprise systems, cybersecurity controls, data analytics, and IT infrastructure development and (ii) a U.S. Controller with over 25 years of experience in finance and accounting with expertise spanning internal control design, SOX compliance and technical accounting,</w:t>
      </w:r>
    </w:p>
    <w:p>
      <w:pPr>
        <w:spacing w:after="0" w:line="1" w:lineRule="exact"/>
        <w:rPr>
          <w:rFonts w:ascii="Arial" w:cs="Arial" w:eastAsia="Arial" w:hAnsi="Arial"/>
          <w:sz w:val="20"/>
          <w:szCs w:val="20"/>
          <w:color w:val="auto"/>
        </w:rPr>
      </w:pPr>
    </w:p>
    <w:p>
      <w:pPr>
        <w:ind w:left="720" w:hanging="353"/>
        <w:spacing w:after="0"/>
        <w:tabs>
          <w:tab w:leader="none" w:pos="720" w:val="left"/>
        </w:tabs>
        <w:numPr>
          <w:ilvl w:val="0"/>
          <w:numId w:val="61"/>
        </w:numPr>
        <w:rPr>
          <w:rFonts w:ascii="Arial" w:cs="Arial" w:eastAsia="Arial" w:hAnsi="Arial"/>
          <w:sz w:val="20"/>
          <w:szCs w:val="20"/>
          <w:color w:val="auto"/>
        </w:rPr>
      </w:pPr>
      <w:r>
        <w:rPr>
          <w:rFonts w:ascii="Times New Roman" w:cs="Times New Roman" w:eastAsia="Times New Roman" w:hAnsi="Times New Roman"/>
          <w:sz w:val="20"/>
          <w:szCs w:val="20"/>
          <w:color w:val="auto"/>
        </w:rPr>
        <w:t>Engaging external advisors to assist with the design, implementation and testing of internal controls,</w:t>
      </w:r>
    </w:p>
    <w:p>
      <w:pPr>
        <w:spacing w:after="0" w:line="11" w:lineRule="exact"/>
        <w:rPr>
          <w:rFonts w:ascii="Arial" w:cs="Arial" w:eastAsia="Arial" w:hAnsi="Arial"/>
          <w:sz w:val="20"/>
          <w:szCs w:val="20"/>
          <w:color w:val="auto"/>
        </w:rPr>
      </w:pPr>
    </w:p>
    <w:p>
      <w:pPr>
        <w:ind w:left="720" w:hanging="353"/>
        <w:spacing w:after="0"/>
        <w:tabs>
          <w:tab w:leader="none" w:pos="720" w:val="left"/>
        </w:tabs>
        <w:numPr>
          <w:ilvl w:val="0"/>
          <w:numId w:val="61"/>
        </w:numPr>
        <w:rPr>
          <w:rFonts w:ascii="Arial" w:cs="Arial" w:eastAsia="Arial" w:hAnsi="Arial"/>
          <w:sz w:val="20"/>
          <w:szCs w:val="20"/>
          <w:color w:val="auto"/>
        </w:rPr>
      </w:pPr>
      <w:r>
        <w:rPr>
          <w:rFonts w:ascii="Times New Roman" w:cs="Times New Roman" w:eastAsia="Times New Roman" w:hAnsi="Times New Roman"/>
          <w:sz w:val="20"/>
          <w:szCs w:val="20"/>
          <w:color w:val="auto"/>
        </w:rPr>
        <w:t>Implementing improvements to internal control documentation and review procedures,</w:t>
      </w:r>
    </w:p>
    <w:p>
      <w:pPr>
        <w:spacing w:after="0" w:line="13" w:lineRule="exact"/>
        <w:rPr>
          <w:rFonts w:ascii="Arial" w:cs="Arial" w:eastAsia="Arial" w:hAnsi="Arial"/>
          <w:sz w:val="20"/>
          <w:szCs w:val="20"/>
          <w:color w:val="auto"/>
        </w:rPr>
      </w:pPr>
    </w:p>
    <w:p>
      <w:pPr>
        <w:ind w:left="720" w:right="60" w:hanging="353"/>
        <w:spacing w:after="0" w:line="278" w:lineRule="auto"/>
        <w:tabs>
          <w:tab w:leader="none" w:pos="720" w:val="left"/>
        </w:tabs>
        <w:numPr>
          <w:ilvl w:val="0"/>
          <w:numId w:val="61"/>
        </w:numPr>
        <w:rPr>
          <w:rFonts w:ascii="Arial" w:cs="Arial" w:eastAsia="Arial" w:hAnsi="Arial"/>
          <w:sz w:val="20"/>
          <w:szCs w:val="20"/>
          <w:color w:val="auto"/>
        </w:rPr>
      </w:pPr>
      <w:r>
        <w:rPr>
          <w:rFonts w:ascii="Times New Roman" w:cs="Times New Roman" w:eastAsia="Times New Roman" w:hAnsi="Times New Roman"/>
          <w:sz w:val="20"/>
          <w:szCs w:val="20"/>
          <w:color w:val="auto"/>
        </w:rPr>
        <w:t>Implementing SAP, an enterprise resource planning (ERP) system designed to strengthen data integrity and enforce segregation of duties.</w:t>
      </w:r>
    </w:p>
    <w:p>
      <w:pPr>
        <w:spacing w:after="0" w:line="126" w:lineRule="exact"/>
        <w:rPr>
          <w:sz w:val="20"/>
          <w:szCs w:val="20"/>
          <w:color w:val="auto"/>
        </w:rPr>
      </w:pPr>
    </w:p>
    <w:p>
      <w:pPr>
        <w:ind w:right="480"/>
        <w:spacing w:after="0" w:line="279" w:lineRule="auto"/>
        <w:rPr>
          <w:sz w:val="20"/>
          <w:szCs w:val="20"/>
          <w:color w:val="auto"/>
        </w:rPr>
      </w:pPr>
      <w:r>
        <w:rPr>
          <w:rFonts w:ascii="Times New Roman" w:cs="Times New Roman" w:eastAsia="Times New Roman" w:hAnsi="Times New Roman"/>
          <w:sz w:val="20"/>
          <w:szCs w:val="20"/>
          <w:color w:val="auto"/>
        </w:rPr>
        <w:t>Management completed the implementation of the remediation actions and performed testing of the redesigned controls throughout the calendar year.</w:t>
      </w:r>
    </w:p>
    <w:p>
      <w:pPr>
        <w:spacing w:after="0" w:line="125" w:lineRule="exact"/>
        <w:rPr>
          <w:sz w:val="20"/>
          <w:szCs w:val="20"/>
          <w:color w:val="auto"/>
        </w:rPr>
      </w:pPr>
    </w:p>
    <w:p>
      <w:pPr>
        <w:ind w:right="360"/>
        <w:spacing w:after="0" w:line="279" w:lineRule="auto"/>
        <w:rPr>
          <w:sz w:val="20"/>
          <w:szCs w:val="20"/>
          <w:color w:val="auto"/>
        </w:rPr>
      </w:pPr>
      <w:r>
        <w:rPr>
          <w:rFonts w:ascii="Times New Roman" w:cs="Times New Roman" w:eastAsia="Times New Roman" w:hAnsi="Times New Roman"/>
          <w:sz w:val="20"/>
          <w:szCs w:val="20"/>
          <w:color w:val="auto"/>
        </w:rPr>
        <w:t>Based on the remediation activities performed and the results of the testing conducted during 2025, management concluded that the previously identified material weaknesses were remediated as of December 31, 2025.</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Financial Statement Reliability Statement</w:t>
      </w:r>
    </w:p>
    <w:p>
      <w:pPr>
        <w:spacing w:after="0" w:line="203" w:lineRule="exact"/>
        <w:rPr>
          <w:sz w:val="20"/>
          <w:szCs w:val="20"/>
          <w:color w:val="auto"/>
        </w:rPr>
      </w:pPr>
    </w:p>
    <w:p>
      <w:pPr>
        <w:ind w:right="680"/>
        <w:spacing w:after="0" w:line="279" w:lineRule="auto"/>
        <w:rPr>
          <w:sz w:val="20"/>
          <w:szCs w:val="20"/>
          <w:color w:val="auto"/>
        </w:rPr>
      </w:pPr>
      <w:r>
        <w:rPr>
          <w:rFonts w:ascii="Times New Roman" w:cs="Times New Roman" w:eastAsia="Times New Roman" w:hAnsi="Times New Roman"/>
          <w:sz w:val="20"/>
          <w:szCs w:val="20"/>
          <w:color w:val="auto"/>
        </w:rPr>
        <w:t>The previously identified material weaknesses did not result in a material misstatement of the Company’s consolidated financial statements, and no restatement of previously issued financial statements was required.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Change in Internal Control Over Financial Reporting</w:t>
      </w:r>
    </w:p>
    <w:p>
      <w:pPr>
        <w:spacing w:after="0" w:line="203" w:lineRule="exact"/>
        <w:rPr>
          <w:sz w:val="20"/>
          <w:szCs w:val="20"/>
          <w:color w:val="auto"/>
        </w:rPr>
      </w:pPr>
    </w:p>
    <w:p>
      <w:pPr>
        <w:ind w:right="220"/>
        <w:spacing w:after="0" w:line="279" w:lineRule="auto"/>
        <w:rPr>
          <w:sz w:val="20"/>
          <w:szCs w:val="20"/>
          <w:color w:val="auto"/>
        </w:rPr>
      </w:pPr>
      <w:r>
        <w:rPr>
          <w:rFonts w:ascii="Times New Roman" w:cs="Times New Roman" w:eastAsia="Times New Roman" w:hAnsi="Times New Roman"/>
          <w:sz w:val="20"/>
          <w:szCs w:val="20"/>
          <w:color w:val="auto"/>
        </w:rPr>
        <w:t>During the year ended December 31, 2025, management implemented remediation actions designed to address the previously identified material weaknesses in the Company’s internal control over financial reporting.</w:t>
      </w:r>
    </w:p>
    <w:p>
      <w:pPr>
        <w:spacing w:after="0" w:line="125" w:lineRule="exact"/>
        <w:rPr>
          <w:sz w:val="20"/>
          <w:szCs w:val="20"/>
          <w:color w:val="auto"/>
        </w:rPr>
      </w:pPr>
    </w:p>
    <w:p>
      <w:pPr>
        <w:ind w:right="280"/>
        <w:spacing w:after="0" w:line="259" w:lineRule="auto"/>
        <w:rPr>
          <w:sz w:val="20"/>
          <w:szCs w:val="20"/>
          <w:color w:val="auto"/>
        </w:rPr>
      </w:pPr>
      <w:r>
        <w:rPr>
          <w:rFonts w:ascii="Times New Roman" w:cs="Times New Roman" w:eastAsia="Times New Roman" w:hAnsi="Times New Roman"/>
          <w:sz w:val="20"/>
          <w:szCs w:val="20"/>
          <w:color w:val="auto"/>
        </w:rPr>
        <w:t>Other than these remediation activities, there were no changes in the Company’s internal control over financial reporting during the year ended December 31, 2025 that materially affected, or are reasonably likely to materially affect, the Company’s internal control over financial reporting.</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9B. Other Information.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Rule 10b5-1 Trading Arrangements</w:t>
      </w:r>
    </w:p>
    <w:p>
      <w:pPr>
        <w:spacing w:after="0" w:line="198" w:lineRule="exact"/>
        <w:rPr>
          <w:sz w:val="20"/>
          <w:szCs w:val="20"/>
          <w:color w:val="auto"/>
        </w:rPr>
      </w:pPr>
    </w:p>
    <w:p>
      <w:pPr>
        <w:jc w:val="both"/>
        <w:ind w:right="40"/>
        <w:spacing w:after="0" w:line="259" w:lineRule="auto"/>
        <w:rPr>
          <w:sz w:val="20"/>
          <w:szCs w:val="20"/>
          <w:color w:val="auto"/>
        </w:rPr>
      </w:pPr>
      <w:r>
        <w:rPr>
          <w:rFonts w:ascii="Times New Roman" w:cs="Times New Roman" w:eastAsia="Times New Roman" w:hAnsi="Times New Roman"/>
          <w:sz w:val="20"/>
          <w:szCs w:val="20"/>
          <w:color w:val="auto"/>
        </w:rPr>
        <w:t>None of our directors or executive officers adopted, modified or terminated a “Rule 10b5-1 trading arrangement” or “non-Rule 10b5-1 trading arrangement,” as each term is defined in Item 408(a) of Regulation S-K, during the fiscal quarter ended December 31, 2025.</w:t>
      </w:r>
    </w:p>
    <w:p>
      <w:pPr>
        <w:sectPr>
          <w:pgSz w:w="11900" w:h="16838" w:orient="portrait"/>
          <w:cols w:equalWidth="0" w:num="1">
            <w:col w:w="9380"/>
          </w:cols>
          <w:pgMar w:left="1260" w:top="1247" w:right="1266" w:bottom="72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54</w:t>
      </w:r>
    </w:p>
    <w:p>
      <w:pPr>
        <w:sectPr>
          <w:pgSz w:w="11900" w:h="16838" w:orient="portrait"/>
          <w:cols w:equalWidth="0" w:num="1">
            <w:col w:w="9380"/>
          </w:cols>
          <w:pgMar w:left="1260" w:top="1247" w:right="1266" w:bottom="723" w:gutter="0" w:footer="0" w:header="0"/>
          <w:type w:val="continuous"/>
        </w:sectPr>
      </w:pPr>
    </w:p>
    <w:bookmarkStart w:id="108" w:name="page109"/>
    <w:bookmarkEnd w:id="108"/>
    <w:p>
      <w:pPr>
        <w:spacing w:after="0"/>
        <w:rPr>
          <w:sz w:val="20"/>
          <w:szCs w:val="20"/>
          <w:color w:val="auto"/>
        </w:rPr>
      </w:pPr>
      <w:r>
        <w:rPr>
          <w:rFonts w:ascii="Times New Roman" w:cs="Times New Roman" w:eastAsia="Times New Roman" w:hAnsi="Times New Roman"/>
          <w:sz w:val="20"/>
          <w:szCs w:val="20"/>
          <w:b w:val="1"/>
          <w:bCs w:val="1"/>
          <w:i w:val="1"/>
          <w:iCs w:val="1"/>
          <w:color w:val="auto"/>
        </w:rPr>
        <w:drawing>
          <wp:anchor simplePos="0" relativeHeight="251657728" behindDoc="1" locked="0" layoutInCell="0" allowOverlap="1">
            <wp:simplePos x="0" y="0"/>
            <wp:positionH relativeFrom="page">
              <wp:posOffset>795655</wp:posOffset>
            </wp:positionH>
            <wp:positionV relativeFrom="page">
              <wp:posOffset>292735</wp:posOffset>
            </wp:positionV>
            <wp:extent cx="929005" cy="1149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149">
                      <a:extLst>
                        <a:ext uri="{28A0092B-C50C-407E-A947-70E740481C1C}"/>
                      </a:extLst>
                    </a:blip>
                    <a:srcRect/>
                    <a:stretch>
                      <a:fillRect/>
                    </a:stretch>
                  </pic:blipFill>
                  <pic:spPr bwMode="auto">
                    <a:xfrm>
                      <a:off x="0" y="0"/>
                      <a:ext cx="929005" cy="114935"/>
                    </a:xfrm>
                    <a:prstGeom prst="rect">
                      <a:avLst/>
                    </a:prstGeom>
                    <a:noFill/>
                  </pic:spPr>
                </pic:pic>
              </a:graphicData>
            </a:graphic>
          </wp:anchor>
        </w:drawing>
        <w:t>Adoption of Executive Severance Plan</w:t>
      </w:r>
    </w:p>
    <w:p>
      <w:pPr>
        <w:spacing w:after="0" w:line="22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On March 24, 2026, upon the recommendation of the compensation committee of the Board of Directors, the Board of Directors unanimously approved and adopted, effective as of March 24, 2026, the EDAP TMS S.A. Executive Severance Plan (the “Severance Plan”). The Severance Plan, without duplicating any other severance protections that may be available to an individual, and which supersedes any existing severance arrangements for chosen participants, applies to separations that occur on and after March 24, 2026. It provides for the payment of certain severance benefits to certain officers and employees who are designated as Tier 1 Participants, Tier 2 Participants or Tier 3 Participants, each as defined in the Severance Plan and as designated by the Board (or the compensation committee, if applicable), in the event of an involuntary termination of employment by the Company and its subsidiaries without “Cause” or by the participant for “Good Reason” (in each case as described in the Severance Plan). These benefits include:</w:t>
      </w:r>
    </w:p>
    <w:p>
      <w:pPr>
        <w:spacing w:after="0" w:line="195" w:lineRule="exact"/>
        <w:rPr>
          <w:sz w:val="20"/>
          <w:szCs w:val="20"/>
          <w:color w:val="auto"/>
        </w:rPr>
      </w:pPr>
    </w:p>
    <w:p>
      <w:pPr>
        <w:jc w:val="both"/>
        <w:ind w:left="720" w:hanging="353"/>
        <w:spacing w:after="0" w:line="252" w:lineRule="auto"/>
        <w:tabs>
          <w:tab w:leader="none" w:pos="720" w:val="left"/>
        </w:tabs>
        <w:numPr>
          <w:ilvl w:val="0"/>
          <w:numId w:val="62"/>
        </w:numPr>
        <w:rPr>
          <w:rFonts w:ascii="Arial" w:cs="Arial" w:eastAsia="Arial" w:hAnsi="Arial"/>
          <w:sz w:val="20"/>
          <w:szCs w:val="20"/>
          <w:color w:val="auto"/>
        </w:rPr>
      </w:pPr>
      <w:r>
        <w:rPr>
          <w:rFonts w:ascii="Times New Roman" w:cs="Times New Roman" w:eastAsia="Times New Roman" w:hAnsi="Times New Roman"/>
          <w:sz w:val="20"/>
          <w:szCs w:val="20"/>
          <w:color w:val="auto"/>
        </w:rPr>
        <w:t>cash severance equal to the participant’s base salary, multiplied by (ii) a “Non-CIC Severance Factor” (as designated by the Board of Directors (or the compensation committee, if applicable)), paid in equal installments in accordance with the Company’s payroll practices over a period of years equal to the participant’s Non-CIC Severance Factor;</w:t>
      </w:r>
    </w:p>
    <w:p>
      <w:pPr>
        <w:spacing w:after="0" w:line="197" w:lineRule="exact"/>
        <w:rPr>
          <w:rFonts w:ascii="Arial" w:cs="Arial" w:eastAsia="Arial" w:hAnsi="Arial"/>
          <w:sz w:val="20"/>
          <w:szCs w:val="20"/>
          <w:color w:val="auto"/>
        </w:rPr>
      </w:pPr>
    </w:p>
    <w:p>
      <w:pPr>
        <w:jc w:val="both"/>
        <w:ind w:left="720" w:hanging="353"/>
        <w:spacing w:after="0" w:line="258" w:lineRule="auto"/>
        <w:tabs>
          <w:tab w:leader="none" w:pos="720" w:val="left"/>
        </w:tabs>
        <w:numPr>
          <w:ilvl w:val="0"/>
          <w:numId w:val="62"/>
        </w:numPr>
        <w:rPr>
          <w:rFonts w:ascii="Arial" w:cs="Arial" w:eastAsia="Arial" w:hAnsi="Arial"/>
          <w:sz w:val="20"/>
          <w:szCs w:val="20"/>
          <w:color w:val="auto"/>
        </w:rPr>
      </w:pPr>
      <w:r>
        <w:rPr>
          <w:rFonts w:ascii="Times New Roman" w:cs="Times New Roman" w:eastAsia="Times New Roman" w:hAnsi="Times New Roman"/>
          <w:sz w:val="20"/>
          <w:szCs w:val="20"/>
          <w:color w:val="auto"/>
        </w:rPr>
        <w:t>in the case of Tier 1 Participants and Tier 2 Participants, a lump sum payment equal to monthly estimated COBRA premiums for a number of months equal to (i) 12, multiplied by (ii) the participant’s Non-CIC Severance Factor;</w:t>
      </w:r>
    </w:p>
    <w:p>
      <w:pPr>
        <w:spacing w:after="0" w:line="191" w:lineRule="exact"/>
        <w:rPr>
          <w:rFonts w:ascii="Arial" w:cs="Arial" w:eastAsia="Arial" w:hAnsi="Arial"/>
          <w:sz w:val="20"/>
          <w:szCs w:val="20"/>
          <w:color w:val="auto"/>
        </w:rPr>
      </w:pPr>
    </w:p>
    <w:p>
      <w:pPr>
        <w:jc w:val="both"/>
        <w:ind w:left="720" w:hanging="353"/>
        <w:spacing w:after="0" w:line="259" w:lineRule="auto"/>
        <w:tabs>
          <w:tab w:leader="none" w:pos="720" w:val="left"/>
        </w:tabs>
        <w:numPr>
          <w:ilvl w:val="0"/>
          <w:numId w:val="62"/>
        </w:numPr>
        <w:rPr>
          <w:rFonts w:ascii="Arial" w:cs="Arial" w:eastAsia="Arial" w:hAnsi="Arial"/>
          <w:sz w:val="20"/>
          <w:szCs w:val="20"/>
          <w:color w:val="auto"/>
        </w:rPr>
      </w:pPr>
      <w:r>
        <w:rPr>
          <w:rFonts w:ascii="Times New Roman" w:cs="Times New Roman" w:eastAsia="Times New Roman" w:hAnsi="Times New Roman"/>
          <w:sz w:val="20"/>
          <w:szCs w:val="20"/>
          <w:color w:val="auto"/>
        </w:rPr>
        <w:t>a pro-rated bonus for the calendar year in which the participant’s termination of employment occurs, based on actual performance for the full year and the number of days that the participant was employed during such year; and</w:t>
      </w:r>
    </w:p>
    <w:p>
      <w:pPr>
        <w:spacing w:after="0" w:line="188" w:lineRule="exact"/>
        <w:rPr>
          <w:rFonts w:ascii="Arial" w:cs="Arial" w:eastAsia="Arial" w:hAnsi="Arial"/>
          <w:sz w:val="20"/>
          <w:szCs w:val="20"/>
          <w:color w:val="auto"/>
        </w:rPr>
      </w:pPr>
    </w:p>
    <w:p>
      <w:pPr>
        <w:jc w:val="both"/>
        <w:ind w:left="720" w:hanging="353"/>
        <w:spacing w:after="0" w:line="253" w:lineRule="auto"/>
        <w:tabs>
          <w:tab w:leader="none" w:pos="720" w:val="left"/>
        </w:tabs>
        <w:numPr>
          <w:ilvl w:val="0"/>
          <w:numId w:val="62"/>
        </w:numPr>
        <w:rPr>
          <w:rFonts w:ascii="Arial" w:cs="Arial" w:eastAsia="Arial" w:hAnsi="Arial"/>
          <w:sz w:val="20"/>
          <w:szCs w:val="20"/>
          <w:color w:val="auto"/>
        </w:rPr>
      </w:pPr>
      <w:r>
        <w:rPr>
          <w:rFonts w:ascii="Times New Roman" w:cs="Times New Roman" w:eastAsia="Times New Roman" w:hAnsi="Times New Roman"/>
          <w:sz w:val="20"/>
          <w:szCs w:val="20"/>
          <w:color w:val="auto"/>
        </w:rPr>
        <w:t>to the extent permitted under applicable law and the terms of the awards, and to the extent the treatment would not result in adverse tax consequences, accelerated vesting credit equal to 6 months (for Tier 3 Participants) or 12 months (for Tier 1 Participants and Tier 2 Participants) with respect to outstanding equity awards held by the participant.</w:t>
      </w:r>
    </w:p>
    <w:p>
      <w:pPr>
        <w:spacing w:after="0" w:line="177"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20"/>
          <w:szCs w:val="20"/>
          <w:color w:val="auto"/>
        </w:rPr>
        <w:t>If such termination occurs within 3 months prior to (or within 12 months after) the consummation of a “change in control” (as defined in the Severance Plan) severance benefits shall instead include:</w:t>
      </w:r>
    </w:p>
    <w:p>
      <w:pPr>
        <w:spacing w:after="0" w:line="171" w:lineRule="exact"/>
        <w:rPr>
          <w:sz w:val="20"/>
          <w:szCs w:val="20"/>
          <w:color w:val="auto"/>
        </w:rPr>
      </w:pPr>
    </w:p>
    <w:p>
      <w:pPr>
        <w:jc w:val="both"/>
        <w:ind w:left="720" w:hanging="353"/>
        <w:spacing w:after="0" w:line="305" w:lineRule="auto"/>
        <w:tabs>
          <w:tab w:leader="none" w:pos="720" w:val="left"/>
        </w:tabs>
        <w:numPr>
          <w:ilvl w:val="0"/>
          <w:numId w:val="63"/>
        </w:numPr>
        <w:rPr>
          <w:rFonts w:ascii="Arial" w:cs="Arial" w:eastAsia="Arial" w:hAnsi="Arial"/>
          <w:sz w:val="19"/>
          <w:szCs w:val="19"/>
          <w:color w:val="auto"/>
        </w:rPr>
      </w:pPr>
      <w:r>
        <w:rPr>
          <w:rFonts w:ascii="Times New Roman" w:cs="Times New Roman" w:eastAsia="Times New Roman" w:hAnsi="Times New Roman"/>
          <w:sz w:val="19"/>
          <w:szCs w:val="19"/>
          <w:color w:val="auto"/>
        </w:rPr>
        <w:t>a lump sum payment equal to (i) the sum of base salary plus target annual bonus, multiplied by (ii) a “CIC Severance Factor” (as designated by the Board of Directors (or the compensation committee, if applicable));</w:t>
      </w:r>
    </w:p>
    <w:p>
      <w:pPr>
        <w:spacing w:after="0" w:line="146" w:lineRule="exact"/>
        <w:rPr>
          <w:rFonts w:ascii="Arial" w:cs="Arial" w:eastAsia="Arial" w:hAnsi="Arial"/>
          <w:sz w:val="19"/>
          <w:szCs w:val="19"/>
          <w:color w:val="auto"/>
        </w:rPr>
      </w:pPr>
    </w:p>
    <w:p>
      <w:pPr>
        <w:jc w:val="both"/>
        <w:ind w:left="720" w:hanging="353"/>
        <w:spacing w:after="0" w:line="259" w:lineRule="auto"/>
        <w:tabs>
          <w:tab w:leader="none" w:pos="720" w:val="left"/>
        </w:tabs>
        <w:numPr>
          <w:ilvl w:val="0"/>
          <w:numId w:val="63"/>
        </w:numPr>
        <w:rPr>
          <w:rFonts w:ascii="Arial" w:cs="Arial" w:eastAsia="Arial" w:hAnsi="Arial"/>
          <w:sz w:val="20"/>
          <w:szCs w:val="20"/>
          <w:color w:val="auto"/>
        </w:rPr>
      </w:pPr>
      <w:r>
        <w:rPr>
          <w:rFonts w:ascii="Times New Roman" w:cs="Times New Roman" w:eastAsia="Times New Roman" w:hAnsi="Times New Roman"/>
          <w:sz w:val="20"/>
          <w:szCs w:val="20"/>
          <w:color w:val="auto"/>
        </w:rPr>
        <w:t>in the case of Tier 1 Participants and Tier 2 Participants, a lump sum payment equal to monthly estimated COBRA premiums for a number of months equal to (i) 12, multiplied by (ii) the participant’s CIC Severance Factor; and</w:t>
      </w:r>
    </w:p>
    <w:p>
      <w:pPr>
        <w:spacing w:after="0" w:line="190" w:lineRule="exact"/>
        <w:rPr>
          <w:rFonts w:ascii="Arial" w:cs="Arial" w:eastAsia="Arial" w:hAnsi="Arial"/>
          <w:sz w:val="20"/>
          <w:szCs w:val="20"/>
          <w:color w:val="auto"/>
        </w:rPr>
      </w:pPr>
    </w:p>
    <w:p>
      <w:pPr>
        <w:jc w:val="both"/>
        <w:ind w:left="720" w:hanging="353"/>
        <w:spacing w:after="0" w:line="258" w:lineRule="auto"/>
        <w:tabs>
          <w:tab w:leader="none" w:pos="720" w:val="left"/>
        </w:tabs>
        <w:numPr>
          <w:ilvl w:val="0"/>
          <w:numId w:val="63"/>
        </w:numPr>
        <w:rPr>
          <w:rFonts w:ascii="Arial" w:cs="Arial" w:eastAsia="Arial" w:hAnsi="Arial"/>
          <w:sz w:val="20"/>
          <w:szCs w:val="20"/>
          <w:color w:val="auto"/>
        </w:rPr>
      </w:pPr>
      <w:r>
        <w:rPr>
          <w:rFonts w:ascii="Times New Roman" w:cs="Times New Roman" w:eastAsia="Times New Roman" w:hAnsi="Times New Roman"/>
          <w:sz w:val="20"/>
          <w:szCs w:val="20"/>
          <w:color w:val="auto"/>
        </w:rPr>
        <w:t>to the extent permitted under applicable law and the terms of the awards, and to the extent the treatment would not result in adverse tax consequences, accelerated vesting treatment in full for outstanding equity awards.</w:t>
      </w:r>
    </w:p>
    <w:p>
      <w:pPr>
        <w:spacing w:after="0" w:line="17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If the participant’s employment is terminated due to death or Disability (as defined in the Severance Plan), the participant will be eligible to receive a pro-rated bonus for the calendar year in which the participant’s termination of employment occurs, based on actual performance for the full calendar year and the number of days that the participant was employed during such year.</w:t>
      </w:r>
    </w:p>
    <w:p>
      <w:pPr>
        <w:spacing w:after="0" w:line="18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The Company’s obligation to provide these benefits (whether before or after a change in control) is generally conditioned on the participant’s satisfaction of certain conditions, including the execution and non-revocation of a customary release of claims in favor of the Company and its affiliates.</w:t>
      </w:r>
    </w:p>
    <w:p>
      <w:pPr>
        <w:spacing w:after="0" w:line="17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The Severance Plan may be amended or terminated at any time, provided that any amendment or termination that would be adverse to a participant requires the participant’s consent, unless the Company provides four months’ advance written notice.</w:t>
      </w:r>
    </w:p>
    <w:p>
      <w:pPr>
        <w:sectPr>
          <w:pgSz w:w="11900" w:h="16838" w:orient="portrait"/>
          <w:cols w:equalWidth="0" w:num="1">
            <w:col w:w="9380"/>
          </w:cols>
          <w:pgMar w:left="1260" w:top="1248" w:right="1266" w:bottom="72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55</w:t>
      </w:r>
    </w:p>
    <w:p>
      <w:pPr>
        <w:sectPr>
          <w:pgSz w:w="11900" w:h="16838" w:orient="portrait"/>
          <w:cols w:equalWidth="0" w:num="1">
            <w:col w:w="9380"/>
          </w:cols>
          <w:pgMar w:left="1260" w:top="1248" w:right="1266" w:bottom="723" w:gutter="0" w:footer="0" w:header="0"/>
          <w:type w:val="continuous"/>
        </w:sectPr>
      </w:pPr>
    </w:p>
    <w:bookmarkStart w:id="109" w:name="page110"/>
    <w:bookmarkEnd w:id="109"/>
    <w:p>
      <w:pPr>
        <w:jc w:val="both"/>
        <w:spacing w:after="0" w:line="245"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795655</wp:posOffset>
            </wp:positionH>
            <wp:positionV relativeFrom="page">
              <wp:posOffset>292735</wp:posOffset>
            </wp:positionV>
            <wp:extent cx="929005" cy="1149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150">
                      <a:extLst>
                        <a:ext uri="{28A0092B-C50C-407E-A947-70E740481C1C}"/>
                      </a:extLst>
                    </a:blip>
                    <a:srcRect/>
                    <a:stretch>
                      <a:fillRect/>
                    </a:stretch>
                  </pic:blipFill>
                  <pic:spPr bwMode="auto">
                    <a:xfrm>
                      <a:off x="0" y="0"/>
                      <a:ext cx="929005" cy="114935"/>
                    </a:xfrm>
                    <a:prstGeom prst="rect">
                      <a:avLst/>
                    </a:prstGeom>
                    <a:noFill/>
                  </pic:spPr>
                </pic:pic>
              </a:graphicData>
            </a:graphic>
          </wp:anchor>
        </w:drawing>
        <w:t>As of the date of this Annual Report on Form 10-K, the Company’s then-serving named executive officers and certain other senior management employees (as designated by the Board of Directors from time to time) have been designated to participate in the Severance Plan. The Non-CIC Severance Factor applicable to Tier 1 Participants (which is Mr. Rhodes, the Chief Executive Officer of the Company and EDAP Technomed, Inc.) and Tier 2 Participants (which include Mr. Mobeck, the Chief Financial Officer of the Company and EDAP Technomed, Inc., and Mr. Annen, Executive Vice President, Marketing and Product Management) is currently 1.0, and the Non-CIC Severance Factor applicable to Tier 3 Participants is currently 0.5. The CIC Severance Factor for Tier 1 Participants, Tier 2 Participants and Tier 3 Participants is currently 2.0, 1.5 and 1.0, respectively.</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9C. Disclosure Regarding Foreign Jurisdictions that Prevent Inspections.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ectPr>
          <w:pgSz w:w="11900" w:h="16838" w:orient="portrait"/>
          <w:cols w:equalWidth="0" w:num="1">
            <w:col w:w="9380"/>
          </w:cols>
          <w:pgMar w:left="1260" w:top="1247" w:right="1266" w:bottom="72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56</w:t>
      </w:r>
    </w:p>
    <w:p>
      <w:pPr>
        <w:sectPr>
          <w:pgSz w:w="11900" w:h="16838" w:orient="portrait"/>
          <w:cols w:equalWidth="0" w:num="1">
            <w:col w:w="9380"/>
          </w:cols>
          <w:pgMar w:left="1260" w:top="1247" w:right="1266" w:bottom="723" w:gutter="0" w:footer="0" w:header="0"/>
          <w:type w:val="continuous"/>
        </w:sectPr>
      </w:pPr>
    </w:p>
    <w:bookmarkStart w:id="110" w:name="page111"/>
    <w:bookmarkEnd w:id="110"/>
    <w:p>
      <w:pPr>
        <w:ind w:left="4280"/>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795655</wp:posOffset>
            </wp:positionH>
            <wp:positionV relativeFrom="page">
              <wp:posOffset>292735</wp:posOffset>
            </wp:positionV>
            <wp:extent cx="929005" cy="1149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151">
                      <a:extLst>
                        <a:ext uri="{28A0092B-C50C-407E-A947-70E740481C1C}"/>
                      </a:extLst>
                    </a:blip>
                    <a:srcRect/>
                    <a:stretch>
                      <a:fillRect/>
                    </a:stretch>
                  </pic:blipFill>
                  <pic:spPr bwMode="auto">
                    <a:xfrm>
                      <a:off x="0" y="0"/>
                      <a:ext cx="929005" cy="114935"/>
                    </a:xfrm>
                    <a:prstGeom prst="rect">
                      <a:avLst/>
                    </a:prstGeom>
                    <a:noFill/>
                  </pic:spPr>
                </pic:pic>
              </a:graphicData>
            </a:graphic>
          </wp:anchor>
        </w:drawing>
        <w:t>PART III</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10. Directors, Executive Officers and Corporate Governance.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Board of Directors</w:t>
      </w:r>
    </w:p>
    <w:p>
      <w:pPr>
        <w:spacing w:after="0" w:line="203" w:lineRule="exact"/>
        <w:rPr>
          <w:sz w:val="20"/>
          <w:szCs w:val="20"/>
          <w:color w:val="auto"/>
        </w:rPr>
      </w:pPr>
    </w:p>
    <w:p>
      <w:pPr>
        <w:ind w:right="80"/>
        <w:spacing w:after="0" w:line="248" w:lineRule="auto"/>
        <w:rPr>
          <w:sz w:val="20"/>
          <w:szCs w:val="20"/>
          <w:color w:val="auto"/>
        </w:rPr>
      </w:pPr>
      <w:r>
        <w:rPr>
          <w:rFonts w:ascii="Times New Roman" w:cs="Times New Roman" w:eastAsia="Times New Roman" w:hAnsi="Times New Roman"/>
          <w:sz w:val="20"/>
          <w:szCs w:val="20"/>
          <w:color w:val="auto"/>
        </w:rPr>
        <w:t>Our business affairs are managed under the direction of our Board of Directors, which is currently composed of five members. Since May 1, 2023, we have separated the offices of Chairman of the Board of Directors and Chief Executive Officer. None of the directors have service contracts with the Company or any of its subsidiaries providing for benefits upon termination of employment, except for those related to Mr. Rhodes’s current position as Chief Executive Officer as provided under his employment agreement. The mandate of our directors is a period of two years.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sets forth biographical information for each member of our Board of Directors as of the date of this</w:t>
      </w:r>
    </w:p>
    <w:p>
      <w:pPr>
        <w:spacing w:after="0"/>
        <w:rPr>
          <w:sz w:val="20"/>
          <w:szCs w:val="20"/>
          <w:color w:val="auto"/>
        </w:rPr>
      </w:pPr>
      <w:r>
        <w:rPr>
          <w:rFonts w:ascii="Times New Roman" w:cs="Times New Roman" w:eastAsia="Times New Roman" w:hAnsi="Times New Roman"/>
          <w:sz w:val="20"/>
          <w:szCs w:val="20"/>
          <w:color w:val="auto"/>
        </w:rPr>
        <w:t>Annual Report:</w:t>
      </w:r>
    </w:p>
    <w:p>
      <w:pPr>
        <w:spacing w:after="0" w:line="194" w:lineRule="exact"/>
        <w:rPr>
          <w:sz w:val="20"/>
          <w:szCs w:val="20"/>
          <w:color w:val="auto"/>
        </w:rPr>
      </w:pPr>
    </w:p>
    <w:p>
      <w:pPr>
        <w:ind w:right="60"/>
        <w:spacing w:after="0"/>
        <w:rPr>
          <w:sz w:val="20"/>
          <w:szCs w:val="20"/>
          <w:color w:val="auto"/>
        </w:rPr>
      </w:pPr>
      <w:r>
        <w:rPr>
          <w:rFonts w:ascii="Times New Roman" w:cs="Times New Roman" w:eastAsia="Times New Roman" w:hAnsi="Times New Roman"/>
          <w:sz w:val="20"/>
          <w:szCs w:val="20"/>
          <w:b w:val="1"/>
          <w:bCs w:val="1"/>
          <w:color w:val="auto"/>
        </w:rPr>
        <w:t>Ryan Rhodes</w:t>
      </w:r>
      <w:r>
        <w:rPr>
          <w:rFonts w:ascii="Times New Roman" w:cs="Times New Roman" w:eastAsia="Times New Roman" w:hAnsi="Times New Roman"/>
          <w:sz w:val="20"/>
          <w:szCs w:val="20"/>
          <w:color w:val="auto"/>
        </w:rPr>
        <w:t>, age 64. Mr. Rhodes was appointed as Chief Executive Officer of the Company in May 2023 and as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member of the Board of Directors in August 2023. He has also served as Chief Executive Officer of EDAP’s U.S. subsidiary since June 2021. Mr. Rhodes has over 30 years of leadership experience in market development in the medical device industry, including 20 years dedicated to medical robotics. Prior to joining EDAP, Mr. Rhodes served as the Chief Executive Officer of Restoration Robotics, a global leader in robotic aesthetic medicine, where he led the company to a successful merger with Venus Concept Inc. in 2019. Prior to Restoration Robotics,</w:t>
      </w:r>
    </w:p>
    <w:p>
      <w:pPr>
        <w:spacing w:after="0" w:line="4"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20"/>
          <w:szCs w:val="20"/>
          <w:color w:val="auto"/>
        </w:rPr>
        <w:t>Mr. Rhodes spent over 13 years at Intuitive Surgical, the global leader in medical robotics, where he was a key architect of the company’s multi-procedure market focus and development efforts, including the successful launch of the global Urology franchise. Prior to Intuitive Surgical, he spent over 11 years in various management positions in sales, marketing, professional education, and market development at Ethicon Inc., a Johnson &amp; Johnson company. Mr. Rhodes holds a B.A. in Public Administration from San Diego State University. Mr. Rhodes’s term expires in 2026.</w:t>
      </w:r>
    </w:p>
    <w:p>
      <w:pPr>
        <w:spacing w:after="0" w:line="153" w:lineRule="exact"/>
        <w:rPr>
          <w:sz w:val="20"/>
          <w:szCs w:val="20"/>
          <w:color w:val="auto"/>
        </w:rPr>
      </w:pPr>
    </w:p>
    <w:p>
      <w:pPr>
        <w:ind w:right="180"/>
        <w:spacing w:after="0" w:line="245" w:lineRule="auto"/>
        <w:rPr>
          <w:sz w:val="20"/>
          <w:szCs w:val="20"/>
          <w:color w:val="auto"/>
        </w:rPr>
      </w:pPr>
      <w:r>
        <w:rPr>
          <w:rFonts w:ascii="Times New Roman" w:cs="Times New Roman" w:eastAsia="Times New Roman" w:hAnsi="Times New Roman"/>
          <w:sz w:val="20"/>
          <w:szCs w:val="20"/>
          <w:b w:val="1"/>
          <w:bCs w:val="1"/>
          <w:color w:val="auto"/>
        </w:rPr>
        <w:t>Lance Willsey, M.S., M.D.</w:t>
      </w:r>
      <w:r>
        <w:rPr>
          <w:rFonts w:ascii="Times New Roman" w:cs="Times New Roman" w:eastAsia="Times New Roman" w:hAnsi="Times New Roman"/>
          <w:sz w:val="20"/>
          <w:szCs w:val="20"/>
          <w:color w:val="auto"/>
        </w:rPr>
        <w:t>, age 64,</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i w:val="1"/>
          <w:iCs w:val="1"/>
          <w:color w:val="auto"/>
        </w:rPr>
        <w:t>Chairman of the Board</w:t>
      </w:r>
      <w:r>
        <w:rPr>
          <w:rFonts w:ascii="Times New Roman" w:cs="Times New Roman" w:eastAsia="Times New Roman" w:hAnsi="Times New Roman"/>
          <w:sz w:val="20"/>
          <w:szCs w:val="20"/>
          <w:color w:val="auto"/>
        </w:rPr>
        <w:t>. Dr. Willsey joined the Board of Directors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December 2023 and was appointed Chairman of the Board of Directors in September 2024. Dr. Willsey is a urologist who has 36 years of private and public board experience focused in the area of cancer diagnostics and therapeutics. He completed his surgical and urology training at the Massachusetts General Hospital and additional postgraduate training in the Steele Lab, Harvard University and the Dana Farber Cancer Institute. Dr. Willsey is a founding Partner of the healthcare fund DCF Capital. He also served as a director of Exact Sciences from 1999 to 2009 and of Exelixis from 1997 to 2023, and has extensive experience in corporate governance, having served on audit, compensation, finance and scientific advisory committees. Dr. Willsey holds an M.S. and M.D. from Wayne State University. Dr. Willsey’s term expires in 2026.</w:t>
      </w:r>
    </w:p>
    <w:p>
      <w:pPr>
        <w:spacing w:after="0" w:line="156"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b w:val="1"/>
          <w:bCs w:val="1"/>
          <w:color w:val="auto"/>
        </w:rPr>
        <w:t xml:space="preserve">Fran Schulz </w:t>
      </w:r>
      <w:r>
        <w:rPr>
          <w:rFonts w:ascii="Times New Roman" w:cs="Times New Roman" w:eastAsia="Times New Roman" w:hAnsi="Times New Roman"/>
          <w:sz w:val="20"/>
          <w:szCs w:val="20"/>
          <w:color w:val="auto"/>
        </w:rPr>
        <w:t>, age 62. Ms. Schulz joined the Board of Directors in June 2024. Ms. Schulz is a seasoned executive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with over 35 years of experience with EY who has spent her career working with large public and emerging private companies in the life sciences industry. Ms. Schulz also has significant experience working on U.S. SEC and International Financial Reporting Standards matters. She is qualified to serve as a financial expert under SEC, NYSE and Nasdaq rules. Ms. Schulz currently also serves as a Board Member of Senti Biosciences and Menlo College. Previously, she served as a Board Member for the National Board of Women in Bio (2013 to 2023) and for the California Life Sciences Industry Association. Ms. Schulz is a licensed certified public accountant (CPA) in California and received her B.S. in Business Administration from Menlo College. Ms. Schulz’s term expires in 2026.</w:t>
      </w:r>
    </w:p>
    <w:p>
      <w:pPr>
        <w:spacing w:after="0" w:line="158" w:lineRule="exact"/>
        <w:rPr>
          <w:sz w:val="20"/>
          <w:szCs w:val="20"/>
          <w:color w:val="auto"/>
        </w:rPr>
      </w:pPr>
    </w:p>
    <w:p>
      <w:pPr>
        <w:ind w:right="140"/>
        <w:spacing w:after="0" w:line="245" w:lineRule="auto"/>
        <w:rPr>
          <w:sz w:val="20"/>
          <w:szCs w:val="20"/>
          <w:color w:val="auto"/>
        </w:rPr>
      </w:pPr>
      <w:r>
        <w:rPr>
          <w:rFonts w:ascii="Times New Roman" w:cs="Times New Roman" w:eastAsia="Times New Roman" w:hAnsi="Times New Roman"/>
          <w:sz w:val="20"/>
          <w:szCs w:val="20"/>
          <w:b w:val="1"/>
          <w:bCs w:val="1"/>
          <w:color w:val="auto"/>
        </w:rPr>
        <w:t>Josh Levine</w:t>
      </w:r>
      <w:r>
        <w:rPr>
          <w:rFonts w:ascii="Times New Roman" w:cs="Times New Roman" w:eastAsia="Times New Roman" w:hAnsi="Times New Roman"/>
          <w:sz w:val="20"/>
          <w:szCs w:val="20"/>
          <w:color w:val="auto"/>
        </w:rPr>
        <w:t>, age 65. Mr. Levine joined the Board of Directors in December 2024. From 2012 to 2022, Mr. Levine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served as President, Chief Executive Officer, and Director of Accuray Incorporated. Concurrent with his Accuray roles, Mr. Levine served as an independent director from 2018 to 2022 and later as Non-Executive Chairman of the board of Natus Medical from 2022 to 2023. Prior to that, Mr. Levine served as President, Chief Executive Officer, and Board Member of Immucor, Inc. in 2011. From 2004 to 2010, Mr. Levine served as President, Chief Executive Officer and Board Member of Mentor Corporation, where he played an instrumental role in repositioning the company through a strategic transformation. Mr. Levine has completed executive management programs at UCLA Anderson School of Business, Stanford University, and the University of Pennsylvania, and received his bachelor’s degree in communications from the University of Arizona. Mr. Levine’s term expires in 2026.</w:t>
      </w:r>
    </w:p>
    <w:p>
      <w:pPr>
        <w:sectPr>
          <w:pgSz w:w="11900" w:h="16838" w:orient="portrait"/>
          <w:cols w:equalWidth="0" w:num="1">
            <w:col w:w="9380"/>
          </w:cols>
          <w:pgMar w:left="1260" w:top="1243" w:right="1266" w:bottom="72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57</w:t>
      </w:r>
    </w:p>
    <w:p>
      <w:pPr>
        <w:sectPr>
          <w:pgSz w:w="11900" w:h="16838" w:orient="portrait"/>
          <w:cols w:equalWidth="0" w:num="1">
            <w:col w:w="9380"/>
          </w:cols>
          <w:pgMar w:left="1260" w:top="1243" w:right="1266" w:bottom="723" w:gutter="0" w:footer="0" w:header="0"/>
          <w:type w:val="continuous"/>
        </w:sectPr>
      </w:pPr>
    </w:p>
    <w:bookmarkStart w:id="111" w:name="page112"/>
    <w:bookmarkEnd w:id="111"/>
    <w:p>
      <w:pPr>
        <w:spacing w:after="0" w:line="244" w:lineRule="auto"/>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795655</wp:posOffset>
            </wp:positionH>
            <wp:positionV relativeFrom="page">
              <wp:posOffset>292735</wp:posOffset>
            </wp:positionV>
            <wp:extent cx="929005" cy="1149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152">
                      <a:extLst>
                        <a:ext uri="{28A0092B-C50C-407E-A947-70E740481C1C}"/>
                      </a:extLst>
                    </a:blip>
                    <a:srcRect/>
                    <a:stretch>
                      <a:fillRect/>
                    </a:stretch>
                  </pic:blipFill>
                  <pic:spPr bwMode="auto">
                    <a:xfrm>
                      <a:off x="0" y="0"/>
                      <a:ext cx="929005" cy="114935"/>
                    </a:xfrm>
                    <a:prstGeom prst="rect">
                      <a:avLst/>
                    </a:prstGeom>
                    <a:noFill/>
                  </pic:spPr>
                </pic:pic>
              </a:graphicData>
            </a:graphic>
          </wp:anchor>
        </w:drawing>
        <w:t>David Horn</w:t>
      </w:r>
      <w:r>
        <w:rPr>
          <w:rFonts w:ascii="Times New Roman" w:cs="Times New Roman" w:eastAsia="Times New Roman" w:hAnsi="Times New Roman"/>
          <w:sz w:val="20"/>
          <w:szCs w:val="20"/>
          <w:color w:val="auto"/>
        </w:rPr>
        <w:t>, age 58. Mr. Horn was appointed as a member of the Board of Directors in February 2026. Mr. Horn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has served as President and Chief Financial Officer of Seer, Inc. since 2023, having originally joined the company as Chief Financial Officer in 2020, where he oversees finance and operational functions and works closely with the board and management team on strategic planning, capital markets execution, and long- term value creation. Prior to joining Seer, Mr. Horn spent more than 20 years at Morgan Stanley, where he served as a Managing Director in the Healthcare Investment Banking Group, leading Morgan Stanley’s global Life Science Tools and Diagnostics practice and overseeing the firm’s Western Region Healthcare practice, advising public and private healthcare companies on capital markets transactions, mergers and acquisitions, and strategic initiatives. Earlier in his career, Mr. Horn served as Vice President of Business Development at RITA Medical Systems and previously in the same role at Chemdex Corporation. Mr. Horn holds an A.B. from Princeton University and an M.B.A. from the Stanford University Graduate School of Business. Mr. Horn’s term expires in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Family Relationships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 are no family relationships among any of our executive officers or directors.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Executive Officers</w:t>
      </w:r>
    </w:p>
    <w:p>
      <w:pPr>
        <w:spacing w:after="0" w:line="203" w:lineRule="exact"/>
        <w:rPr>
          <w:sz w:val="20"/>
          <w:szCs w:val="20"/>
          <w:color w:val="auto"/>
        </w:rPr>
      </w:pPr>
    </w:p>
    <w:p>
      <w:pPr>
        <w:ind w:right="360"/>
        <w:spacing w:after="0" w:line="279" w:lineRule="auto"/>
        <w:rPr>
          <w:sz w:val="20"/>
          <w:szCs w:val="20"/>
          <w:color w:val="auto"/>
        </w:rPr>
      </w:pPr>
      <w:r>
        <w:rPr>
          <w:rFonts w:ascii="Times New Roman" w:cs="Times New Roman" w:eastAsia="Times New Roman" w:hAnsi="Times New Roman"/>
          <w:sz w:val="20"/>
          <w:szCs w:val="20"/>
          <w:color w:val="auto"/>
        </w:rPr>
        <w:t>The following sets forth biographical information for each of our executive officers as of the date of this Annual Report:</w:t>
      </w:r>
    </w:p>
    <w:p>
      <w:pPr>
        <w:spacing w:after="0" w:line="122"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20"/>
          <w:szCs w:val="20"/>
          <w:b w:val="1"/>
          <w:bCs w:val="1"/>
          <w:color w:val="auto"/>
        </w:rPr>
        <w:t>Ryan Rhodes</w:t>
      </w:r>
      <w:r>
        <w:rPr>
          <w:rFonts w:ascii="Times New Roman" w:cs="Times New Roman" w:eastAsia="Times New Roman" w:hAnsi="Times New Roman"/>
          <w:sz w:val="20"/>
          <w:szCs w:val="20"/>
          <w:color w:val="auto"/>
        </w:rPr>
        <w:t>, age 64,</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i w:val="1"/>
          <w:iCs w:val="1"/>
          <w:color w:val="auto"/>
        </w:rPr>
        <w:t>Chief Executive Officer</w:t>
      </w:r>
      <w:r>
        <w:rPr>
          <w:rFonts w:ascii="Times New Roman" w:cs="Times New Roman" w:eastAsia="Times New Roman" w:hAnsi="Times New Roman"/>
          <w:sz w:val="20"/>
          <w:szCs w:val="20"/>
          <w:color w:val="auto"/>
        </w:rPr>
        <w:t>. Biographical information for Mr. Rhodes is set forth above under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“Board of Directors.”</w:t>
      </w:r>
    </w:p>
    <w:p>
      <w:pPr>
        <w:spacing w:after="0" w:line="120"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0"/>
          <w:szCs w:val="20"/>
          <w:b w:val="1"/>
          <w:bCs w:val="1"/>
          <w:color w:val="auto"/>
        </w:rPr>
        <w:t xml:space="preserve">Kenneth Mobeck </w:t>
      </w:r>
      <w:r>
        <w:rPr>
          <w:rFonts w:ascii="Times New Roman" w:cs="Times New Roman" w:eastAsia="Times New Roman" w:hAnsi="Times New Roman"/>
          <w:sz w:val="20"/>
          <w:szCs w:val="20"/>
          <w:color w:val="auto"/>
        </w:rPr>
        <w:t>, age 55,</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i w:val="1"/>
          <w:iCs w:val="1"/>
          <w:color w:val="auto"/>
        </w:rPr>
        <w:t>Chief Financial Officer</w:t>
      </w:r>
      <w:r>
        <w:rPr>
          <w:rFonts w:ascii="Times New Roman" w:cs="Times New Roman" w:eastAsia="Times New Roman" w:hAnsi="Times New Roman"/>
          <w:sz w:val="20"/>
          <w:szCs w:val="20"/>
          <w:color w:val="auto"/>
        </w:rPr>
        <w:t>. Mr. Mobeck was appointed as the Company’s Chief Financial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Officer in January 2024. Prior to that position, he held the position of Chief Financial Officer of EDAP’s U.S. subsidiary since joining the company in December 2022. Mr. Mobeck is a seasoned corporate and operational finance executive with extensive experience in MedTech and technology organizations leading finance and administrative functions. Prior to joining EDAP, Mr. Mobeck served as Vice President of Finance and Investor Relations at medical device manufacturer Accuray Inc., a leading global radiation therapy company. During his tenure, he was responsible for driving several key initiatives tied to improving the company’s operating performance and strategic growth objectives. Before Accuray, he spent over two decades in positions with increasing levels of responsibility at Lumentum, Silicon Graphics, Hewlett Packard, KLA, and Intel Corporation. Mr. Mobeck holds an MBA and a BSC in Finance from the Leavey School of Business at Santa Clara University.</w:t>
      </w:r>
    </w:p>
    <w:p>
      <w:pPr>
        <w:spacing w:after="0" w:line="161"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0"/>
          <w:szCs w:val="20"/>
          <w:b w:val="1"/>
          <w:bCs w:val="1"/>
          <w:color w:val="auto"/>
        </w:rPr>
        <w:t>François Dietsch</w:t>
      </w:r>
      <w:r>
        <w:rPr>
          <w:rFonts w:ascii="Times New Roman" w:cs="Times New Roman" w:eastAsia="Times New Roman" w:hAnsi="Times New Roman"/>
          <w:sz w:val="20"/>
          <w:szCs w:val="20"/>
          <w:color w:val="auto"/>
        </w:rPr>
        <w:t>, age 50,</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i w:val="1"/>
          <w:iCs w:val="1"/>
          <w:color w:val="auto"/>
        </w:rPr>
        <w:t>Chief Accounting Officer</w:t>
      </w:r>
      <w:r>
        <w:rPr>
          <w:rFonts w:ascii="Times New Roman" w:cs="Times New Roman" w:eastAsia="Times New Roman" w:hAnsi="Times New Roman"/>
          <w:sz w:val="20"/>
          <w:szCs w:val="20"/>
          <w:color w:val="auto"/>
        </w:rPr>
        <w:t>. Mr. Dietsch was appointed as the Company’s Chief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Accounting Officer in January 2024. Prior to that position, Mr. Dietsch held the position of Chief Financial Officer of the Company since July 2015. Mr. Dietsch joined EDAP in 2005 as Internal Audit and Consolidation Manager and in 2012 was promoted to Group Financial Control Manager and Finance Manager of EDAP’s French subsidiary. Prior to joining EDAP, he held finance positions at Valeo, a leading global supplier of components and systems to the automotive industry. He holds master’s degrees in Management and Corporate Finance from the University of Paris Dauphine.</w:t>
      </w:r>
    </w:p>
    <w:p>
      <w:pPr>
        <w:spacing w:after="0" w:line="153"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20"/>
          <w:szCs w:val="20"/>
          <w:b w:val="1"/>
          <w:bCs w:val="1"/>
          <w:color w:val="auto"/>
        </w:rPr>
        <w:t>Steven Annen</w:t>
      </w:r>
      <w:r>
        <w:rPr>
          <w:rFonts w:ascii="Times New Roman" w:cs="Times New Roman" w:eastAsia="Times New Roman" w:hAnsi="Times New Roman"/>
          <w:sz w:val="20"/>
          <w:szCs w:val="20"/>
          <w:color w:val="auto"/>
        </w:rPr>
        <w:t>, age 62,</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i w:val="1"/>
          <w:iCs w:val="1"/>
          <w:color w:val="auto"/>
        </w:rPr>
        <w:t>Executive Vice President, Marketing and Product Management</w:t>
      </w:r>
      <w:r>
        <w:rPr>
          <w:rFonts w:ascii="Times New Roman" w:cs="Times New Roman" w:eastAsia="Times New Roman" w:hAnsi="Times New Roman"/>
          <w:sz w:val="20"/>
          <w:szCs w:val="20"/>
          <w:color w:val="auto"/>
        </w:rPr>
        <w:t>. Mr. Annen was appointed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as the Company’s Executive Vice President of Marketing and Product Management in December 2025. Prior to that position, Mr. Annen held the position of Senior Vice President of Marketing and Product Management of the Company since August 2023. Mr. Annen has over 30 years of experience in surgical robotics and instruments, radiation therapy, and image-guided industrial robotic systems. Prior to joining EDAP, Mr. Annen served as Senior Vice President of Global Marketing and Product Management at ViewRay, a leading provider of MR-guided radiation therapy for four years, and as Vice President of Product Management and Strategy at Invuity, a provider of surgical instruments for breast cancer surgery. Prior to these roles, Mr. Annen led the product marketing function at Intuitive Surgical and held positions of increasing levels of responsibility in marketing and strategy at Grabit, Veeco Instruments and Adept Technology. Mr. Annen holds a Master’s degree in Mechanical Engineering from the University of Wisconsin-Madison and a Bachelor’s degree in Mechanical Engineering from Rutgers University.</w:t>
      </w:r>
    </w:p>
    <w:p>
      <w:pPr>
        <w:spacing w:after="0" w:line="160" w:lineRule="exact"/>
        <w:rPr>
          <w:sz w:val="20"/>
          <w:szCs w:val="20"/>
          <w:color w:val="auto"/>
        </w:rPr>
      </w:pPr>
    </w:p>
    <w:p>
      <w:pPr>
        <w:ind w:right="200"/>
        <w:spacing w:after="0" w:line="250" w:lineRule="auto"/>
        <w:rPr>
          <w:sz w:val="20"/>
          <w:szCs w:val="20"/>
          <w:color w:val="auto"/>
        </w:rPr>
      </w:pPr>
      <w:r>
        <w:rPr>
          <w:rFonts w:ascii="Times New Roman" w:cs="Times New Roman" w:eastAsia="Times New Roman" w:hAnsi="Times New Roman"/>
          <w:sz w:val="20"/>
          <w:szCs w:val="20"/>
          <w:b w:val="1"/>
          <w:bCs w:val="1"/>
          <w:color w:val="auto"/>
        </w:rPr>
        <w:t>Sanket Shah</w:t>
      </w:r>
      <w:r>
        <w:rPr>
          <w:rFonts w:ascii="Times New Roman" w:cs="Times New Roman" w:eastAsia="Times New Roman" w:hAnsi="Times New Roman"/>
          <w:sz w:val="20"/>
          <w:szCs w:val="20"/>
          <w:color w:val="auto"/>
        </w:rPr>
        <w:t>, Age 43,</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i w:val="1"/>
          <w:iCs w:val="1"/>
          <w:color w:val="auto"/>
        </w:rPr>
        <w:t>General Counsel and Corporate Secretary</w:t>
      </w:r>
      <w:r>
        <w:rPr>
          <w:rFonts w:ascii="Times New Roman" w:cs="Times New Roman" w:eastAsia="Times New Roman" w:hAnsi="Times New Roman"/>
          <w:sz w:val="20"/>
          <w:szCs w:val="20"/>
          <w:color w:val="auto"/>
        </w:rPr>
        <w:t>. Mr. Shah was appointed as the Company’s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General Counsel and Corporate Secretary in September 2025. Mr. Shah brings more than 15 years of legal and business leadership experience supporting high-growth companies, including those in the medical device industry. Prior to joining EDAP, Mr. Shah served as Deputy General Counsel and Assistant Corporate Secretary at Paragon 28, Inc., a medical device company that specialized exclusively in foot and ankle orthopedic solutions. Earlier,</w:t>
      </w:r>
    </w:p>
    <w:p>
      <w:pPr>
        <w:sectPr>
          <w:pgSz w:w="11900" w:h="16838" w:orient="portrait"/>
          <w:cols w:equalWidth="0" w:num="1">
            <w:col w:w="9360"/>
          </w:cols>
          <w:pgMar w:left="1260" w:top="1243" w:right="1286" w:bottom="723" w:gutter="0" w:footer="0" w:header="0"/>
        </w:sectPr>
      </w:pPr>
    </w:p>
    <w:p>
      <w:pPr>
        <w:spacing w:after="0" w:line="200" w:lineRule="exact"/>
        <w:rPr>
          <w:sz w:val="20"/>
          <w:szCs w:val="20"/>
          <w:color w:val="auto"/>
        </w:rPr>
      </w:pPr>
    </w:p>
    <w:p>
      <w:pPr>
        <w:spacing w:after="0" w:line="2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58</w:t>
      </w:r>
    </w:p>
    <w:p>
      <w:pPr>
        <w:sectPr>
          <w:pgSz w:w="11900" w:h="16838" w:orient="portrait"/>
          <w:cols w:equalWidth="0" w:num="1">
            <w:col w:w="9360"/>
          </w:cols>
          <w:pgMar w:left="1260" w:top="1243" w:right="1286" w:bottom="723" w:gutter="0" w:footer="0" w:header="0"/>
          <w:type w:val="continuous"/>
        </w:sectPr>
      </w:pPr>
    </w:p>
    <w:bookmarkStart w:id="112" w:name="page113"/>
    <w:bookmarkEnd w:id="112"/>
    <w:p>
      <w:pPr>
        <w:ind w:right="80"/>
        <w:spacing w:after="0" w:line="249"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795655</wp:posOffset>
            </wp:positionH>
            <wp:positionV relativeFrom="page">
              <wp:posOffset>292735</wp:posOffset>
            </wp:positionV>
            <wp:extent cx="929005" cy="1149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153">
                      <a:extLst>
                        <a:ext uri="{28A0092B-C50C-407E-A947-70E740481C1C}"/>
                      </a:extLst>
                    </a:blip>
                    <a:srcRect/>
                    <a:stretch>
                      <a:fillRect/>
                    </a:stretch>
                  </pic:blipFill>
                  <pic:spPr bwMode="auto">
                    <a:xfrm>
                      <a:off x="0" y="0"/>
                      <a:ext cx="929005" cy="114935"/>
                    </a:xfrm>
                    <a:prstGeom prst="rect">
                      <a:avLst/>
                    </a:prstGeom>
                    <a:noFill/>
                  </pic:spPr>
                </pic:pic>
              </a:graphicData>
            </a:graphic>
          </wp:anchor>
        </w:drawing>
        <w:t>Mr. Shah spent four years at ViewRay, a leading provider of MRI-guided radiation therapy systems, where he was appointed as General Counsel and Corporate Secretary. Before joining ViewRay, Mr. Shah served as counsel in highly regulated industries where he advised on complex commercial, compliance, and regulatory matters involving medical devices and global operations. Mr. Shah holds a B.S. in Business Administration from the Ohio State University and a J.D. from the University of Illinois Chicago School of Law.</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Board Leadership and Corporate Governance</w:t>
      </w:r>
    </w:p>
    <w:p>
      <w:pPr>
        <w:spacing w:after="0" w:line="203"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20"/>
          <w:szCs w:val="20"/>
          <w:color w:val="auto"/>
        </w:rPr>
        <w:t>Dr. Lance Willsey serves as Chairman of the Board of Directors. Our governance framework provides the Board of Directors with flexibility to select the appropriate board leadership structure for the Company. Our Board of Directors believes that it is in the best interest of the Company and its shareholders for Dr. Willsey to continue to serve as Chairman of the Board of Directors.</w:t>
      </w:r>
    </w:p>
    <w:p>
      <w:pPr>
        <w:spacing w:after="0" w:line="151" w:lineRule="exact"/>
        <w:rPr>
          <w:sz w:val="20"/>
          <w:szCs w:val="20"/>
          <w:color w:val="auto"/>
        </w:rPr>
      </w:pPr>
    </w:p>
    <w:p>
      <w:pPr>
        <w:ind w:right="320"/>
        <w:spacing w:after="0" w:line="279" w:lineRule="auto"/>
        <w:rPr>
          <w:sz w:val="20"/>
          <w:szCs w:val="20"/>
          <w:color w:val="auto"/>
        </w:rPr>
      </w:pPr>
      <w:r>
        <w:rPr>
          <w:rFonts w:ascii="Times New Roman" w:cs="Times New Roman" w:eastAsia="Times New Roman" w:hAnsi="Times New Roman"/>
          <w:sz w:val="20"/>
          <w:szCs w:val="20"/>
          <w:color w:val="auto"/>
        </w:rPr>
        <w:t>Because the Board of Directors currently has an independent chairman, the Board of Directors does not currently utilize a lead independent director.</w:t>
      </w:r>
    </w:p>
    <w:p>
      <w:pPr>
        <w:spacing w:after="0" w:line="125"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Although our Chairman and Chief Executive Officer positions are currently separated, our Board of Directors does not have a policy that requires the combination or separation of these roles. Given the dynamic and competitive environment in which we operate, the Board of Directors continues to believe that retaining the flexibility to vary the leadership structure as appropriate based on certain circumstances over time is in the best interests of the Company and its shareholders at this time.</w:t>
      </w:r>
    </w:p>
    <w:p>
      <w:pPr>
        <w:spacing w:after="0" w:line="156" w:lineRule="exact"/>
        <w:rPr>
          <w:sz w:val="20"/>
          <w:szCs w:val="20"/>
          <w:color w:val="auto"/>
        </w:rPr>
      </w:pPr>
    </w:p>
    <w:p>
      <w:pPr>
        <w:ind w:right="160"/>
        <w:spacing w:after="0" w:line="244" w:lineRule="auto"/>
        <w:rPr>
          <w:sz w:val="20"/>
          <w:szCs w:val="20"/>
          <w:color w:val="auto"/>
        </w:rPr>
      </w:pPr>
      <w:r>
        <w:rPr>
          <w:rFonts w:ascii="Times New Roman" w:cs="Times New Roman" w:eastAsia="Times New Roman" w:hAnsi="Times New Roman"/>
          <w:sz w:val="20"/>
          <w:szCs w:val="20"/>
          <w:color w:val="auto"/>
        </w:rPr>
        <w:t>Our corporate governance framework enables our Board of Directors and management to pursue our goals and strategic objectives in seeking to maximize long-term shareholder value. Our Board of Directors has adopted corporate governance guidelines that set forth the role of our Board of Directors, board composition and structure (including independence requirements), board membership criteria, and other governance policies. In addition, our Board of Directors has adopted written charters for its standing committees (audit, compensation, and nomination), as well as certain other policies, as detailed below. The Board of Directors is committed to sound corporate governance and regularly evaluates its practices to ensure alignment with our strategy and execution and seek opportunities for improvement. Annually, the Board of Directors considers updates to our corporate governance framework based on shareholder feedback, results from the annual general shareholders meeting, the Board of Directors and committees’ self-assessments, governance best practices, and regulatory developments.</w:t>
      </w:r>
    </w:p>
    <w:p>
      <w:pPr>
        <w:spacing w:after="0" w:line="163" w:lineRule="exact"/>
        <w:rPr>
          <w:sz w:val="20"/>
          <w:szCs w:val="20"/>
          <w:color w:val="auto"/>
        </w:rPr>
      </w:pPr>
    </w:p>
    <w:p>
      <w:pPr>
        <w:jc w:val="both"/>
        <w:ind w:right="300"/>
        <w:spacing w:after="0" w:line="247" w:lineRule="auto"/>
        <w:rPr>
          <w:sz w:val="20"/>
          <w:szCs w:val="20"/>
          <w:color w:val="auto"/>
        </w:rPr>
      </w:pPr>
      <w:r>
        <w:rPr>
          <w:rFonts w:ascii="Times New Roman" w:cs="Times New Roman" w:eastAsia="Times New Roman" w:hAnsi="Times New Roman"/>
          <w:sz w:val="20"/>
          <w:szCs w:val="20"/>
          <w:color w:val="auto"/>
        </w:rPr>
        <w:t>Our Board of Directors has adopted corporate governance guidelines, written charters for its standing committees (audit, compensation, and nominations), and the following governance policies, each of which is available on our website at https://investor.focalone.com/corporate-governance: Code of Business Conduct and Ethics; Corporate Governance Guidelines; Related Party Transactions Policy; Shareholder Communications Policy; Regulation FD Policy; Disclosure Controls Policy; Clawback Policy; Insider Trading Policy; Compensation Committee Charter; Audit Committee Charter; and Nominations Committee Charter.</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Code of Business Conduct and Ethics</w:t>
      </w:r>
    </w:p>
    <w:p>
      <w:pPr>
        <w:spacing w:after="0" w:line="203"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20"/>
          <w:szCs w:val="20"/>
          <w:color w:val="auto"/>
        </w:rPr>
        <w:t>We have adopted a Code of Business Conduct and Ethics (the “Code of Conduct”) that is applicable to all of our directors, officers (including the principal executive officer, principal financial officer and principal accounting officer), employees, consultants, independent contractors and agents. A copy of the Code of Conduct is available on our website at https://investor.focalone.com/corporate-governance. The audit committee is responsible for overseeing the Code of Conduct. Any waiver of any part of the Code of Conduct must be approved by our Chief Executive Officer or Chief Financial Officer, or in the case of officers (as such term is defined in Rule 16a-1(f) of the Exchange Act) and directors, the vote of a majority of the disinterested members of the Board of Directors or audit committee. We expect that any amendments to the Code of Conduct or waivers of its requirements required to be disclosed under the rules of the SEC or Nasdaq will be disclosed on our website.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Insider Trading and Anti-Hedging/Pledging Policies</w:t>
      </w:r>
    </w:p>
    <w:p>
      <w:pPr>
        <w:spacing w:after="0" w:line="203"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20"/>
          <w:szCs w:val="20"/>
          <w:color w:val="auto"/>
        </w:rPr>
        <w:t>We have an Insider Trading Policy that provides guidelines with respect to transactions in the securities of the Company and its subsidiaries and the handling of material nonpublic information about the Company and the companies with which the Company has a business relationship or with which the Company is discussing a potential transaction. The Insider Trading Policy applies to any director, officer, employee, associate, or independent contractor or consultant of the Company who receives, directly or indirectly, material nonpublic information about</w:t>
      </w:r>
    </w:p>
    <w:p>
      <w:pPr>
        <w:sectPr>
          <w:pgSz w:w="11900" w:h="16838" w:orient="portrait"/>
          <w:cols w:equalWidth="0" w:num="1">
            <w:col w:w="9380"/>
          </w:cols>
          <w:pgMar w:left="1260" w:top="1247" w:right="1266" w:bottom="72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59</w:t>
      </w:r>
    </w:p>
    <w:p>
      <w:pPr>
        <w:sectPr>
          <w:pgSz w:w="11900" w:h="16838" w:orient="portrait"/>
          <w:cols w:equalWidth="0" w:num="1">
            <w:col w:w="9380"/>
          </w:cols>
          <w:pgMar w:left="1260" w:top="1247" w:right="1266" w:bottom="723" w:gutter="0" w:footer="0" w:header="0"/>
          <w:type w:val="continuous"/>
        </w:sectPr>
      </w:pPr>
    </w:p>
    <w:bookmarkStart w:id="113" w:name="page114"/>
    <w:bookmarkEnd w:id="113"/>
    <w:p>
      <w:pPr>
        <w:ind w:right="60"/>
        <w:spacing w:after="0" w:line="279"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795655</wp:posOffset>
            </wp:positionH>
            <wp:positionV relativeFrom="page">
              <wp:posOffset>292735</wp:posOffset>
            </wp:positionV>
            <wp:extent cx="929005" cy="1149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154">
                      <a:extLst>
                        <a:ext uri="{28A0092B-C50C-407E-A947-70E740481C1C}"/>
                      </a:extLst>
                    </a:blip>
                    <a:srcRect/>
                    <a:stretch>
                      <a:fillRect/>
                    </a:stretch>
                  </pic:blipFill>
                  <pic:spPr bwMode="auto">
                    <a:xfrm>
                      <a:off x="0" y="0"/>
                      <a:ext cx="929005" cy="114935"/>
                    </a:xfrm>
                    <a:prstGeom prst="rect">
                      <a:avLst/>
                    </a:prstGeom>
                    <a:noFill/>
                  </pic:spPr>
                </pic:pic>
              </a:graphicData>
            </a:graphic>
          </wp:anchor>
        </w:drawing>
        <w:t>the Company and the companies with which the Company has a business relationship or with which the Company is discussing a potential transaction, or any other person designated by the Company’s General Counsel.</w:t>
      </w:r>
    </w:p>
    <w:p>
      <w:pPr>
        <w:spacing w:after="0" w:line="125" w:lineRule="exact"/>
        <w:rPr>
          <w:sz w:val="20"/>
          <w:szCs w:val="20"/>
          <w:color w:val="auto"/>
        </w:rPr>
      </w:pPr>
    </w:p>
    <w:p>
      <w:pPr>
        <w:ind w:right="120"/>
        <w:spacing w:after="0" w:line="246" w:lineRule="auto"/>
        <w:rPr>
          <w:sz w:val="20"/>
          <w:szCs w:val="20"/>
          <w:color w:val="auto"/>
        </w:rPr>
      </w:pPr>
      <w:r>
        <w:rPr>
          <w:rFonts w:ascii="Times New Roman" w:cs="Times New Roman" w:eastAsia="Times New Roman" w:hAnsi="Times New Roman"/>
          <w:sz w:val="20"/>
          <w:szCs w:val="20"/>
          <w:color w:val="auto"/>
        </w:rPr>
        <w:t>We believe that our Insider Trading Policy is reasonably designed to promote compliance with federal, state and foreign securities laws that prohibit certain persons who are aware of material nonpublic information about the Company and any company with whom the Company has a business relationship or with whom the Company is discussing a potential transaction from (i) trading in securities of that company; or (ii) providing material nonpublic information to other persons who may trade on the basis of that information. In addition, with regards to the Company’s trading in its own securities, it is the policy of the Company to comply with applicable U.S. securities laws and exchange listing requirements.</w:t>
      </w:r>
    </w:p>
    <w:p>
      <w:pPr>
        <w:spacing w:after="0" w:line="160" w:lineRule="exact"/>
        <w:rPr>
          <w:sz w:val="20"/>
          <w:szCs w:val="20"/>
          <w:color w:val="auto"/>
        </w:rPr>
      </w:pPr>
    </w:p>
    <w:p>
      <w:pPr>
        <w:ind w:right="440"/>
        <w:spacing w:after="0" w:line="252" w:lineRule="auto"/>
        <w:rPr>
          <w:sz w:val="20"/>
          <w:szCs w:val="20"/>
          <w:color w:val="auto"/>
        </w:rPr>
      </w:pPr>
      <w:r>
        <w:rPr>
          <w:rFonts w:ascii="Times New Roman" w:cs="Times New Roman" w:eastAsia="Times New Roman" w:hAnsi="Times New Roman"/>
          <w:sz w:val="20"/>
          <w:szCs w:val="20"/>
          <w:color w:val="auto"/>
        </w:rPr>
        <w:t>Additionally, our Insider Trading Policy makes clear that all subject persons are prohibited from engaging in hedging or monetization transactions, including those accomplished using financial instruments such as prepaid variable forwards, equity swaps, collars and exchange funds. A copy of our Insider Trading Policy was filed as Exhibit 19.1 to this Annual Report.</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Director Independence</w:t>
      </w:r>
    </w:p>
    <w:p>
      <w:pPr>
        <w:spacing w:after="0" w:line="203"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20"/>
          <w:szCs w:val="20"/>
          <w:color w:val="auto"/>
        </w:rPr>
        <w:t>Our nominations committee and our Board of Directors have undertaken a review of the independence of the directors using the current standards for “independence” established by Nasdaq and considered whether any director has a material relationship with us that could compromise his or her ability to exercise independent judgment in carrying out the responsibilities of a director. As a result of this review, our Board of Directors determined that Mr. David Horn, who was provisionally appointed to the Board of Directors on February 11, 2026 and is subject to ratification by our shareholders at our Annual General Meeting, Dr. Lance Willsey, Ms. Fran Schulz and Mr. Josh Levine, who currently serve on our Board of Directors, are “independent directors” as that term is defined under the applicable rules and regulations of the SEC and Nasdaq. In making these determinations, our Board of Directors considered the relationships that each non-employee director has with us and all other facts and circumstances our Board of Directors deemed relevant in determining the director’s independence, including the number of Ordinary Shares beneficially owned by the director and his or her affiliated entities, if any. For more information, see “Certain Relationships and Related Transactions-Other Relationships.”</w:t>
      </w:r>
    </w:p>
    <w:p>
      <w:pPr>
        <w:spacing w:after="0" w:line="166" w:lineRule="exact"/>
        <w:rPr>
          <w:sz w:val="20"/>
          <w:szCs w:val="20"/>
          <w:color w:val="auto"/>
        </w:rPr>
      </w:pPr>
    </w:p>
    <w:p>
      <w:pPr>
        <w:ind w:right="20"/>
        <w:spacing w:after="0" w:line="279" w:lineRule="auto"/>
        <w:rPr>
          <w:sz w:val="20"/>
          <w:szCs w:val="20"/>
          <w:color w:val="auto"/>
        </w:rPr>
      </w:pPr>
      <w:r>
        <w:rPr>
          <w:rFonts w:ascii="Times New Roman" w:cs="Times New Roman" w:eastAsia="Times New Roman" w:hAnsi="Times New Roman"/>
          <w:sz w:val="20"/>
          <w:szCs w:val="20"/>
          <w:color w:val="auto"/>
        </w:rPr>
        <w:t>Shares beneficially owned by the director and his or her affiliated entities, if any. For more information, see “Certain Relationships and Related Transactions-Other Relationships.”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Role of the Board in Risk Oversight</w:t>
      </w:r>
    </w:p>
    <w:p>
      <w:pPr>
        <w:spacing w:after="0" w:line="203" w:lineRule="exact"/>
        <w:rPr>
          <w:sz w:val="20"/>
          <w:szCs w:val="20"/>
          <w:color w:val="auto"/>
        </w:rPr>
      </w:pPr>
    </w:p>
    <w:p>
      <w:pPr>
        <w:ind w:right="140"/>
        <w:spacing w:after="0" w:line="249" w:lineRule="auto"/>
        <w:rPr>
          <w:sz w:val="20"/>
          <w:szCs w:val="20"/>
          <w:color w:val="auto"/>
        </w:rPr>
      </w:pPr>
      <w:r>
        <w:rPr>
          <w:rFonts w:ascii="Times New Roman" w:cs="Times New Roman" w:eastAsia="Times New Roman" w:hAnsi="Times New Roman"/>
          <w:sz w:val="20"/>
          <w:szCs w:val="20"/>
          <w:color w:val="auto"/>
        </w:rPr>
        <w:t>The Board of Directors and its committees have an active role in overseeing management of the Company’s risks. The Board of Directors regularly reviews information regarding the Company’s credit, liquidity and operations, as well as the risks associated with each. The Board of Directors is also responsible for overseeing management’s review and implementation of appropriate cybersecurity, privacy and cyber risk mitigation measures, including any to ensure compliance with any applicable laws, rules and regulations.</w:t>
      </w:r>
    </w:p>
    <w:p>
      <w:pPr>
        <w:spacing w:after="0" w:line="156"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20"/>
          <w:szCs w:val="20"/>
          <w:color w:val="auto"/>
        </w:rPr>
        <w:t>The Company’s compensation committee is responsible for overseeing the management of risks relating to the Company’s executive compensation plans and arrangements. The audit committee oversees management of financial risks. The nominations committee manages risks associated with the independence of the Board of Directors and potential conflicts of interest. Although each committee is responsible for evaluating certain risks and overseeing the management of such risks, the entire Board of Directors is regularly informed through committee reports about such risks.</w:t>
      </w:r>
    </w:p>
    <w:p>
      <w:pPr>
        <w:spacing w:after="0" w:line="156"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20"/>
          <w:szCs w:val="20"/>
          <w:color w:val="auto"/>
        </w:rPr>
        <w:t>While our Board of Directors oversees our risk management, our management is responsible for day- to-day risk management processes. We believe this division of responsibilities is the most effective approach for addressing the risks we face.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Board Committees</w:t>
      </w:r>
    </w:p>
    <w:p>
      <w:pPr>
        <w:spacing w:after="0" w:line="203"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20"/>
          <w:szCs w:val="20"/>
          <w:color w:val="auto"/>
        </w:rPr>
        <w:t>The Board of Directors has established an audit committee, a compensation committee and a nominations committee, each of which operates pursuant to a separate charter adopted by our Board of Directors. The charters of each of the Company’s board committees and other governance materials can be accessed on our website at https://investor.focalone.com/corporate-governance. The composition and functioning of all of our committees complies with all applicable requirements of the French Commercial Code, the Exchange Act, and Nasdaq and SEC</w:t>
      </w:r>
    </w:p>
    <w:p>
      <w:pPr>
        <w:sectPr>
          <w:pgSz w:w="11900" w:h="16838" w:orient="portrait"/>
          <w:cols w:equalWidth="0" w:num="1">
            <w:col w:w="9380"/>
          </w:cols>
          <w:pgMar w:left="1260" w:top="1247" w:right="1266" w:bottom="723"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60</w:t>
      </w:r>
    </w:p>
    <w:p>
      <w:pPr>
        <w:sectPr>
          <w:pgSz w:w="11900" w:h="16838" w:orient="portrait"/>
          <w:cols w:equalWidth="0" w:num="1">
            <w:col w:w="9380"/>
          </w:cols>
          <w:pgMar w:left="1260" w:top="1247" w:right="1266" w:bottom="723" w:gutter="0" w:footer="0" w:header="0"/>
          <w:type w:val="continuous"/>
        </w:sectPr>
      </w:pPr>
    </w:p>
    <w:bookmarkStart w:id="114" w:name="page115"/>
    <w:bookmarkEnd w:id="114"/>
    <w:p>
      <w:pPr>
        <w:ind w:right="60"/>
        <w:spacing w:after="0" w:line="247"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795655</wp:posOffset>
            </wp:positionH>
            <wp:positionV relativeFrom="page">
              <wp:posOffset>292735</wp:posOffset>
            </wp:positionV>
            <wp:extent cx="929005" cy="1149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155">
                      <a:extLst>
                        <a:ext uri="{28A0092B-C50C-407E-A947-70E740481C1C}"/>
                      </a:extLst>
                    </a:blip>
                    <a:srcRect/>
                    <a:stretch>
                      <a:fillRect/>
                    </a:stretch>
                  </pic:blipFill>
                  <pic:spPr bwMode="auto">
                    <a:xfrm>
                      <a:off x="0" y="0"/>
                      <a:ext cx="929005" cy="114935"/>
                    </a:xfrm>
                    <a:prstGeom prst="rect">
                      <a:avLst/>
                    </a:prstGeom>
                    <a:noFill/>
                  </pic:spPr>
                </pic:pic>
              </a:graphicData>
            </a:graphic>
          </wp:anchor>
        </w:drawing>
        <w:t xml:space="preserve">rules and regulations. In accordance with French law, committees of our Board of Directors only have an advisory role for matters falling into the competence of the Board of Directors under French law and can only make recommendations to our Board of Directors in this respect. As a result, such decisions are made by our Board of Directors taking into account non-binding recommendations of the relevant board committee. In addition, special </w:t>
      </w:r>
      <w:r>
        <w:rPr>
          <w:rFonts w:ascii="Times New Roman" w:cs="Times New Roman" w:eastAsia="Times New Roman" w:hAnsi="Times New Roman"/>
          <w:sz w:val="20"/>
          <w:szCs w:val="20"/>
          <w:i w:val="1"/>
          <w:iCs w:val="1"/>
          <w:color w:val="auto"/>
        </w:rPr>
        <w:t>ad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hoc </w:t>
      </w:r>
      <w:r>
        <w:rPr>
          <w:rFonts w:ascii="Times New Roman" w:cs="Times New Roman" w:eastAsia="Times New Roman" w:hAnsi="Times New Roman"/>
          <w:sz w:val="20"/>
          <w:szCs w:val="20"/>
          <w:color w:val="auto"/>
        </w:rPr>
        <w:t>committees of the Board of Directors may be created from time to time to assist the Board of Directors with</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special projects and other matters, including M&amp;A and other strategic options.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Audit Committee</w:t>
      </w:r>
    </w:p>
    <w:p>
      <w:pPr>
        <w:spacing w:after="0" w:line="20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auto"/>
        </w:rPr>
        <w:t>Membership</w:t>
      </w:r>
    </w:p>
    <w:p>
      <w:pPr>
        <w:spacing w:after="0" w:line="196"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0"/>
          <w:szCs w:val="20"/>
          <w:color w:val="auto"/>
        </w:rPr>
        <w:t>The Board of Directors’ audit committee is comprised of the following independent members of the Board: Ms. Fran Schulz, acting as Chairperson of the audit committee and financial expert, Mr. Josh Levine and Mr. David Horn. Our Board of Directors has determined that each member of the audit committee is independent within the meaning of applicable Nasdaq and SEC rules and the independence requirements contemplated by Rule 10A-3 under the Exchange Act.</w:t>
      </w:r>
    </w:p>
    <w:p>
      <w:pPr>
        <w:spacing w:after="0" w:line="15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auto"/>
        </w:rPr>
        <w:t>Description and Responsibilities</w:t>
      </w:r>
    </w:p>
    <w:p>
      <w:pPr>
        <w:spacing w:after="0" w:line="196" w:lineRule="exact"/>
        <w:rPr>
          <w:sz w:val="20"/>
          <w:szCs w:val="20"/>
          <w:color w:val="auto"/>
        </w:rPr>
      </w:pPr>
    </w:p>
    <w:p>
      <w:pPr>
        <w:ind w:right="820"/>
        <w:spacing w:after="0" w:line="279" w:lineRule="auto"/>
        <w:rPr>
          <w:sz w:val="20"/>
          <w:szCs w:val="20"/>
          <w:color w:val="auto"/>
        </w:rPr>
      </w:pPr>
      <w:r>
        <w:rPr>
          <w:rFonts w:ascii="Times New Roman" w:cs="Times New Roman" w:eastAsia="Times New Roman" w:hAnsi="Times New Roman"/>
          <w:sz w:val="20"/>
          <w:szCs w:val="20"/>
          <w:color w:val="auto"/>
        </w:rPr>
        <w:t>The primary purpose of the audit committee is to assist the Board of Directors in fulfilling their oversight responsibility to the shareholders, potential shareholders, the investment community and others relating to:</w:t>
      </w:r>
    </w:p>
    <w:p>
      <w:pPr>
        <w:spacing w:after="0" w:line="140" w:lineRule="exact"/>
        <w:rPr>
          <w:sz w:val="20"/>
          <w:szCs w:val="20"/>
          <w:color w:val="auto"/>
        </w:rPr>
      </w:pPr>
    </w:p>
    <w:p>
      <w:pPr>
        <w:ind w:left="720" w:hanging="353"/>
        <w:spacing w:after="0"/>
        <w:tabs>
          <w:tab w:leader="none" w:pos="720" w:val="left"/>
        </w:tabs>
        <w:numPr>
          <w:ilvl w:val="0"/>
          <w:numId w:val="64"/>
        </w:numPr>
        <w:rPr>
          <w:rFonts w:ascii="Arial" w:cs="Arial" w:eastAsia="Arial" w:hAnsi="Arial"/>
          <w:sz w:val="20"/>
          <w:szCs w:val="20"/>
          <w:color w:val="auto"/>
        </w:rPr>
      </w:pPr>
      <w:r>
        <w:rPr>
          <w:rFonts w:ascii="Times New Roman" w:cs="Times New Roman" w:eastAsia="Times New Roman" w:hAnsi="Times New Roman"/>
          <w:sz w:val="20"/>
          <w:szCs w:val="20"/>
          <w:color w:val="auto"/>
        </w:rPr>
        <w:t>the integrity of the Company’s financial statements;</w:t>
      </w:r>
    </w:p>
    <w:p>
      <w:pPr>
        <w:spacing w:after="0" w:line="13" w:lineRule="exact"/>
        <w:rPr>
          <w:rFonts w:ascii="Arial" w:cs="Arial" w:eastAsia="Arial" w:hAnsi="Arial"/>
          <w:sz w:val="20"/>
          <w:szCs w:val="20"/>
          <w:color w:val="auto"/>
        </w:rPr>
      </w:pPr>
    </w:p>
    <w:p>
      <w:pPr>
        <w:ind w:left="720" w:hanging="353"/>
        <w:spacing w:after="0"/>
        <w:tabs>
          <w:tab w:leader="none" w:pos="720" w:val="left"/>
        </w:tabs>
        <w:numPr>
          <w:ilvl w:val="0"/>
          <w:numId w:val="64"/>
        </w:numPr>
        <w:rPr>
          <w:rFonts w:ascii="Arial" w:cs="Arial" w:eastAsia="Arial" w:hAnsi="Arial"/>
          <w:sz w:val="20"/>
          <w:szCs w:val="20"/>
          <w:color w:val="auto"/>
        </w:rPr>
      </w:pPr>
      <w:r>
        <w:rPr>
          <w:rFonts w:ascii="Times New Roman" w:cs="Times New Roman" w:eastAsia="Times New Roman" w:hAnsi="Times New Roman"/>
          <w:sz w:val="20"/>
          <w:szCs w:val="20"/>
          <w:color w:val="auto"/>
        </w:rPr>
        <w:t>the Company’s compliance with legal and regulatory requirements;</w:t>
      </w:r>
    </w:p>
    <w:p>
      <w:pPr>
        <w:spacing w:after="0" w:line="13" w:lineRule="exact"/>
        <w:rPr>
          <w:rFonts w:ascii="Arial" w:cs="Arial" w:eastAsia="Arial" w:hAnsi="Arial"/>
          <w:sz w:val="20"/>
          <w:szCs w:val="20"/>
          <w:color w:val="auto"/>
        </w:rPr>
      </w:pPr>
    </w:p>
    <w:p>
      <w:pPr>
        <w:ind w:left="720" w:hanging="353"/>
        <w:spacing w:after="0"/>
        <w:tabs>
          <w:tab w:leader="none" w:pos="720" w:val="left"/>
        </w:tabs>
        <w:numPr>
          <w:ilvl w:val="0"/>
          <w:numId w:val="64"/>
        </w:numPr>
        <w:rPr>
          <w:rFonts w:ascii="Arial" w:cs="Arial" w:eastAsia="Arial" w:hAnsi="Arial"/>
          <w:sz w:val="20"/>
          <w:szCs w:val="20"/>
          <w:color w:val="auto"/>
        </w:rPr>
      </w:pPr>
      <w:r>
        <w:rPr>
          <w:rFonts w:ascii="Times New Roman" w:cs="Times New Roman" w:eastAsia="Times New Roman" w:hAnsi="Times New Roman"/>
          <w:sz w:val="20"/>
          <w:szCs w:val="20"/>
          <w:color w:val="auto"/>
        </w:rPr>
        <w:t>the accounting practices and financial reporting processes of the Company;</w:t>
      </w:r>
    </w:p>
    <w:p>
      <w:pPr>
        <w:spacing w:after="0" w:line="11" w:lineRule="exact"/>
        <w:rPr>
          <w:rFonts w:ascii="Arial" w:cs="Arial" w:eastAsia="Arial" w:hAnsi="Arial"/>
          <w:sz w:val="20"/>
          <w:szCs w:val="20"/>
          <w:color w:val="auto"/>
        </w:rPr>
      </w:pPr>
    </w:p>
    <w:p>
      <w:pPr>
        <w:ind w:left="720" w:right="240" w:hanging="353"/>
        <w:spacing w:after="0" w:line="247" w:lineRule="auto"/>
        <w:tabs>
          <w:tab w:leader="none" w:pos="720" w:val="left"/>
        </w:tabs>
        <w:numPr>
          <w:ilvl w:val="0"/>
          <w:numId w:val="64"/>
        </w:numPr>
        <w:rPr>
          <w:rFonts w:ascii="Arial" w:cs="Arial" w:eastAsia="Arial" w:hAnsi="Arial"/>
          <w:sz w:val="20"/>
          <w:szCs w:val="20"/>
          <w:color w:val="auto"/>
        </w:rPr>
      </w:pPr>
      <w:r>
        <w:rPr>
          <w:rFonts w:ascii="Times New Roman" w:cs="Times New Roman" w:eastAsia="Times New Roman" w:hAnsi="Times New Roman"/>
          <w:sz w:val="20"/>
          <w:szCs w:val="20"/>
          <w:color w:val="auto"/>
        </w:rPr>
        <w:t>the effectiveness of the Company’s disclosure controls and procedures and internal control over financial reporting;</w:t>
      </w:r>
    </w:p>
    <w:p>
      <w:pPr>
        <w:spacing w:after="0" w:line="1" w:lineRule="exact"/>
        <w:rPr>
          <w:rFonts w:ascii="Arial" w:cs="Arial" w:eastAsia="Arial" w:hAnsi="Arial"/>
          <w:sz w:val="20"/>
          <w:szCs w:val="20"/>
          <w:color w:val="auto"/>
        </w:rPr>
      </w:pPr>
    </w:p>
    <w:p>
      <w:pPr>
        <w:ind w:left="720" w:hanging="353"/>
        <w:spacing w:after="0"/>
        <w:tabs>
          <w:tab w:leader="none" w:pos="720" w:val="left"/>
        </w:tabs>
        <w:numPr>
          <w:ilvl w:val="0"/>
          <w:numId w:val="64"/>
        </w:numPr>
        <w:rPr>
          <w:rFonts w:ascii="Arial" w:cs="Arial" w:eastAsia="Arial" w:hAnsi="Arial"/>
          <w:sz w:val="20"/>
          <w:szCs w:val="20"/>
          <w:color w:val="auto"/>
        </w:rPr>
      </w:pPr>
      <w:r>
        <w:rPr>
          <w:rFonts w:ascii="Times New Roman" w:cs="Times New Roman" w:eastAsia="Times New Roman" w:hAnsi="Times New Roman"/>
          <w:sz w:val="20"/>
          <w:szCs w:val="20"/>
          <w:color w:val="auto"/>
        </w:rPr>
        <w:t>the independent auditor’s qualifications and independence;</w:t>
      </w:r>
    </w:p>
    <w:p>
      <w:pPr>
        <w:spacing w:after="0" w:line="13" w:lineRule="exact"/>
        <w:rPr>
          <w:rFonts w:ascii="Arial" w:cs="Arial" w:eastAsia="Arial" w:hAnsi="Arial"/>
          <w:sz w:val="20"/>
          <w:szCs w:val="20"/>
          <w:color w:val="auto"/>
        </w:rPr>
      </w:pPr>
    </w:p>
    <w:p>
      <w:pPr>
        <w:ind w:left="720" w:hanging="353"/>
        <w:spacing w:after="0"/>
        <w:tabs>
          <w:tab w:leader="none" w:pos="720" w:val="left"/>
        </w:tabs>
        <w:numPr>
          <w:ilvl w:val="0"/>
          <w:numId w:val="64"/>
        </w:numPr>
        <w:rPr>
          <w:rFonts w:ascii="Arial" w:cs="Arial" w:eastAsia="Arial" w:hAnsi="Arial"/>
          <w:sz w:val="20"/>
          <w:szCs w:val="20"/>
          <w:color w:val="auto"/>
        </w:rPr>
      </w:pPr>
      <w:r>
        <w:rPr>
          <w:rFonts w:ascii="Times New Roman" w:cs="Times New Roman" w:eastAsia="Times New Roman" w:hAnsi="Times New Roman"/>
          <w:sz w:val="20"/>
          <w:szCs w:val="20"/>
          <w:color w:val="auto"/>
        </w:rPr>
        <w:t>the performance of the Company’s internal audit function and independent auditor; and</w:t>
      </w:r>
    </w:p>
    <w:p>
      <w:pPr>
        <w:spacing w:after="0" w:line="13" w:lineRule="exact"/>
        <w:rPr>
          <w:rFonts w:ascii="Arial" w:cs="Arial" w:eastAsia="Arial" w:hAnsi="Arial"/>
          <w:sz w:val="20"/>
          <w:szCs w:val="20"/>
          <w:color w:val="auto"/>
        </w:rPr>
      </w:pPr>
    </w:p>
    <w:p>
      <w:pPr>
        <w:ind w:left="720" w:hanging="353"/>
        <w:spacing w:after="0"/>
        <w:tabs>
          <w:tab w:leader="none" w:pos="720" w:val="left"/>
        </w:tabs>
        <w:numPr>
          <w:ilvl w:val="0"/>
          <w:numId w:val="64"/>
        </w:numPr>
        <w:rPr>
          <w:rFonts w:ascii="Arial" w:cs="Arial" w:eastAsia="Arial" w:hAnsi="Arial"/>
          <w:sz w:val="20"/>
          <w:szCs w:val="20"/>
          <w:color w:val="auto"/>
        </w:rPr>
      </w:pPr>
      <w:r>
        <w:rPr>
          <w:rFonts w:ascii="Times New Roman" w:cs="Times New Roman" w:eastAsia="Times New Roman" w:hAnsi="Times New Roman"/>
          <w:sz w:val="20"/>
          <w:szCs w:val="20"/>
          <w:color w:val="auto"/>
        </w:rPr>
        <w:t>the compliance by the Company with legal and regulatory requirements related to financial reporting.</w:t>
      </w:r>
    </w:p>
    <w:p>
      <w:pPr>
        <w:spacing w:after="0" w:line="199" w:lineRule="exact"/>
        <w:rPr>
          <w:sz w:val="20"/>
          <w:szCs w:val="20"/>
          <w:color w:val="auto"/>
        </w:rPr>
      </w:pPr>
    </w:p>
    <w:p>
      <w:pPr>
        <w:ind w:right="400"/>
        <w:spacing w:after="0" w:line="279" w:lineRule="auto"/>
        <w:rPr>
          <w:sz w:val="20"/>
          <w:szCs w:val="20"/>
          <w:color w:val="auto"/>
        </w:rPr>
      </w:pPr>
      <w:r>
        <w:rPr>
          <w:rFonts w:ascii="Times New Roman" w:cs="Times New Roman" w:eastAsia="Times New Roman" w:hAnsi="Times New Roman"/>
          <w:sz w:val="20"/>
          <w:szCs w:val="20"/>
          <w:color w:val="auto"/>
        </w:rPr>
        <w:t>In addition, the audit committee prepares the report required by the rules of the SEC to be included in this proxy statement.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audit committee held four meetings in 2025.</w:t>
      </w:r>
    </w:p>
    <w:p>
      <w:pPr>
        <w:spacing w:after="0" w:line="200" w:lineRule="exact"/>
        <w:rPr>
          <w:sz w:val="20"/>
          <w:szCs w:val="20"/>
          <w:color w:val="auto"/>
        </w:rPr>
      </w:pPr>
    </w:p>
    <w:p>
      <w:pPr>
        <w:ind w:right="80"/>
        <w:spacing w:after="0" w:line="243" w:lineRule="auto"/>
        <w:rPr>
          <w:sz w:val="20"/>
          <w:szCs w:val="20"/>
          <w:color w:val="auto"/>
        </w:rPr>
      </w:pPr>
      <w:r>
        <w:rPr>
          <w:rFonts w:ascii="Times New Roman" w:cs="Times New Roman" w:eastAsia="Times New Roman" w:hAnsi="Times New Roman"/>
          <w:sz w:val="20"/>
          <w:szCs w:val="20"/>
          <w:color w:val="auto"/>
        </w:rPr>
        <w:t>Nasdaq rules require that the audit committee have the specific audit committee responsibilities and authority necessary to comply with Rule 10A-3(b)(2), (3), (4) and (5) under the Exchange Act, which requires, among other things, that the audit committee have direct responsibility for the appointment, compensation, retention and oversight of our auditors, establishment of procedures for complaints made and selection of consultants with respect to its duties. However, Rule 10A-3 provides that if the laws of a company’s home country prohibit the full Board of Directors from delegating such responsibilities to the audit committee, the audit committee’s powers with respect to such matters may instead be advisory. Under French law, our audit committee may only have an advisory role and make recommendations to our Board of Directors for matters falling into the competence of the Board of Directors under French law. Moreover, Rule 10A -3 also provides that its audit committee’s requirements do not conflict with any laws of a company’s home country that require shareholder approval of such matters. Under French law, our shareholders must appoint, or renew the appointment of, the statutory auditors once every six fiscal years. In accordance with the applicable requirements of the French Commercial Code, we have two statutory auditors.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Compensation Committee</w:t>
      </w:r>
    </w:p>
    <w:p>
      <w:pPr>
        <w:spacing w:after="0" w:line="20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auto"/>
        </w:rPr>
        <w:t>Membership</w:t>
      </w:r>
    </w:p>
    <w:p>
      <w:pPr>
        <w:spacing w:after="0" w:line="196" w:lineRule="exact"/>
        <w:rPr>
          <w:sz w:val="20"/>
          <w:szCs w:val="20"/>
          <w:color w:val="auto"/>
        </w:rPr>
      </w:pPr>
    </w:p>
    <w:p>
      <w:pPr>
        <w:ind w:right="420"/>
        <w:spacing w:after="0" w:line="279" w:lineRule="auto"/>
        <w:rPr>
          <w:sz w:val="20"/>
          <w:szCs w:val="20"/>
          <w:color w:val="auto"/>
        </w:rPr>
      </w:pPr>
      <w:r>
        <w:rPr>
          <w:rFonts w:ascii="Times New Roman" w:cs="Times New Roman" w:eastAsia="Times New Roman" w:hAnsi="Times New Roman"/>
          <w:sz w:val="20"/>
          <w:szCs w:val="20"/>
          <w:color w:val="auto"/>
        </w:rPr>
        <w:t>The compensation committee is comprised of the following independent members: Dr. Lance Willsey, Mr. Josh Levine and Ms. Fran Schulz.</w:t>
      </w:r>
    </w:p>
    <w:p>
      <w:pPr>
        <w:sectPr>
          <w:pgSz w:w="11900" w:h="16838" w:orient="portrait"/>
          <w:cols w:equalWidth="0" w:num="1">
            <w:col w:w="9380"/>
          </w:cols>
          <w:pgMar w:left="1260" w:top="1247" w:right="1266" w:bottom="72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61</w:t>
      </w:r>
    </w:p>
    <w:p>
      <w:pPr>
        <w:sectPr>
          <w:pgSz w:w="11900" w:h="16838" w:orient="portrait"/>
          <w:cols w:equalWidth="0" w:num="1">
            <w:col w:w="9380"/>
          </w:cols>
          <w:pgMar w:left="1260" w:top="1247" w:right="1266" w:bottom="723" w:gutter="0" w:footer="0" w:header="0"/>
          <w:type w:val="continuous"/>
        </w:sectPr>
      </w:pPr>
    </w:p>
    <w:bookmarkStart w:id="115" w:name="page116"/>
    <w:bookmarkEnd w:id="115"/>
    <w:p>
      <w:pPr>
        <w:ind w:left="720"/>
        <w:spacing w:after="0"/>
        <w:rPr>
          <w:sz w:val="20"/>
          <w:szCs w:val="20"/>
          <w:color w:val="auto"/>
        </w:rPr>
      </w:pPr>
      <w:r>
        <w:rPr>
          <w:rFonts w:ascii="Times New Roman" w:cs="Times New Roman" w:eastAsia="Times New Roman" w:hAnsi="Times New Roman"/>
          <w:sz w:val="20"/>
          <w:szCs w:val="20"/>
          <w:i w:val="1"/>
          <w:iCs w:val="1"/>
          <w:color w:val="auto"/>
        </w:rPr>
        <w:drawing>
          <wp:anchor simplePos="0" relativeHeight="251657728" behindDoc="1" locked="0" layoutInCell="0" allowOverlap="1">
            <wp:simplePos x="0" y="0"/>
            <wp:positionH relativeFrom="page">
              <wp:posOffset>795655</wp:posOffset>
            </wp:positionH>
            <wp:positionV relativeFrom="page">
              <wp:posOffset>292735</wp:posOffset>
            </wp:positionV>
            <wp:extent cx="929005" cy="1149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156">
                      <a:extLst>
                        <a:ext uri="{28A0092B-C50C-407E-A947-70E740481C1C}"/>
                      </a:extLst>
                    </a:blip>
                    <a:srcRect/>
                    <a:stretch>
                      <a:fillRect/>
                    </a:stretch>
                  </pic:blipFill>
                  <pic:spPr bwMode="auto">
                    <a:xfrm>
                      <a:off x="0" y="0"/>
                      <a:ext cx="929005" cy="114935"/>
                    </a:xfrm>
                    <a:prstGeom prst="rect">
                      <a:avLst/>
                    </a:prstGeom>
                    <a:noFill/>
                  </pic:spPr>
                </pic:pic>
              </a:graphicData>
            </a:graphic>
          </wp:anchor>
        </w:drawing>
        <w:t>Description and Responsibilities</w:t>
      </w:r>
    </w:p>
    <w:p>
      <w:pPr>
        <w:spacing w:after="0" w:line="237"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20"/>
          <w:szCs w:val="20"/>
          <w:color w:val="auto"/>
        </w:rPr>
        <w:t>Our compensation committee assists our Board of Directors in reviewing, making recommendations to our Board of Directors regarding, and overseeing matters related to, the compensation of our executive officers and directors, including establishing and overseeing the Company’s compensation philosophy, policies, plans and programs. The compensation committee gathers at least once a year to review the compensation of our Chief Executive Officer and to propose to the Board of Directors any changes to the Chief Executive Officer’s compensation. The Chief Executive Officer is not present when the compensation committee reviews his compensation. The compensation committee operates pursuant to a charter.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compensation committee held four meetings in 2025.</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principal duties and responsibilities of our compensation committee include, but are not limited to:</w:t>
      </w:r>
    </w:p>
    <w:p>
      <w:pPr>
        <w:spacing w:after="0" w:line="214" w:lineRule="exact"/>
        <w:rPr>
          <w:sz w:val="20"/>
          <w:szCs w:val="20"/>
          <w:color w:val="auto"/>
        </w:rPr>
      </w:pPr>
    </w:p>
    <w:p>
      <w:pPr>
        <w:ind w:left="720" w:right="20" w:hanging="353"/>
        <w:spacing w:after="0" w:line="247" w:lineRule="auto"/>
        <w:tabs>
          <w:tab w:leader="none" w:pos="720" w:val="left"/>
        </w:tabs>
        <w:numPr>
          <w:ilvl w:val="0"/>
          <w:numId w:val="65"/>
        </w:numPr>
        <w:rPr>
          <w:rFonts w:ascii="Arial" w:cs="Arial" w:eastAsia="Arial" w:hAnsi="Arial"/>
          <w:sz w:val="20"/>
          <w:szCs w:val="20"/>
          <w:color w:val="auto"/>
        </w:rPr>
      </w:pPr>
      <w:r>
        <w:rPr>
          <w:rFonts w:ascii="Times New Roman" w:cs="Times New Roman" w:eastAsia="Times New Roman" w:hAnsi="Times New Roman"/>
          <w:sz w:val="20"/>
          <w:szCs w:val="20"/>
          <w:color w:val="auto"/>
        </w:rPr>
        <w:t>help the Board of Directors oversee the Company’s compensation policies, plans, and programs with a goal to attract, incentivize, retain and reward top quality executive management, directors and employees;</w:t>
      </w:r>
    </w:p>
    <w:p>
      <w:pPr>
        <w:spacing w:after="0" w:line="1" w:lineRule="exact"/>
        <w:rPr>
          <w:rFonts w:ascii="Arial" w:cs="Arial" w:eastAsia="Arial" w:hAnsi="Arial"/>
          <w:sz w:val="20"/>
          <w:szCs w:val="20"/>
          <w:color w:val="auto"/>
        </w:rPr>
      </w:pPr>
    </w:p>
    <w:p>
      <w:pPr>
        <w:ind w:left="720" w:right="460" w:hanging="353"/>
        <w:spacing w:after="0" w:line="246" w:lineRule="auto"/>
        <w:tabs>
          <w:tab w:leader="none" w:pos="720" w:val="left"/>
        </w:tabs>
        <w:numPr>
          <w:ilvl w:val="0"/>
          <w:numId w:val="65"/>
        </w:numPr>
        <w:rPr>
          <w:rFonts w:ascii="Arial" w:cs="Arial" w:eastAsia="Arial" w:hAnsi="Arial"/>
          <w:sz w:val="20"/>
          <w:szCs w:val="20"/>
          <w:color w:val="auto"/>
        </w:rPr>
      </w:pPr>
      <w:r>
        <w:rPr>
          <w:rFonts w:ascii="Times New Roman" w:cs="Times New Roman" w:eastAsia="Times New Roman" w:hAnsi="Times New Roman"/>
          <w:sz w:val="20"/>
          <w:szCs w:val="20"/>
          <w:color w:val="auto"/>
        </w:rPr>
        <w:t>review and make recommendations to the Board of Directors for its determination and approval of the compensation to be paid to the Company’s executive officers and directors;</w:t>
      </w:r>
    </w:p>
    <w:p>
      <w:pPr>
        <w:ind w:left="720" w:right="20" w:hanging="353"/>
        <w:spacing w:after="0" w:line="245" w:lineRule="auto"/>
        <w:tabs>
          <w:tab w:leader="none" w:pos="720" w:val="left"/>
        </w:tabs>
        <w:numPr>
          <w:ilvl w:val="0"/>
          <w:numId w:val="65"/>
        </w:numPr>
        <w:rPr>
          <w:rFonts w:ascii="Arial" w:cs="Arial" w:eastAsia="Arial" w:hAnsi="Arial"/>
          <w:sz w:val="20"/>
          <w:szCs w:val="20"/>
          <w:color w:val="auto"/>
        </w:rPr>
      </w:pPr>
      <w:r>
        <w:rPr>
          <w:rFonts w:ascii="Times New Roman" w:cs="Times New Roman" w:eastAsia="Times New Roman" w:hAnsi="Times New Roman"/>
          <w:sz w:val="20"/>
          <w:szCs w:val="20"/>
          <w:color w:val="auto"/>
        </w:rPr>
        <w:t>when required, review and discuss with management the Company’s compensation disclosures (including the “Compensation Discussion and Analysis” section if applicable) to be included in the Company’s annual reports, registration statements and proxy statements filed with the SEC;</w:t>
      </w:r>
    </w:p>
    <w:p>
      <w:pPr>
        <w:ind w:left="720" w:right="220" w:hanging="354"/>
        <w:spacing w:after="0" w:line="244" w:lineRule="auto"/>
        <w:tabs>
          <w:tab w:leader="none" w:pos="720" w:val="left"/>
        </w:tabs>
        <w:numPr>
          <w:ilvl w:val="0"/>
          <w:numId w:val="65"/>
        </w:numPr>
        <w:rPr>
          <w:rFonts w:ascii="Arial" w:cs="Arial" w:eastAsia="Arial" w:hAnsi="Arial"/>
          <w:sz w:val="20"/>
          <w:szCs w:val="20"/>
          <w:color w:val="auto"/>
        </w:rPr>
      </w:pPr>
      <w:r>
        <w:rPr>
          <w:rFonts w:ascii="Times New Roman" w:cs="Times New Roman" w:eastAsia="Times New Roman" w:hAnsi="Times New Roman"/>
          <w:sz w:val="20"/>
          <w:szCs w:val="20"/>
          <w:color w:val="auto"/>
        </w:rPr>
        <w:t>make recommendations and proposals to the Board of Directors in order for the Board of Directors to adopt, amend, terminate, and administer the Company’s equity awards, pension, and profit sharing plans, bonus plans, benefit plans and other similar programs;</w:t>
      </w:r>
    </w:p>
    <w:p>
      <w:pPr>
        <w:spacing w:after="0" w:line="1" w:lineRule="exact"/>
        <w:rPr>
          <w:rFonts w:ascii="Arial" w:cs="Arial" w:eastAsia="Arial" w:hAnsi="Arial"/>
          <w:sz w:val="20"/>
          <w:szCs w:val="20"/>
          <w:color w:val="auto"/>
        </w:rPr>
      </w:pPr>
    </w:p>
    <w:p>
      <w:pPr>
        <w:ind w:left="720" w:right="80" w:hanging="354"/>
        <w:spacing w:after="0" w:line="245" w:lineRule="auto"/>
        <w:tabs>
          <w:tab w:leader="none" w:pos="720" w:val="left"/>
        </w:tabs>
        <w:numPr>
          <w:ilvl w:val="0"/>
          <w:numId w:val="65"/>
        </w:numPr>
        <w:rPr>
          <w:rFonts w:ascii="Arial" w:cs="Arial" w:eastAsia="Arial" w:hAnsi="Arial"/>
          <w:sz w:val="20"/>
          <w:szCs w:val="20"/>
          <w:color w:val="auto"/>
        </w:rPr>
      </w:pPr>
      <w:r>
        <w:rPr>
          <w:rFonts w:ascii="Times New Roman" w:cs="Times New Roman" w:eastAsia="Times New Roman" w:hAnsi="Times New Roman"/>
          <w:sz w:val="20"/>
          <w:szCs w:val="20"/>
          <w:color w:val="auto"/>
        </w:rPr>
        <w:t>review and evaluate with the Board of Directors and the Chief Executive Officer the succession plans for the Company’s executive officers and make recommendations to the Board of Directors with respect to the selection of appropriate individuals to succeed these positions; and</w:t>
      </w:r>
    </w:p>
    <w:p>
      <w:pPr>
        <w:ind w:left="720" w:hanging="353"/>
        <w:spacing w:after="0" w:line="278" w:lineRule="auto"/>
        <w:tabs>
          <w:tab w:leader="none" w:pos="720" w:val="left"/>
        </w:tabs>
        <w:numPr>
          <w:ilvl w:val="0"/>
          <w:numId w:val="65"/>
        </w:numPr>
        <w:rPr>
          <w:rFonts w:ascii="Arial" w:cs="Arial" w:eastAsia="Arial" w:hAnsi="Arial"/>
          <w:sz w:val="20"/>
          <w:szCs w:val="20"/>
          <w:color w:val="auto"/>
        </w:rPr>
      </w:pPr>
      <w:r>
        <w:rPr>
          <w:rFonts w:ascii="Times New Roman" w:cs="Times New Roman" w:eastAsia="Times New Roman" w:hAnsi="Times New Roman"/>
          <w:sz w:val="20"/>
          <w:szCs w:val="20"/>
          <w:color w:val="auto"/>
        </w:rPr>
        <w:t>when required, prepare and review the compensation committee report on executive compensation included in the Company’s annual proxy statement.</w:t>
      </w:r>
    </w:p>
    <w:p>
      <w:pPr>
        <w:spacing w:after="0" w:line="165" w:lineRule="exact"/>
        <w:rPr>
          <w:sz w:val="20"/>
          <w:szCs w:val="20"/>
          <w:color w:val="auto"/>
        </w:rPr>
      </w:pPr>
    </w:p>
    <w:p>
      <w:pPr>
        <w:ind w:right="580"/>
        <w:spacing w:after="0" w:line="279" w:lineRule="auto"/>
        <w:rPr>
          <w:sz w:val="20"/>
          <w:szCs w:val="20"/>
          <w:color w:val="auto"/>
        </w:rPr>
      </w:pPr>
      <w:r>
        <w:rPr>
          <w:rFonts w:ascii="Times New Roman" w:cs="Times New Roman" w:eastAsia="Times New Roman" w:hAnsi="Times New Roman"/>
          <w:sz w:val="20"/>
          <w:szCs w:val="20"/>
          <w:color w:val="auto"/>
        </w:rPr>
        <w:t>The charter for our compensation committee allows the compensation committee, in certain circumstances, to delegate its authority to subcommittees, as appropriate.</w:t>
      </w:r>
    </w:p>
    <w:p>
      <w:pPr>
        <w:spacing w:after="0" w:line="125" w:lineRule="exact"/>
        <w:rPr>
          <w:sz w:val="20"/>
          <w:szCs w:val="20"/>
          <w:color w:val="auto"/>
        </w:rPr>
      </w:pPr>
    </w:p>
    <w:p>
      <w:pPr>
        <w:ind w:right="560"/>
        <w:spacing w:after="0" w:line="253" w:lineRule="auto"/>
        <w:rPr>
          <w:sz w:val="20"/>
          <w:szCs w:val="20"/>
          <w:color w:val="auto"/>
        </w:rPr>
      </w:pPr>
      <w:r>
        <w:rPr>
          <w:rFonts w:ascii="Times New Roman" w:cs="Times New Roman" w:eastAsia="Times New Roman" w:hAnsi="Times New Roman"/>
          <w:sz w:val="20"/>
          <w:szCs w:val="20"/>
          <w:color w:val="auto"/>
        </w:rPr>
        <w:t>The compensation of our executive officers is determined by the Board of Directors, taking into account recommendations from our compensation committee. In the case of executive officers other than our Chief Executive Officer, our Board of Directors also takes into account recommendations from our Chief Executive Officer.</w:t>
      </w:r>
    </w:p>
    <w:p>
      <w:pPr>
        <w:spacing w:after="0" w:line="151"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20"/>
          <w:szCs w:val="20"/>
          <w:color w:val="auto"/>
        </w:rPr>
        <w:t>Under French law, we must obtain shareholder approval at a general meeting of shareholders in order to authorize the Board of Directors to grant equity compensation. Generally, we ask shareholders to give our Board of Directors the authority to decide on the specific terms of the equity awards, within the limits of the shareholders’ authorization.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Nominations Committee</w:t>
      </w:r>
    </w:p>
    <w:p>
      <w:pPr>
        <w:spacing w:after="0" w:line="20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auto"/>
        </w:rPr>
        <w:t>Membership</w:t>
      </w:r>
    </w:p>
    <w:p>
      <w:pPr>
        <w:spacing w:after="0" w:line="196" w:lineRule="exact"/>
        <w:rPr>
          <w:sz w:val="20"/>
          <w:szCs w:val="20"/>
          <w:color w:val="auto"/>
        </w:rPr>
      </w:pPr>
    </w:p>
    <w:p>
      <w:pPr>
        <w:ind w:right="60"/>
        <w:spacing w:after="0" w:line="279" w:lineRule="auto"/>
        <w:rPr>
          <w:sz w:val="20"/>
          <w:szCs w:val="20"/>
          <w:color w:val="auto"/>
        </w:rPr>
      </w:pPr>
      <w:r>
        <w:rPr>
          <w:rFonts w:ascii="Times New Roman" w:cs="Times New Roman" w:eastAsia="Times New Roman" w:hAnsi="Times New Roman"/>
          <w:sz w:val="20"/>
          <w:szCs w:val="20"/>
          <w:color w:val="auto"/>
        </w:rPr>
        <w:t>The nominations committee is comprised of the following independent members: Mr. Josh Levine, Ms. Fran Schulz and Mr. David Horn.</w:t>
      </w:r>
    </w:p>
    <w:p>
      <w:pPr>
        <w:spacing w:after="0" w:line="12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auto"/>
        </w:rPr>
        <w:t>Description and Responsibilities</w:t>
      </w:r>
    </w:p>
    <w:p>
      <w:pPr>
        <w:spacing w:after="0" w:line="19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The nominations committee provides assistance to the Board of Directors by evaluating potential candidates qualified to serve as executive officers or directors on the Board. The nominations committee recommends and proposes to the Board of Directors, executive officers and director candidates to submit to the vote of shareholders at a general meeting and candidates to fill vacancies on the Board.</w:t>
      </w:r>
    </w:p>
    <w:p>
      <w:pPr>
        <w:spacing w:after="0" w:line="151" w:lineRule="exact"/>
        <w:rPr>
          <w:sz w:val="20"/>
          <w:szCs w:val="20"/>
          <w:color w:val="auto"/>
        </w:rPr>
      </w:pPr>
    </w:p>
    <w:p>
      <w:pPr>
        <w:ind w:right="80"/>
        <w:spacing w:after="0" w:line="276" w:lineRule="auto"/>
        <w:rPr>
          <w:sz w:val="20"/>
          <w:szCs w:val="20"/>
          <w:color w:val="auto"/>
        </w:rPr>
      </w:pPr>
      <w:r>
        <w:rPr>
          <w:rFonts w:ascii="Times New Roman" w:cs="Times New Roman" w:eastAsia="Times New Roman" w:hAnsi="Times New Roman"/>
          <w:sz w:val="20"/>
          <w:szCs w:val="20"/>
          <w:color w:val="auto"/>
        </w:rPr>
        <w:t>The nominations committee operates pursuant to a charter, the terms of which apply to the Board of Directors when considering director nominees, including in the evaluation of potential candidates and in recommendations to the</w:t>
      </w:r>
    </w:p>
    <w:p>
      <w:pPr>
        <w:sectPr>
          <w:pgSz w:w="11900" w:h="16838" w:orient="portrait"/>
          <w:cols w:equalWidth="0" w:num="1">
            <w:col w:w="9360"/>
          </w:cols>
          <w:pgMar w:left="1260" w:top="1250" w:right="1286" w:bottom="72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62</w:t>
      </w:r>
    </w:p>
    <w:p>
      <w:pPr>
        <w:sectPr>
          <w:pgSz w:w="11900" w:h="16838" w:orient="portrait"/>
          <w:cols w:equalWidth="0" w:num="1">
            <w:col w:w="9360"/>
          </w:cols>
          <w:pgMar w:left="1260" w:top="1250" w:right="1286" w:bottom="723" w:gutter="0" w:footer="0" w:header="0"/>
          <w:type w:val="continuous"/>
        </w:sectPr>
      </w:pPr>
    </w:p>
    <w:bookmarkStart w:id="116" w:name="page117"/>
    <w:bookmarkEnd w:id="116"/>
    <w:p>
      <w:pPr>
        <w:ind w:right="920"/>
        <w:spacing w:after="0" w:line="279"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795655</wp:posOffset>
            </wp:positionH>
            <wp:positionV relativeFrom="page">
              <wp:posOffset>292735</wp:posOffset>
            </wp:positionV>
            <wp:extent cx="929005" cy="1149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157">
                      <a:extLst>
                        <a:ext uri="{28A0092B-C50C-407E-A947-70E740481C1C}"/>
                      </a:extLst>
                    </a:blip>
                    <a:srcRect/>
                    <a:stretch>
                      <a:fillRect/>
                    </a:stretch>
                  </pic:blipFill>
                  <pic:spPr bwMode="auto">
                    <a:xfrm>
                      <a:off x="0" y="0"/>
                      <a:ext cx="929005" cy="114935"/>
                    </a:xfrm>
                    <a:prstGeom prst="rect">
                      <a:avLst/>
                    </a:prstGeom>
                    <a:noFill/>
                  </pic:spPr>
                </pic:pic>
              </a:graphicData>
            </a:graphic>
          </wp:anchor>
        </w:drawing>
        <w:t>Board of Directors prior to submitting the candidates to the vote of shareholders. The principal duties and responsibilities of our nominations committee include, but are not limited to:</w:t>
      </w:r>
    </w:p>
    <w:p>
      <w:pPr>
        <w:spacing w:after="0" w:line="178" w:lineRule="exact"/>
        <w:rPr>
          <w:sz w:val="20"/>
          <w:szCs w:val="20"/>
          <w:color w:val="auto"/>
        </w:rPr>
      </w:pPr>
    </w:p>
    <w:p>
      <w:pPr>
        <w:ind w:left="720" w:right="520" w:hanging="353"/>
        <w:spacing w:after="0" w:line="245" w:lineRule="auto"/>
        <w:tabs>
          <w:tab w:leader="none" w:pos="720" w:val="left"/>
        </w:tabs>
        <w:numPr>
          <w:ilvl w:val="0"/>
          <w:numId w:val="66"/>
        </w:numPr>
        <w:rPr>
          <w:rFonts w:ascii="Arial" w:cs="Arial" w:eastAsia="Arial" w:hAnsi="Arial"/>
          <w:sz w:val="20"/>
          <w:szCs w:val="20"/>
          <w:color w:val="auto"/>
        </w:rPr>
      </w:pPr>
      <w:r>
        <w:rPr>
          <w:rFonts w:ascii="Times New Roman" w:cs="Times New Roman" w:eastAsia="Times New Roman" w:hAnsi="Times New Roman"/>
          <w:sz w:val="20"/>
          <w:szCs w:val="20"/>
          <w:color w:val="auto"/>
        </w:rPr>
        <w:t>develop and recommend to the Board of Directors appropriate criteria for the selection of individual director candidates (such as, independence, industry knowledge, fields of expertise, ability to serve as “financial expert,” leadership, diversity, etc.) and executive officers;</w:t>
      </w:r>
    </w:p>
    <w:p>
      <w:pPr>
        <w:ind w:left="720" w:hanging="353"/>
        <w:spacing w:after="0"/>
        <w:tabs>
          <w:tab w:leader="none" w:pos="720" w:val="left"/>
        </w:tabs>
        <w:numPr>
          <w:ilvl w:val="0"/>
          <w:numId w:val="66"/>
        </w:numPr>
        <w:rPr>
          <w:rFonts w:ascii="Arial" w:cs="Arial" w:eastAsia="Arial" w:hAnsi="Arial"/>
          <w:sz w:val="20"/>
          <w:szCs w:val="20"/>
          <w:color w:val="auto"/>
        </w:rPr>
      </w:pPr>
      <w:r>
        <w:rPr>
          <w:rFonts w:ascii="Times New Roman" w:cs="Times New Roman" w:eastAsia="Times New Roman" w:hAnsi="Times New Roman"/>
          <w:sz w:val="20"/>
          <w:szCs w:val="20"/>
          <w:color w:val="auto"/>
        </w:rPr>
        <w:t>identify individuals qualified to become members of the Board of Directors;</w:t>
      </w:r>
    </w:p>
    <w:p>
      <w:pPr>
        <w:spacing w:after="0" w:line="13" w:lineRule="exact"/>
        <w:rPr>
          <w:rFonts w:ascii="Arial" w:cs="Arial" w:eastAsia="Arial" w:hAnsi="Arial"/>
          <w:sz w:val="20"/>
          <w:szCs w:val="20"/>
          <w:color w:val="auto"/>
        </w:rPr>
      </w:pPr>
    </w:p>
    <w:p>
      <w:pPr>
        <w:ind w:left="720" w:right="600" w:hanging="353"/>
        <w:spacing w:after="0" w:line="246" w:lineRule="auto"/>
        <w:tabs>
          <w:tab w:leader="none" w:pos="720" w:val="left"/>
        </w:tabs>
        <w:numPr>
          <w:ilvl w:val="0"/>
          <w:numId w:val="66"/>
        </w:numPr>
        <w:rPr>
          <w:rFonts w:ascii="Arial" w:cs="Arial" w:eastAsia="Arial" w:hAnsi="Arial"/>
          <w:sz w:val="20"/>
          <w:szCs w:val="20"/>
          <w:color w:val="auto"/>
        </w:rPr>
      </w:pPr>
      <w:r>
        <w:rPr>
          <w:rFonts w:ascii="Times New Roman" w:cs="Times New Roman" w:eastAsia="Times New Roman" w:hAnsi="Times New Roman"/>
          <w:sz w:val="20"/>
          <w:szCs w:val="20"/>
          <w:color w:val="auto"/>
        </w:rPr>
        <w:t>evaluate director candidates in light of appropriate criteria and conduct all necessary and appropriate inquiries into the backgrounds and qualifications of potential candidates;</w:t>
      </w:r>
    </w:p>
    <w:p>
      <w:pPr>
        <w:ind w:left="720" w:right="40" w:hanging="353"/>
        <w:spacing w:after="0" w:line="247" w:lineRule="auto"/>
        <w:tabs>
          <w:tab w:leader="none" w:pos="720" w:val="left"/>
        </w:tabs>
        <w:numPr>
          <w:ilvl w:val="0"/>
          <w:numId w:val="66"/>
        </w:numPr>
        <w:rPr>
          <w:rFonts w:ascii="Arial" w:cs="Arial" w:eastAsia="Arial" w:hAnsi="Arial"/>
          <w:sz w:val="20"/>
          <w:szCs w:val="20"/>
          <w:color w:val="auto"/>
        </w:rPr>
      </w:pPr>
      <w:r>
        <w:rPr>
          <w:rFonts w:ascii="Times New Roman" w:cs="Times New Roman" w:eastAsia="Times New Roman" w:hAnsi="Times New Roman"/>
          <w:sz w:val="20"/>
          <w:szCs w:val="20"/>
          <w:color w:val="auto"/>
        </w:rPr>
        <w:t>recommend to the Board of Directors director candidates to be presented for shareholder approval and/or to fill vacancies on the Board of Directors;</w:t>
      </w:r>
    </w:p>
    <w:p>
      <w:pPr>
        <w:spacing w:after="0" w:line="1" w:lineRule="exact"/>
        <w:rPr>
          <w:rFonts w:ascii="Arial" w:cs="Arial" w:eastAsia="Arial" w:hAnsi="Arial"/>
          <w:sz w:val="20"/>
          <w:szCs w:val="20"/>
          <w:color w:val="auto"/>
        </w:rPr>
      </w:pPr>
    </w:p>
    <w:p>
      <w:pPr>
        <w:ind w:left="720" w:hanging="353"/>
        <w:spacing w:after="0" w:line="247" w:lineRule="auto"/>
        <w:tabs>
          <w:tab w:leader="none" w:pos="720" w:val="left"/>
        </w:tabs>
        <w:numPr>
          <w:ilvl w:val="0"/>
          <w:numId w:val="66"/>
        </w:numPr>
        <w:rPr>
          <w:rFonts w:ascii="Arial" w:cs="Arial" w:eastAsia="Arial" w:hAnsi="Arial"/>
          <w:sz w:val="20"/>
          <w:szCs w:val="20"/>
          <w:color w:val="auto"/>
        </w:rPr>
      </w:pPr>
      <w:r>
        <w:rPr>
          <w:rFonts w:ascii="Times New Roman" w:cs="Times New Roman" w:eastAsia="Times New Roman" w:hAnsi="Times New Roman"/>
          <w:sz w:val="20"/>
          <w:szCs w:val="20"/>
          <w:color w:val="auto"/>
        </w:rPr>
        <w:t>assist the Board of Directors in evaluating director candidates proposed or recommended by shareholders or other stakeholders;</w:t>
      </w:r>
    </w:p>
    <w:p>
      <w:pPr>
        <w:spacing w:after="0" w:line="1" w:lineRule="exact"/>
        <w:rPr>
          <w:rFonts w:ascii="Arial" w:cs="Arial" w:eastAsia="Arial" w:hAnsi="Arial"/>
          <w:sz w:val="20"/>
          <w:szCs w:val="20"/>
          <w:color w:val="auto"/>
        </w:rPr>
      </w:pPr>
    </w:p>
    <w:p>
      <w:pPr>
        <w:ind w:left="720" w:right="460" w:hanging="353"/>
        <w:spacing w:after="0" w:line="246" w:lineRule="auto"/>
        <w:tabs>
          <w:tab w:leader="none" w:pos="720" w:val="left"/>
        </w:tabs>
        <w:numPr>
          <w:ilvl w:val="0"/>
          <w:numId w:val="66"/>
        </w:numPr>
        <w:rPr>
          <w:rFonts w:ascii="Arial" w:cs="Arial" w:eastAsia="Arial" w:hAnsi="Arial"/>
          <w:sz w:val="20"/>
          <w:szCs w:val="20"/>
          <w:color w:val="auto"/>
        </w:rPr>
      </w:pPr>
      <w:r>
        <w:rPr>
          <w:rFonts w:ascii="Times New Roman" w:cs="Times New Roman" w:eastAsia="Times New Roman" w:hAnsi="Times New Roman"/>
          <w:sz w:val="20"/>
          <w:szCs w:val="20"/>
          <w:color w:val="auto"/>
        </w:rPr>
        <w:t>make recommendations to the Board of Directors concerning the size and composition of the Board of Directors in order to ensure it has the necessary expertise and composition;</w:t>
      </w:r>
    </w:p>
    <w:p>
      <w:pPr>
        <w:ind w:left="720" w:right="360" w:hanging="353"/>
        <w:spacing w:after="0" w:line="247" w:lineRule="auto"/>
        <w:tabs>
          <w:tab w:leader="none" w:pos="720" w:val="left"/>
        </w:tabs>
        <w:numPr>
          <w:ilvl w:val="0"/>
          <w:numId w:val="66"/>
        </w:numPr>
        <w:rPr>
          <w:rFonts w:ascii="Arial" w:cs="Arial" w:eastAsia="Arial" w:hAnsi="Arial"/>
          <w:sz w:val="20"/>
          <w:szCs w:val="20"/>
          <w:color w:val="auto"/>
        </w:rPr>
      </w:pPr>
      <w:r>
        <w:rPr>
          <w:rFonts w:ascii="Times New Roman" w:cs="Times New Roman" w:eastAsia="Times New Roman" w:hAnsi="Times New Roman"/>
          <w:sz w:val="20"/>
          <w:szCs w:val="20"/>
          <w:color w:val="auto"/>
        </w:rPr>
        <w:t>assist the Board of Directors in evaluating director independence, conflicts of interest and re-election of current directors;</w:t>
      </w:r>
    </w:p>
    <w:p>
      <w:pPr>
        <w:spacing w:after="0" w:line="1" w:lineRule="exact"/>
        <w:rPr>
          <w:rFonts w:ascii="Arial" w:cs="Arial" w:eastAsia="Arial" w:hAnsi="Arial"/>
          <w:sz w:val="20"/>
          <w:szCs w:val="20"/>
          <w:color w:val="auto"/>
        </w:rPr>
      </w:pPr>
    </w:p>
    <w:p>
      <w:pPr>
        <w:ind w:left="720" w:right="420" w:hanging="354"/>
        <w:spacing w:after="0" w:line="246" w:lineRule="auto"/>
        <w:tabs>
          <w:tab w:leader="none" w:pos="720" w:val="left"/>
        </w:tabs>
        <w:numPr>
          <w:ilvl w:val="0"/>
          <w:numId w:val="66"/>
        </w:numPr>
        <w:rPr>
          <w:rFonts w:ascii="Arial" w:cs="Arial" w:eastAsia="Arial" w:hAnsi="Arial"/>
          <w:sz w:val="20"/>
          <w:szCs w:val="20"/>
          <w:color w:val="auto"/>
        </w:rPr>
      </w:pPr>
      <w:r>
        <w:rPr>
          <w:rFonts w:ascii="Times New Roman" w:cs="Times New Roman" w:eastAsia="Times New Roman" w:hAnsi="Times New Roman"/>
          <w:sz w:val="20"/>
          <w:szCs w:val="20"/>
          <w:color w:val="auto"/>
        </w:rPr>
        <w:t>make recommendations to the Board of Directors concerning appointees to be selected by the Board of Directors for service on other committees or removal of any member of any committee;</w:t>
      </w:r>
    </w:p>
    <w:p>
      <w:pPr>
        <w:ind w:left="720" w:right="160" w:hanging="354"/>
        <w:spacing w:after="0" w:line="245" w:lineRule="auto"/>
        <w:tabs>
          <w:tab w:leader="none" w:pos="720" w:val="left"/>
        </w:tabs>
        <w:numPr>
          <w:ilvl w:val="0"/>
          <w:numId w:val="66"/>
        </w:numPr>
        <w:rPr>
          <w:rFonts w:ascii="Arial" w:cs="Arial" w:eastAsia="Arial" w:hAnsi="Arial"/>
          <w:sz w:val="20"/>
          <w:szCs w:val="20"/>
          <w:color w:val="auto"/>
        </w:rPr>
      </w:pPr>
      <w:r>
        <w:rPr>
          <w:rFonts w:ascii="Times New Roman" w:cs="Times New Roman" w:eastAsia="Times New Roman" w:hAnsi="Times New Roman"/>
          <w:sz w:val="20"/>
          <w:szCs w:val="20"/>
          <w:color w:val="auto"/>
        </w:rPr>
        <w:t>assist the Board of Directors in ensuring adequate succession planning for our executive bodies, in particular, through the establishment of a succession plan for the chairman and Chief Executive Officer so that adequate replacement solutions may be proposed in the event of unplanned vacancies;</w:t>
      </w:r>
    </w:p>
    <w:p>
      <w:pPr>
        <w:ind w:left="720" w:right="20" w:hanging="354"/>
        <w:spacing w:after="0" w:line="256" w:lineRule="auto"/>
        <w:tabs>
          <w:tab w:leader="none" w:pos="720" w:val="left"/>
        </w:tabs>
        <w:numPr>
          <w:ilvl w:val="0"/>
          <w:numId w:val="66"/>
        </w:numPr>
        <w:rPr>
          <w:rFonts w:ascii="Arial" w:cs="Arial" w:eastAsia="Arial" w:hAnsi="Arial"/>
          <w:sz w:val="19"/>
          <w:szCs w:val="19"/>
          <w:color w:val="auto"/>
        </w:rPr>
      </w:pPr>
      <w:r>
        <w:rPr>
          <w:rFonts w:ascii="Times New Roman" w:cs="Times New Roman" w:eastAsia="Times New Roman" w:hAnsi="Times New Roman"/>
          <w:sz w:val="19"/>
          <w:szCs w:val="19"/>
          <w:color w:val="auto"/>
        </w:rPr>
        <w:t>to review and discuss with management disclosure of the Company’s corporate governance practices, including information regarding the operations of the nominations committee and other committees of the Board of Directors, director independence and the director nominations process, and to recommend that this disclosure be included in the Company’s proxy statement or annual report on Form 10-K, as applicable;</w:t>
      </w:r>
    </w:p>
    <w:p>
      <w:pPr>
        <w:ind w:left="720" w:right="460" w:hanging="354"/>
        <w:spacing w:after="0" w:line="247" w:lineRule="auto"/>
        <w:tabs>
          <w:tab w:leader="none" w:pos="720" w:val="left"/>
        </w:tabs>
        <w:numPr>
          <w:ilvl w:val="0"/>
          <w:numId w:val="66"/>
        </w:numPr>
        <w:rPr>
          <w:rFonts w:ascii="Arial" w:cs="Arial" w:eastAsia="Arial" w:hAnsi="Arial"/>
          <w:sz w:val="20"/>
          <w:szCs w:val="20"/>
          <w:color w:val="auto"/>
        </w:rPr>
      </w:pPr>
      <w:r>
        <w:rPr>
          <w:rFonts w:ascii="Times New Roman" w:cs="Times New Roman" w:eastAsia="Times New Roman" w:hAnsi="Times New Roman"/>
          <w:sz w:val="20"/>
          <w:szCs w:val="20"/>
          <w:color w:val="auto"/>
        </w:rPr>
        <w:t>review shareholder proposals and recommend proposed Company responses for inclusion in the proxy statement or otherwise;</w:t>
      </w:r>
    </w:p>
    <w:p>
      <w:pPr>
        <w:spacing w:after="0" w:line="1" w:lineRule="exact"/>
        <w:rPr>
          <w:rFonts w:ascii="Arial" w:cs="Arial" w:eastAsia="Arial" w:hAnsi="Arial"/>
          <w:sz w:val="20"/>
          <w:szCs w:val="20"/>
          <w:color w:val="auto"/>
        </w:rPr>
      </w:pPr>
    </w:p>
    <w:p>
      <w:pPr>
        <w:ind w:left="720" w:hanging="354"/>
        <w:spacing w:after="0"/>
        <w:tabs>
          <w:tab w:leader="none" w:pos="720" w:val="left"/>
        </w:tabs>
        <w:numPr>
          <w:ilvl w:val="0"/>
          <w:numId w:val="66"/>
        </w:numPr>
        <w:rPr>
          <w:rFonts w:ascii="Arial" w:cs="Arial" w:eastAsia="Arial" w:hAnsi="Arial"/>
          <w:sz w:val="20"/>
          <w:szCs w:val="20"/>
          <w:color w:val="auto"/>
        </w:rPr>
      </w:pPr>
      <w:r>
        <w:rPr>
          <w:rFonts w:ascii="Times New Roman" w:cs="Times New Roman" w:eastAsia="Times New Roman" w:hAnsi="Times New Roman"/>
          <w:sz w:val="20"/>
          <w:szCs w:val="20"/>
          <w:color w:val="auto"/>
        </w:rPr>
        <w:t>recommend improvements to the functioning and effectiveness of the Board of Directors;</w:t>
      </w:r>
    </w:p>
    <w:p>
      <w:pPr>
        <w:spacing w:after="0" w:line="13" w:lineRule="exact"/>
        <w:rPr>
          <w:rFonts w:ascii="Arial" w:cs="Arial" w:eastAsia="Arial" w:hAnsi="Arial"/>
          <w:sz w:val="20"/>
          <w:szCs w:val="20"/>
          <w:color w:val="auto"/>
        </w:rPr>
      </w:pPr>
    </w:p>
    <w:p>
      <w:pPr>
        <w:ind w:left="720" w:right="600" w:hanging="354"/>
        <w:spacing w:after="0" w:line="246" w:lineRule="auto"/>
        <w:tabs>
          <w:tab w:leader="none" w:pos="720" w:val="left"/>
        </w:tabs>
        <w:numPr>
          <w:ilvl w:val="0"/>
          <w:numId w:val="66"/>
        </w:numPr>
        <w:rPr>
          <w:rFonts w:ascii="Arial" w:cs="Arial" w:eastAsia="Arial" w:hAnsi="Arial"/>
          <w:sz w:val="20"/>
          <w:szCs w:val="20"/>
          <w:color w:val="auto"/>
        </w:rPr>
      </w:pPr>
      <w:r>
        <w:rPr>
          <w:rFonts w:ascii="Times New Roman" w:cs="Times New Roman" w:eastAsia="Times New Roman" w:hAnsi="Times New Roman"/>
          <w:sz w:val="20"/>
          <w:szCs w:val="20"/>
          <w:color w:val="auto"/>
        </w:rPr>
        <w:t>establish and administer a periodic assessment procedure relating to the performance of the Board of Directors as a whole; and</w:t>
      </w:r>
    </w:p>
    <w:p>
      <w:pPr>
        <w:ind w:left="720" w:hanging="354"/>
        <w:spacing w:after="0"/>
        <w:tabs>
          <w:tab w:leader="none" w:pos="720" w:val="left"/>
        </w:tabs>
        <w:numPr>
          <w:ilvl w:val="0"/>
          <w:numId w:val="66"/>
        </w:numPr>
        <w:rPr>
          <w:rFonts w:ascii="Arial" w:cs="Arial" w:eastAsia="Arial" w:hAnsi="Arial"/>
          <w:sz w:val="20"/>
          <w:szCs w:val="20"/>
          <w:color w:val="auto"/>
        </w:rPr>
      </w:pPr>
      <w:r>
        <w:rPr>
          <w:rFonts w:ascii="Times New Roman" w:cs="Times New Roman" w:eastAsia="Times New Roman" w:hAnsi="Times New Roman"/>
          <w:sz w:val="20"/>
          <w:szCs w:val="20"/>
          <w:color w:val="auto"/>
        </w:rPr>
        <w:t>assist the Board of Directors with any other related matters it so requests.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Delinquent Section 16(a) Reports</w:t>
      </w:r>
    </w:p>
    <w:p>
      <w:pPr>
        <w:spacing w:after="0" w:line="244" w:lineRule="exact"/>
        <w:rPr>
          <w:sz w:val="20"/>
          <w:szCs w:val="20"/>
          <w:color w:val="auto"/>
        </w:rPr>
      </w:pPr>
    </w:p>
    <w:p>
      <w:pPr>
        <w:ind w:right="100"/>
        <w:spacing w:after="0" w:line="247" w:lineRule="auto"/>
        <w:rPr>
          <w:sz w:val="20"/>
          <w:szCs w:val="20"/>
          <w:color w:val="auto"/>
        </w:rPr>
      </w:pPr>
      <w:r>
        <w:rPr>
          <w:rFonts w:ascii="Times New Roman" w:cs="Times New Roman" w:eastAsia="Times New Roman" w:hAnsi="Times New Roman"/>
          <w:sz w:val="20"/>
          <w:szCs w:val="20"/>
          <w:color w:val="auto"/>
        </w:rPr>
        <w:t>Section 16(a) of the Exchange Act requires our directors, executive officers, and persons who own more than 10% of our ordinary shares to file with the SEC initial reports of ownership and reports of changes in ownership of our ordinary shares. During the fiscal year 2025, our directors, executive officers, and persons who own more than 10% of our ordinary shares were not subject to the reporting requirements of Section 16(a) of the Exchange Act due to our status as a foreign private issuer at that time. As a domestic issuer beginning January 1, 2026, our directors and executive officers are subject to the reporting requirements of Section 16(a) going forward.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11. Executive Compensation.</w:t>
      </w:r>
    </w:p>
    <w:p>
      <w:pPr>
        <w:spacing w:after="0" w:line="203"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20"/>
          <w:szCs w:val="20"/>
          <w:color w:val="auto"/>
        </w:rPr>
        <w:t>The following is a discussion of compensation arrangements of our named executive officers. As a “smaller reporting company,” as defined under SEC rules, we are not required to include a Compensation Discussion and Analysis section and have elected to comply with the scaled disclosure requirements applicable to smaller reporting companies.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Named Executive Officers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named executive officers (“NEOs”) for the fiscal year ended December 31, 2025 are:</w:t>
      </w:r>
    </w:p>
    <w:p>
      <w:pPr>
        <w:spacing w:after="0" w:line="214" w:lineRule="exact"/>
        <w:rPr>
          <w:sz w:val="20"/>
          <w:szCs w:val="20"/>
          <w:color w:val="auto"/>
        </w:rPr>
      </w:pPr>
    </w:p>
    <w:p>
      <w:pPr>
        <w:ind w:left="720" w:hanging="355"/>
        <w:spacing w:after="0"/>
        <w:tabs>
          <w:tab w:leader="none" w:pos="720" w:val="left"/>
        </w:tabs>
        <w:numPr>
          <w:ilvl w:val="0"/>
          <w:numId w:val="67"/>
        </w:numPr>
        <w:rPr>
          <w:rFonts w:ascii="Arial" w:cs="Arial" w:eastAsia="Arial" w:hAnsi="Arial"/>
          <w:sz w:val="20"/>
          <w:szCs w:val="20"/>
          <w:color w:val="auto"/>
        </w:rPr>
      </w:pPr>
      <w:r>
        <w:rPr>
          <w:rFonts w:ascii="Times New Roman" w:cs="Times New Roman" w:eastAsia="Times New Roman" w:hAnsi="Times New Roman"/>
          <w:sz w:val="20"/>
          <w:szCs w:val="20"/>
          <w:color w:val="auto"/>
        </w:rPr>
        <w:t>Ryan Rhodes, Chief Executive Officer</w:t>
      </w:r>
    </w:p>
    <w:p>
      <w:pPr>
        <w:spacing w:after="0" w:line="13" w:lineRule="exact"/>
        <w:rPr>
          <w:rFonts w:ascii="Arial" w:cs="Arial" w:eastAsia="Arial" w:hAnsi="Arial"/>
          <w:sz w:val="20"/>
          <w:szCs w:val="20"/>
          <w:color w:val="auto"/>
        </w:rPr>
      </w:pPr>
    </w:p>
    <w:p>
      <w:pPr>
        <w:ind w:left="720" w:hanging="355"/>
        <w:spacing w:after="0"/>
        <w:tabs>
          <w:tab w:leader="none" w:pos="720" w:val="left"/>
        </w:tabs>
        <w:numPr>
          <w:ilvl w:val="0"/>
          <w:numId w:val="67"/>
        </w:numPr>
        <w:rPr>
          <w:rFonts w:ascii="Arial" w:cs="Arial" w:eastAsia="Arial" w:hAnsi="Arial"/>
          <w:sz w:val="20"/>
          <w:szCs w:val="20"/>
          <w:color w:val="auto"/>
        </w:rPr>
      </w:pPr>
      <w:r>
        <w:rPr>
          <w:rFonts w:ascii="Times New Roman" w:cs="Times New Roman" w:eastAsia="Times New Roman" w:hAnsi="Times New Roman"/>
          <w:sz w:val="20"/>
          <w:szCs w:val="20"/>
          <w:color w:val="auto"/>
        </w:rPr>
        <w:t>Kenneth Mobeck, Chief Financial Officer</w:t>
      </w:r>
    </w:p>
    <w:p>
      <w:pPr>
        <w:spacing w:after="0" w:line="13" w:lineRule="exact"/>
        <w:rPr>
          <w:rFonts w:ascii="Arial" w:cs="Arial" w:eastAsia="Arial" w:hAnsi="Arial"/>
          <w:sz w:val="20"/>
          <w:szCs w:val="20"/>
          <w:color w:val="auto"/>
        </w:rPr>
      </w:pPr>
    </w:p>
    <w:p>
      <w:pPr>
        <w:ind w:left="720" w:hanging="355"/>
        <w:spacing w:after="0"/>
        <w:tabs>
          <w:tab w:leader="none" w:pos="720" w:val="left"/>
        </w:tabs>
        <w:numPr>
          <w:ilvl w:val="0"/>
          <w:numId w:val="67"/>
        </w:numPr>
        <w:rPr>
          <w:rFonts w:ascii="Arial" w:cs="Arial" w:eastAsia="Arial" w:hAnsi="Arial"/>
          <w:sz w:val="20"/>
          <w:szCs w:val="20"/>
          <w:color w:val="auto"/>
        </w:rPr>
      </w:pPr>
      <w:r>
        <w:rPr>
          <w:rFonts w:ascii="Times New Roman" w:cs="Times New Roman" w:eastAsia="Times New Roman" w:hAnsi="Times New Roman"/>
          <w:sz w:val="20"/>
          <w:szCs w:val="20"/>
          <w:color w:val="auto"/>
        </w:rPr>
        <w:t>Steven Annen, Executive Vice President, Marketing and Product Management</w:t>
      </w:r>
    </w:p>
    <w:p>
      <w:pPr>
        <w:sectPr>
          <w:pgSz w:w="11900" w:h="16838" w:orient="portrait"/>
          <w:cols w:equalWidth="0" w:num="1">
            <w:col w:w="9380"/>
          </w:cols>
          <w:pgMar w:left="1260" w:top="1247" w:right="1266" w:bottom="72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63</w:t>
      </w:r>
    </w:p>
    <w:p>
      <w:pPr>
        <w:sectPr>
          <w:pgSz w:w="11900" w:h="16838" w:orient="portrait"/>
          <w:cols w:equalWidth="0" w:num="1">
            <w:col w:w="9380"/>
          </w:cols>
          <w:pgMar w:left="1260" w:top="1247" w:right="1266" w:bottom="723" w:gutter="0" w:footer="0" w:header="0"/>
          <w:type w:val="continuous"/>
        </w:sectPr>
      </w:pPr>
    </w:p>
    <w:bookmarkStart w:id="117" w:name="page118"/>
    <w:bookmarkEnd w:id="117"/>
    <w:p>
      <w:pPr>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795655</wp:posOffset>
            </wp:positionH>
            <wp:positionV relativeFrom="page">
              <wp:posOffset>292735</wp:posOffset>
            </wp:positionV>
            <wp:extent cx="929005" cy="1149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158">
                      <a:extLst>
                        <a:ext uri="{28A0092B-C50C-407E-A947-70E740481C1C}"/>
                      </a:extLst>
                    </a:blip>
                    <a:srcRect/>
                    <a:stretch>
                      <a:fillRect/>
                    </a:stretch>
                  </pic:blipFill>
                  <pic:spPr bwMode="auto">
                    <a:xfrm>
                      <a:off x="0" y="0"/>
                      <a:ext cx="929005" cy="114935"/>
                    </a:xfrm>
                    <a:prstGeom prst="rect">
                      <a:avLst/>
                    </a:prstGeom>
                    <a:noFill/>
                  </pic:spPr>
                </pic:pic>
              </a:graphicData>
            </a:graphic>
          </wp:anchor>
        </w:drawing>
        <w:t>2025 Summary Compensation Table</w:t>
      </w:r>
    </w:p>
    <w:p>
      <w:pPr>
        <w:spacing w:after="0" w:line="203" w:lineRule="exact"/>
        <w:rPr>
          <w:sz w:val="20"/>
          <w:szCs w:val="20"/>
          <w:color w:val="auto"/>
        </w:rPr>
      </w:pPr>
    </w:p>
    <w:p>
      <w:pPr>
        <w:ind w:right="360"/>
        <w:spacing w:after="0" w:line="279" w:lineRule="auto"/>
        <w:rPr>
          <w:sz w:val="20"/>
          <w:szCs w:val="20"/>
          <w:color w:val="auto"/>
        </w:rPr>
      </w:pPr>
      <w:r>
        <w:rPr>
          <w:rFonts w:ascii="Times New Roman" w:cs="Times New Roman" w:eastAsia="Times New Roman" w:hAnsi="Times New Roman"/>
          <w:sz w:val="20"/>
          <w:szCs w:val="20"/>
          <w:color w:val="auto"/>
        </w:rPr>
        <w:t>The following table and related footnotes set forth information regarding compensation awarded to, earned by or paid to the Company’s NEOs for the fiscal years ended December 31, 2025 and December 31, 2024:</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Non-Equity</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b w:val="1"/>
                <w:bCs w:val="1"/>
                <w:color w:val="auto"/>
                <w:w w:val="99"/>
              </w:rPr>
              <w:t>Stock</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gridSpan w:val="3"/>
          </w:tcPr>
          <w:p>
            <w:pPr>
              <w:jc w:val="center"/>
              <w:ind w:right="160"/>
              <w:spacing w:after="0" w:line="183" w:lineRule="exact"/>
              <w:rPr>
                <w:sz w:val="20"/>
                <w:szCs w:val="20"/>
                <w:color w:val="auto"/>
              </w:rPr>
            </w:pPr>
            <w:r>
              <w:rPr>
                <w:rFonts w:ascii="Times New Roman" w:cs="Times New Roman" w:eastAsia="Times New Roman" w:hAnsi="Times New Roman"/>
                <w:sz w:val="16"/>
                <w:szCs w:val="16"/>
                <w:b w:val="1"/>
                <w:bCs w:val="1"/>
                <w:color w:val="auto"/>
                <w:w w:val="99"/>
              </w:rPr>
              <w:t>Option</w:t>
            </w:r>
          </w:p>
        </w:tc>
        <w:tc>
          <w:tcPr>
            <w:tcW w:w="98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b w:val="1"/>
                <w:bCs w:val="1"/>
                <w:color w:val="auto"/>
                <w:w w:val="99"/>
              </w:rPr>
              <w:t>Incentive Plan</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b w:val="1"/>
                <w:bCs w:val="1"/>
                <w:color w:val="auto"/>
              </w:rPr>
              <w:t>All Other</w:t>
            </w: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1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Name and Principal</w:t>
            </w: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Salary</w:t>
            </w:r>
          </w:p>
        </w:tc>
        <w:tc>
          <w:tcPr>
            <w:tcW w:w="4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w w:val="98"/>
              </w:rPr>
              <w:t>Bonus</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Awards</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Awards</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Compensation</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Compensation</w:t>
            </w:r>
          </w:p>
        </w:tc>
        <w:tc>
          <w:tcPr>
            <w:tcW w:w="160" w:type="dxa"/>
            <w:vAlign w:val="bottom"/>
          </w:tcPr>
          <w:p>
            <w:pPr>
              <w:spacing w:after="0"/>
              <w:rPr>
                <w:sz w:val="16"/>
                <w:szCs w:val="16"/>
                <w:color w:val="auto"/>
              </w:rPr>
            </w:pPr>
          </w:p>
        </w:tc>
        <w:tc>
          <w:tcPr>
            <w:tcW w:w="920" w:type="dxa"/>
            <w:vAlign w:val="bottom"/>
          </w:tcPr>
          <w:p>
            <w:pPr>
              <w:jc w:val="right"/>
              <w:ind w:right="187"/>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03"/>
        </w:trPr>
        <w:tc>
          <w:tcPr>
            <w:tcW w:w="2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Position</w:t>
            </w:r>
          </w:p>
        </w:tc>
        <w:tc>
          <w:tcPr>
            <w:tcW w:w="16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Year</w:t>
            </w:r>
          </w:p>
        </w:tc>
        <w:tc>
          <w:tcPr>
            <w:tcW w:w="16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jc w:val="center"/>
              <w:spacing w:after="0" w:line="203" w:lineRule="exact"/>
              <w:rPr>
                <w:sz w:val="20"/>
                <w:szCs w:val="20"/>
                <w:color w:val="auto"/>
              </w:rPr>
            </w:pPr>
            <w:r>
              <w:rPr>
                <w:rFonts w:ascii="Times New Roman" w:cs="Times New Roman" w:eastAsia="Times New Roman" w:hAnsi="Times New Roman"/>
                <w:sz w:val="16"/>
                <w:szCs w:val="16"/>
                <w:b w:val="1"/>
                <w:bCs w:val="1"/>
                <w:color w:val="auto"/>
                <w:w w:val="87"/>
              </w:rPr>
              <w:t>($)</w:t>
            </w:r>
            <w:r>
              <w:rPr>
                <w:rFonts w:ascii="Times New Roman" w:cs="Times New Roman" w:eastAsia="Times New Roman" w:hAnsi="Times New Roman"/>
                <w:sz w:val="20"/>
                <w:szCs w:val="20"/>
                <w:b w:val="1"/>
                <w:bCs w:val="1"/>
                <w:color w:val="auto"/>
                <w:w w:val="87"/>
                <w:vertAlign w:val="superscript"/>
              </w:rPr>
              <w:t>(1)</w:t>
            </w:r>
          </w:p>
        </w:tc>
        <w:tc>
          <w:tcPr>
            <w:tcW w:w="16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Borders>
              <w:bottom w:val="single" w:sz="8" w:color="CCEEFF"/>
            </w:tcBorders>
            <w:gridSpan w:val="2"/>
          </w:tcPr>
          <w:p>
            <w:pPr>
              <w:spacing w:after="0"/>
              <w:rPr>
                <w:sz w:val="17"/>
                <w:szCs w:val="17"/>
                <w:color w:val="auto"/>
              </w:rPr>
            </w:pPr>
          </w:p>
        </w:tc>
        <w:tc>
          <w:tcPr>
            <w:tcW w:w="760" w:type="dxa"/>
            <w:vAlign w:val="bottom"/>
            <w:tcBorders>
              <w:bottom w:val="single" w:sz="8" w:color="auto"/>
            </w:tcBorders>
          </w:tcPr>
          <w:p>
            <w:pPr>
              <w:jc w:val="center"/>
              <w:spacing w:after="0" w:line="203" w:lineRule="exact"/>
              <w:rPr>
                <w:sz w:val="20"/>
                <w:szCs w:val="20"/>
                <w:color w:val="auto"/>
              </w:rPr>
            </w:pPr>
            <w:r>
              <w:rPr>
                <w:rFonts w:ascii="Times New Roman" w:cs="Times New Roman" w:eastAsia="Times New Roman" w:hAnsi="Times New Roman"/>
                <w:sz w:val="16"/>
                <w:szCs w:val="16"/>
                <w:b w:val="1"/>
                <w:bCs w:val="1"/>
                <w:color w:val="auto"/>
                <w:w w:val="87"/>
              </w:rPr>
              <w:t>($)</w:t>
            </w:r>
            <w:r>
              <w:rPr>
                <w:rFonts w:ascii="Times New Roman" w:cs="Times New Roman" w:eastAsia="Times New Roman" w:hAnsi="Times New Roman"/>
                <w:sz w:val="20"/>
                <w:szCs w:val="20"/>
                <w:b w:val="1"/>
                <w:bCs w:val="1"/>
                <w:color w:val="auto"/>
                <w:w w:val="87"/>
                <w:vertAlign w:val="superscript"/>
              </w:rPr>
              <w:t>(2)</w:t>
            </w:r>
          </w:p>
        </w:tc>
        <w:tc>
          <w:tcPr>
            <w:tcW w:w="160" w:type="dxa"/>
            <w:vAlign w:val="bottom"/>
            <w:tcBorders>
              <w:bottom w:val="single" w:sz="8" w:color="CCEEFF"/>
            </w:tcBorders>
            <w:gridSpan w:val="2"/>
          </w:tcPr>
          <w:p>
            <w:pPr>
              <w:spacing w:after="0"/>
              <w:rPr>
                <w:sz w:val="17"/>
                <w:szCs w:val="17"/>
                <w:color w:val="auto"/>
              </w:rPr>
            </w:pPr>
          </w:p>
        </w:tc>
        <w:tc>
          <w:tcPr>
            <w:tcW w:w="760" w:type="dxa"/>
            <w:vAlign w:val="bottom"/>
            <w:tcBorders>
              <w:bottom w:val="single" w:sz="8" w:color="auto"/>
            </w:tcBorders>
          </w:tcPr>
          <w:p>
            <w:pPr>
              <w:jc w:val="center"/>
              <w:spacing w:after="0" w:line="203" w:lineRule="exact"/>
              <w:rPr>
                <w:sz w:val="20"/>
                <w:szCs w:val="20"/>
                <w:color w:val="auto"/>
              </w:rPr>
            </w:pPr>
            <w:r>
              <w:rPr>
                <w:rFonts w:ascii="Times New Roman" w:cs="Times New Roman" w:eastAsia="Times New Roman" w:hAnsi="Times New Roman"/>
                <w:sz w:val="16"/>
                <w:szCs w:val="16"/>
                <w:b w:val="1"/>
                <w:bCs w:val="1"/>
                <w:color w:val="auto"/>
                <w:w w:val="87"/>
              </w:rPr>
              <w:t>($)</w:t>
            </w:r>
            <w:r>
              <w:rPr>
                <w:rFonts w:ascii="Times New Roman" w:cs="Times New Roman" w:eastAsia="Times New Roman" w:hAnsi="Times New Roman"/>
                <w:sz w:val="20"/>
                <w:szCs w:val="20"/>
                <w:b w:val="1"/>
                <w:bCs w:val="1"/>
                <w:color w:val="auto"/>
                <w:w w:val="87"/>
                <w:vertAlign w:val="superscript"/>
              </w:rPr>
              <w:t>(2)</w:t>
            </w: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center"/>
              <w:spacing w:after="0" w:line="203" w:lineRule="exact"/>
              <w:rPr>
                <w:sz w:val="20"/>
                <w:szCs w:val="20"/>
                <w:color w:val="auto"/>
              </w:rPr>
            </w:pPr>
            <w:r>
              <w:rPr>
                <w:rFonts w:ascii="Times New Roman" w:cs="Times New Roman" w:eastAsia="Times New Roman" w:hAnsi="Times New Roman"/>
                <w:sz w:val="16"/>
                <w:szCs w:val="16"/>
                <w:b w:val="1"/>
                <w:bCs w:val="1"/>
                <w:color w:val="auto"/>
                <w:w w:val="87"/>
              </w:rPr>
              <w:t>($)</w:t>
            </w:r>
            <w:r>
              <w:rPr>
                <w:rFonts w:ascii="Times New Roman" w:cs="Times New Roman" w:eastAsia="Times New Roman" w:hAnsi="Times New Roman"/>
                <w:sz w:val="20"/>
                <w:szCs w:val="20"/>
                <w:b w:val="1"/>
                <w:bCs w:val="1"/>
                <w:color w:val="auto"/>
                <w:w w:val="87"/>
                <w:vertAlign w:val="superscript"/>
              </w:rPr>
              <w:t>(3)</w:t>
            </w:r>
          </w:p>
        </w:tc>
        <w:tc>
          <w:tcPr>
            <w:tcW w:w="160" w:type="dxa"/>
            <w:vAlign w:val="bottom"/>
            <w:tcBorders>
              <w:bottom w:val="single" w:sz="8" w:color="CCEEFF"/>
            </w:tcBorders>
            <w:gridSpan w:val="2"/>
          </w:tcPr>
          <w:p>
            <w:pPr>
              <w:spacing w:after="0"/>
              <w:rPr>
                <w:sz w:val="17"/>
                <w:szCs w:val="17"/>
                <w:color w:val="auto"/>
              </w:rPr>
            </w:pPr>
          </w:p>
        </w:tc>
        <w:tc>
          <w:tcPr>
            <w:tcW w:w="980" w:type="dxa"/>
            <w:vAlign w:val="bottom"/>
            <w:tcBorders>
              <w:bottom w:val="single" w:sz="8" w:color="auto"/>
            </w:tcBorders>
          </w:tcPr>
          <w:p>
            <w:pPr>
              <w:jc w:val="center"/>
              <w:spacing w:after="0" w:line="203" w:lineRule="exact"/>
              <w:rPr>
                <w:sz w:val="20"/>
                <w:szCs w:val="20"/>
                <w:color w:val="auto"/>
              </w:rPr>
            </w:pPr>
            <w:r>
              <w:rPr>
                <w:rFonts w:ascii="Times New Roman" w:cs="Times New Roman" w:eastAsia="Times New Roman" w:hAnsi="Times New Roman"/>
                <w:sz w:val="16"/>
                <w:szCs w:val="16"/>
                <w:b w:val="1"/>
                <w:bCs w:val="1"/>
                <w:color w:val="auto"/>
                <w:w w:val="87"/>
              </w:rPr>
              <w:t>($)</w:t>
            </w:r>
            <w:r>
              <w:rPr>
                <w:rFonts w:ascii="Times New Roman" w:cs="Times New Roman" w:eastAsia="Times New Roman" w:hAnsi="Times New Roman"/>
                <w:sz w:val="20"/>
                <w:szCs w:val="20"/>
                <w:b w:val="1"/>
                <w:bCs w:val="1"/>
                <w:color w:val="auto"/>
                <w:w w:val="87"/>
                <w:vertAlign w:val="superscript"/>
              </w:rPr>
              <w:t>(4)</w:t>
            </w:r>
          </w:p>
        </w:tc>
        <w:tc>
          <w:tcPr>
            <w:tcW w:w="16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right"/>
              <w:ind w:right="267"/>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20"/>
        </w:trPr>
        <w:tc>
          <w:tcPr>
            <w:tcW w:w="2100" w:type="dxa"/>
            <w:vAlign w:val="bottom"/>
            <w:shd w:val="clear" w:color="auto" w:fill="CCEEFF"/>
          </w:tcPr>
          <w:p>
            <w:pPr>
              <w:spacing w:after="0" w:line="220" w:lineRule="exact"/>
              <w:rPr>
                <w:sz w:val="20"/>
                <w:szCs w:val="20"/>
                <w:color w:val="auto"/>
              </w:rPr>
            </w:pPr>
            <w:r>
              <w:rPr>
                <w:rFonts w:ascii="Times New Roman" w:cs="Times New Roman" w:eastAsia="Times New Roman" w:hAnsi="Times New Roman"/>
                <w:sz w:val="20"/>
                <w:szCs w:val="20"/>
                <w:color w:val="auto"/>
              </w:rPr>
              <w:t>Ryan Rhodes,</w:t>
            </w:r>
          </w:p>
        </w:tc>
        <w:tc>
          <w:tcPr>
            <w:tcW w:w="560" w:type="dxa"/>
            <w:vAlign w:val="bottom"/>
            <w:gridSpan w:val="2"/>
            <w:shd w:val="clear" w:color="auto" w:fill="CCEEFF"/>
          </w:tcPr>
          <w:p>
            <w:pPr>
              <w:jc w:val="center"/>
              <w:ind w:left="60"/>
              <w:spacing w:after="0" w:line="220" w:lineRule="exact"/>
              <w:rPr>
                <w:sz w:val="20"/>
                <w:szCs w:val="20"/>
                <w:color w:val="auto"/>
              </w:rPr>
            </w:pPr>
            <w:r>
              <w:rPr>
                <w:rFonts w:ascii="Times New Roman" w:cs="Times New Roman" w:eastAsia="Times New Roman" w:hAnsi="Times New Roman"/>
                <w:sz w:val="20"/>
                <w:szCs w:val="20"/>
                <w:color w:val="auto"/>
                <w:w w:val="99"/>
              </w:rPr>
              <w:t>2025</w:t>
            </w:r>
          </w:p>
        </w:tc>
        <w:tc>
          <w:tcPr>
            <w:tcW w:w="920" w:type="dxa"/>
            <w:vAlign w:val="bottom"/>
            <w:gridSpan w:val="2"/>
            <w:shd w:val="clear" w:color="auto" w:fill="CCEEFF"/>
          </w:tcPr>
          <w:p>
            <w:pPr>
              <w:jc w:val="center"/>
              <w:ind w:left="60"/>
              <w:spacing w:after="0" w:line="220" w:lineRule="exact"/>
              <w:rPr>
                <w:sz w:val="20"/>
                <w:szCs w:val="20"/>
                <w:color w:val="auto"/>
              </w:rPr>
            </w:pPr>
            <w:r>
              <w:rPr>
                <w:rFonts w:ascii="Times New Roman" w:cs="Times New Roman" w:eastAsia="Times New Roman" w:hAnsi="Times New Roman"/>
                <w:sz w:val="20"/>
                <w:szCs w:val="20"/>
                <w:color w:val="auto"/>
                <w:w w:val="98"/>
              </w:rPr>
              <w:t>673,100</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ind w:left="180"/>
              <w:spacing w:after="0" w:line="220" w:lineRule="exact"/>
              <w:rPr>
                <w:sz w:val="20"/>
                <w:szCs w:val="20"/>
                <w:color w:val="auto"/>
              </w:rPr>
            </w:pPr>
            <w:r>
              <w:rPr>
                <w:rFonts w:ascii="Times New Roman" w:cs="Times New Roman" w:eastAsia="Times New Roman" w:hAnsi="Times New Roman"/>
                <w:sz w:val="20"/>
                <w:szCs w:val="20"/>
                <w:color w:val="auto"/>
              </w:rPr>
              <w:t>—</w:t>
            </w:r>
          </w:p>
        </w:tc>
        <w:tc>
          <w:tcPr>
            <w:tcW w:w="920" w:type="dxa"/>
            <w:vAlign w:val="bottom"/>
            <w:gridSpan w:val="3"/>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283,900</w:t>
            </w:r>
          </w:p>
        </w:tc>
        <w:tc>
          <w:tcPr>
            <w:tcW w:w="920" w:type="dxa"/>
            <w:vAlign w:val="bottom"/>
            <w:gridSpan w:val="3"/>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390,000</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379,657</w:t>
            </w:r>
          </w:p>
        </w:tc>
        <w:tc>
          <w:tcPr>
            <w:tcW w:w="1140" w:type="dxa"/>
            <w:vAlign w:val="bottom"/>
            <w:gridSpan w:val="3"/>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14,000</w:t>
            </w:r>
          </w:p>
        </w:tc>
        <w:tc>
          <w:tcPr>
            <w:tcW w:w="1080" w:type="dxa"/>
            <w:vAlign w:val="bottom"/>
            <w:gridSpan w:val="2"/>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1,742,648</w:t>
            </w:r>
          </w:p>
        </w:tc>
        <w:tc>
          <w:tcPr>
            <w:tcW w:w="0" w:type="dxa"/>
            <w:vAlign w:val="bottom"/>
          </w:tcPr>
          <w:p>
            <w:pPr>
              <w:spacing w:after="0"/>
              <w:rPr>
                <w:sz w:val="1"/>
                <w:szCs w:val="1"/>
                <w:color w:val="auto"/>
              </w:rPr>
            </w:pPr>
          </w:p>
        </w:tc>
      </w:tr>
      <w:tr>
        <w:trPr>
          <w:trHeight w:val="230"/>
        </w:trPr>
        <w:tc>
          <w:tcPr>
            <w:tcW w:w="2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20"/>
                <w:szCs w:val="20"/>
                <w:i w:val="1"/>
                <w:iCs w:val="1"/>
                <w:color w:val="auto"/>
              </w:rPr>
              <w:t>Chief Executive Officer</w:t>
            </w:r>
          </w:p>
        </w:tc>
        <w:tc>
          <w:tcPr>
            <w:tcW w:w="16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2024</w:t>
            </w:r>
          </w:p>
        </w:tc>
        <w:tc>
          <w:tcPr>
            <w:tcW w:w="160" w:type="dxa"/>
            <w:vAlign w:val="bottom"/>
            <w:tcBorders>
              <w:bottom w:val="single" w:sz="8" w:color="CCEEFF"/>
            </w:tcBorders>
          </w:tcPr>
          <w:p>
            <w:pPr>
              <w:spacing w:after="0"/>
              <w:rPr>
                <w:sz w:val="20"/>
                <w:szCs w:val="20"/>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673,100</w:t>
            </w:r>
          </w:p>
        </w:tc>
        <w:tc>
          <w:tcPr>
            <w:tcW w:w="16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Borders>
              <w:bottom w:val="single" w:sz="8" w:color="CCEEFF"/>
            </w:tcBorders>
            <w:gridSpan w:val="2"/>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427,000</w:t>
            </w:r>
          </w:p>
        </w:tc>
        <w:tc>
          <w:tcPr>
            <w:tcW w:w="1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180,590</w:t>
            </w:r>
          </w:p>
        </w:tc>
        <w:tc>
          <w:tcPr>
            <w:tcW w:w="160" w:type="dxa"/>
            <w:vAlign w:val="bottom"/>
            <w:tcBorders>
              <w:bottom w:val="single" w:sz="8" w:color="CCEEFF"/>
            </w:tcBorders>
            <w:gridSpan w:val="2"/>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1,122</w:t>
            </w:r>
          </w:p>
        </w:tc>
        <w:tc>
          <w:tcPr>
            <w:tcW w:w="16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1,281,812</w:t>
            </w:r>
          </w:p>
        </w:tc>
        <w:tc>
          <w:tcPr>
            <w:tcW w:w="0" w:type="dxa"/>
            <w:vAlign w:val="bottom"/>
          </w:tcPr>
          <w:p>
            <w:pPr>
              <w:spacing w:after="0"/>
              <w:rPr>
                <w:sz w:val="1"/>
                <w:szCs w:val="1"/>
                <w:color w:val="auto"/>
              </w:rPr>
            </w:pPr>
          </w:p>
        </w:tc>
      </w:tr>
      <w:tr>
        <w:trPr>
          <w:trHeight w:val="220"/>
        </w:trPr>
        <w:tc>
          <w:tcPr>
            <w:tcW w:w="2100" w:type="dxa"/>
            <w:vAlign w:val="bottom"/>
            <w:shd w:val="clear" w:color="auto" w:fill="CCEEFF"/>
          </w:tcPr>
          <w:p>
            <w:pPr>
              <w:spacing w:after="0" w:line="220" w:lineRule="exact"/>
              <w:rPr>
                <w:sz w:val="20"/>
                <w:szCs w:val="20"/>
                <w:color w:val="auto"/>
              </w:rPr>
            </w:pPr>
            <w:r>
              <w:rPr>
                <w:rFonts w:ascii="Times New Roman" w:cs="Times New Roman" w:eastAsia="Times New Roman" w:hAnsi="Times New Roman"/>
                <w:sz w:val="20"/>
                <w:szCs w:val="20"/>
                <w:color w:val="auto"/>
              </w:rPr>
              <w:t>Kenneth S. Mobeck,</w:t>
            </w:r>
          </w:p>
        </w:tc>
        <w:tc>
          <w:tcPr>
            <w:tcW w:w="560" w:type="dxa"/>
            <w:vAlign w:val="bottom"/>
            <w:gridSpan w:val="2"/>
            <w:shd w:val="clear" w:color="auto" w:fill="CCEEFF"/>
          </w:tcPr>
          <w:p>
            <w:pPr>
              <w:jc w:val="center"/>
              <w:ind w:left="60"/>
              <w:spacing w:after="0" w:line="220" w:lineRule="exact"/>
              <w:rPr>
                <w:sz w:val="20"/>
                <w:szCs w:val="20"/>
                <w:color w:val="auto"/>
              </w:rPr>
            </w:pPr>
            <w:r>
              <w:rPr>
                <w:rFonts w:ascii="Times New Roman" w:cs="Times New Roman" w:eastAsia="Times New Roman" w:hAnsi="Times New Roman"/>
                <w:sz w:val="20"/>
                <w:szCs w:val="20"/>
                <w:color w:val="auto"/>
                <w:w w:val="99"/>
              </w:rPr>
              <w:t>2025</w:t>
            </w:r>
          </w:p>
        </w:tc>
        <w:tc>
          <w:tcPr>
            <w:tcW w:w="920" w:type="dxa"/>
            <w:vAlign w:val="bottom"/>
            <w:gridSpan w:val="2"/>
            <w:shd w:val="clear" w:color="auto" w:fill="CCEEFF"/>
          </w:tcPr>
          <w:p>
            <w:pPr>
              <w:jc w:val="center"/>
              <w:ind w:left="60"/>
              <w:spacing w:after="0" w:line="220" w:lineRule="exact"/>
              <w:rPr>
                <w:sz w:val="20"/>
                <w:szCs w:val="20"/>
                <w:color w:val="auto"/>
              </w:rPr>
            </w:pPr>
            <w:r>
              <w:rPr>
                <w:rFonts w:ascii="Times New Roman" w:cs="Times New Roman" w:eastAsia="Times New Roman" w:hAnsi="Times New Roman"/>
                <w:sz w:val="20"/>
                <w:szCs w:val="20"/>
                <w:color w:val="auto"/>
                <w:w w:val="98"/>
              </w:rPr>
              <w:t>460,000</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ind w:left="180"/>
              <w:spacing w:after="0" w:line="220" w:lineRule="exact"/>
              <w:rPr>
                <w:sz w:val="20"/>
                <w:szCs w:val="20"/>
                <w:color w:val="auto"/>
              </w:rPr>
            </w:pPr>
            <w:r>
              <w:rPr>
                <w:rFonts w:ascii="Times New Roman" w:cs="Times New Roman" w:eastAsia="Times New Roman" w:hAnsi="Times New Roman"/>
                <w:sz w:val="20"/>
                <w:szCs w:val="20"/>
                <w:color w:val="auto"/>
              </w:rPr>
              <w:t>—</w:t>
            </w:r>
          </w:p>
        </w:tc>
        <w:tc>
          <w:tcPr>
            <w:tcW w:w="920" w:type="dxa"/>
            <w:vAlign w:val="bottom"/>
            <w:gridSpan w:val="3"/>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93,687</w:t>
            </w:r>
          </w:p>
        </w:tc>
        <w:tc>
          <w:tcPr>
            <w:tcW w:w="920" w:type="dxa"/>
            <w:vAlign w:val="bottom"/>
            <w:gridSpan w:val="3"/>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280,500</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158,559</w:t>
            </w:r>
          </w:p>
        </w:tc>
        <w:tc>
          <w:tcPr>
            <w:tcW w:w="1140" w:type="dxa"/>
            <w:vAlign w:val="bottom"/>
            <w:gridSpan w:val="3"/>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14,000</w:t>
            </w:r>
          </w:p>
        </w:tc>
        <w:tc>
          <w:tcPr>
            <w:tcW w:w="1080" w:type="dxa"/>
            <w:vAlign w:val="bottom"/>
            <w:gridSpan w:val="2"/>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1,007,577</w:t>
            </w:r>
          </w:p>
        </w:tc>
        <w:tc>
          <w:tcPr>
            <w:tcW w:w="0" w:type="dxa"/>
            <w:vAlign w:val="bottom"/>
          </w:tcPr>
          <w:p>
            <w:pPr>
              <w:spacing w:after="0"/>
              <w:rPr>
                <w:sz w:val="1"/>
                <w:szCs w:val="1"/>
                <w:color w:val="auto"/>
              </w:rPr>
            </w:pPr>
          </w:p>
        </w:tc>
      </w:tr>
      <w:tr>
        <w:trPr>
          <w:trHeight w:val="230"/>
        </w:trPr>
        <w:tc>
          <w:tcPr>
            <w:tcW w:w="2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20"/>
                <w:szCs w:val="20"/>
                <w:i w:val="1"/>
                <w:iCs w:val="1"/>
                <w:color w:val="auto"/>
              </w:rPr>
              <w:t>Chief Financial Officer</w:t>
            </w:r>
          </w:p>
        </w:tc>
        <w:tc>
          <w:tcPr>
            <w:tcW w:w="16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2024</w:t>
            </w:r>
          </w:p>
        </w:tc>
        <w:tc>
          <w:tcPr>
            <w:tcW w:w="160" w:type="dxa"/>
            <w:vAlign w:val="bottom"/>
            <w:tcBorders>
              <w:bottom w:val="single" w:sz="8" w:color="CCEEFF"/>
            </w:tcBorders>
          </w:tcPr>
          <w:p>
            <w:pPr>
              <w:spacing w:after="0"/>
              <w:rPr>
                <w:sz w:val="20"/>
                <w:szCs w:val="20"/>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460,000</w:t>
            </w:r>
          </w:p>
        </w:tc>
        <w:tc>
          <w:tcPr>
            <w:tcW w:w="16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Borders>
              <w:bottom w:val="single" w:sz="8" w:color="CCEEFF"/>
            </w:tcBorders>
            <w:gridSpan w:val="2"/>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368,000</w:t>
            </w:r>
          </w:p>
        </w:tc>
        <w:tc>
          <w:tcPr>
            <w:tcW w:w="1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211,292</w:t>
            </w:r>
          </w:p>
        </w:tc>
        <w:tc>
          <w:tcPr>
            <w:tcW w:w="160" w:type="dxa"/>
            <w:vAlign w:val="bottom"/>
            <w:tcBorders>
              <w:bottom w:val="single" w:sz="8" w:color="CCEEFF"/>
            </w:tcBorders>
            <w:gridSpan w:val="2"/>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13,800</w:t>
            </w:r>
          </w:p>
        </w:tc>
        <w:tc>
          <w:tcPr>
            <w:tcW w:w="16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1,053,092</w:t>
            </w:r>
          </w:p>
        </w:tc>
        <w:tc>
          <w:tcPr>
            <w:tcW w:w="0" w:type="dxa"/>
            <w:vAlign w:val="bottom"/>
          </w:tcPr>
          <w:p>
            <w:pPr>
              <w:spacing w:after="0"/>
              <w:rPr>
                <w:sz w:val="1"/>
                <w:szCs w:val="1"/>
                <w:color w:val="auto"/>
              </w:rPr>
            </w:pPr>
          </w:p>
        </w:tc>
      </w:tr>
      <w:tr>
        <w:trPr>
          <w:trHeight w:val="201"/>
        </w:trPr>
        <w:tc>
          <w:tcPr>
            <w:tcW w:w="210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20"/>
                <w:szCs w:val="20"/>
                <w:color w:val="auto"/>
              </w:rPr>
              <w:t>Steven Annen</w:t>
            </w:r>
            <w:r>
              <w:rPr>
                <w:rFonts w:ascii="Times New Roman" w:cs="Times New Roman" w:eastAsia="Times New Roman" w:hAnsi="Times New Roman"/>
                <w:sz w:val="20"/>
                <w:szCs w:val="20"/>
                <w:i w:val="1"/>
                <w:iCs w:val="1"/>
                <w:color w:val="auto"/>
              </w:rPr>
              <w:t>, Executive</w:t>
            </w:r>
          </w:p>
        </w:tc>
        <w:tc>
          <w:tcPr>
            <w:tcW w:w="560" w:type="dxa"/>
            <w:vAlign w:val="bottom"/>
            <w:gridSpan w:val="2"/>
            <w:vMerge w:val="restart"/>
            <w:shd w:val="clear" w:color="auto" w:fill="CCEEFF"/>
          </w:tcPr>
          <w:p>
            <w:pPr>
              <w:jc w:val="center"/>
              <w:ind w:left="60"/>
              <w:spacing w:after="0"/>
              <w:rPr>
                <w:sz w:val="20"/>
                <w:szCs w:val="20"/>
                <w:color w:val="auto"/>
              </w:rPr>
            </w:pPr>
            <w:r>
              <w:rPr>
                <w:rFonts w:ascii="Times New Roman" w:cs="Times New Roman" w:eastAsia="Times New Roman" w:hAnsi="Times New Roman"/>
                <w:sz w:val="20"/>
                <w:szCs w:val="20"/>
                <w:color w:val="auto"/>
                <w:w w:val="99"/>
              </w:rPr>
              <w:t>2025</w:t>
            </w:r>
          </w:p>
        </w:tc>
        <w:tc>
          <w:tcPr>
            <w:tcW w:w="16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8"/>
                <w:shd w:val="clear" w:color="auto" w:fill="CCEEFF"/>
              </w:rPr>
              <w:t>336,184</w:t>
            </w:r>
          </w:p>
        </w:tc>
        <w:tc>
          <w:tcPr>
            <w:tcW w:w="160" w:type="dxa"/>
            <w:vAlign w:val="bottom"/>
            <w:shd w:val="clear" w:color="auto" w:fill="CCEEFF"/>
          </w:tcPr>
          <w:p>
            <w:pPr>
              <w:spacing w:after="0"/>
              <w:rPr>
                <w:sz w:val="17"/>
                <w:szCs w:val="17"/>
                <w:color w:val="auto"/>
              </w:rPr>
            </w:pPr>
          </w:p>
        </w:tc>
        <w:tc>
          <w:tcPr>
            <w:tcW w:w="44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70,363</w:t>
            </w:r>
          </w:p>
        </w:tc>
        <w:tc>
          <w:tcPr>
            <w:tcW w:w="92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210,375</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70,057</w:t>
            </w:r>
          </w:p>
        </w:tc>
        <w:tc>
          <w:tcPr>
            <w:tcW w:w="114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11,740</w:t>
            </w:r>
          </w:p>
        </w:tc>
        <w:tc>
          <w:tcPr>
            <w:tcW w:w="16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713,380</w:t>
            </w:r>
          </w:p>
        </w:tc>
        <w:tc>
          <w:tcPr>
            <w:tcW w:w="0" w:type="dxa"/>
            <w:vAlign w:val="bottom"/>
          </w:tcPr>
          <w:p>
            <w:pPr>
              <w:spacing w:after="0"/>
              <w:rPr>
                <w:sz w:val="1"/>
                <w:szCs w:val="1"/>
                <w:color w:val="auto"/>
              </w:rPr>
            </w:pPr>
          </w:p>
        </w:tc>
      </w:tr>
      <w:tr>
        <w:trPr>
          <w:trHeight w:val="247"/>
        </w:trPr>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i w:val="1"/>
                <w:iCs w:val="1"/>
                <w:color w:val="auto"/>
              </w:rPr>
              <w:t>Vice President,</w:t>
            </w:r>
          </w:p>
        </w:tc>
        <w:tc>
          <w:tcPr>
            <w:tcW w:w="560" w:type="dxa"/>
            <w:vAlign w:val="bottom"/>
            <w:gridSpan w:val="2"/>
            <w:vMerge w:val="continue"/>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60" w:type="dxa"/>
            <w:vAlign w:val="bottom"/>
            <w:vMerge w:val="continue"/>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40" w:type="dxa"/>
            <w:vAlign w:val="bottom"/>
            <w:vMerge w:val="continue"/>
            <w:shd w:val="clear" w:color="auto" w:fill="CCEEFF"/>
          </w:tcPr>
          <w:p>
            <w:pPr>
              <w:spacing w:after="0"/>
              <w:rPr>
                <w:sz w:val="21"/>
                <w:szCs w:val="21"/>
                <w:color w:val="auto"/>
              </w:rPr>
            </w:pPr>
          </w:p>
        </w:tc>
        <w:tc>
          <w:tcPr>
            <w:tcW w:w="920" w:type="dxa"/>
            <w:vAlign w:val="bottom"/>
            <w:gridSpan w:val="3"/>
            <w:vMerge w:val="continue"/>
            <w:shd w:val="clear" w:color="auto" w:fill="CCEEFF"/>
          </w:tcPr>
          <w:p>
            <w:pPr>
              <w:spacing w:after="0"/>
              <w:rPr>
                <w:sz w:val="21"/>
                <w:szCs w:val="21"/>
                <w:color w:val="auto"/>
              </w:rPr>
            </w:pPr>
          </w:p>
        </w:tc>
        <w:tc>
          <w:tcPr>
            <w:tcW w:w="920" w:type="dxa"/>
            <w:vAlign w:val="bottom"/>
            <w:gridSpan w:val="3"/>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980" w:type="dxa"/>
            <w:vAlign w:val="bottom"/>
            <w:vMerge w:val="continue"/>
            <w:shd w:val="clear" w:color="auto" w:fill="CCEEFF"/>
          </w:tcPr>
          <w:p>
            <w:pPr>
              <w:spacing w:after="0"/>
              <w:rPr>
                <w:sz w:val="21"/>
                <w:szCs w:val="21"/>
                <w:color w:val="auto"/>
              </w:rPr>
            </w:pPr>
          </w:p>
        </w:tc>
        <w:tc>
          <w:tcPr>
            <w:tcW w:w="1140" w:type="dxa"/>
            <w:vAlign w:val="bottom"/>
            <w:gridSpan w:val="3"/>
            <w:vMerge w:val="continue"/>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2100" w:type="dxa"/>
            <w:vAlign w:val="bottom"/>
          </w:tcPr>
          <w:p>
            <w:pPr>
              <w:spacing w:after="0" w:line="214" w:lineRule="exact"/>
              <w:rPr>
                <w:sz w:val="20"/>
                <w:szCs w:val="20"/>
                <w:color w:val="auto"/>
              </w:rPr>
            </w:pPr>
            <w:r>
              <w:rPr>
                <w:rFonts w:ascii="Times New Roman" w:cs="Times New Roman" w:eastAsia="Times New Roman" w:hAnsi="Times New Roman"/>
                <w:sz w:val="20"/>
                <w:szCs w:val="20"/>
                <w:i w:val="1"/>
                <w:iCs w:val="1"/>
                <w:color w:val="auto"/>
              </w:rPr>
              <w:t>Marketing and Product</w:t>
            </w:r>
          </w:p>
        </w:tc>
        <w:tc>
          <w:tcPr>
            <w:tcW w:w="160" w:type="dxa"/>
            <w:vAlign w:val="bottom"/>
            <w:vMerge w:val="restart"/>
          </w:tcPr>
          <w:p>
            <w:pPr>
              <w:spacing w:after="0"/>
              <w:rPr>
                <w:sz w:val="18"/>
                <w:szCs w:val="18"/>
                <w:color w:val="auto"/>
              </w:rPr>
            </w:pPr>
          </w:p>
        </w:tc>
        <w:tc>
          <w:tcPr>
            <w:tcW w:w="4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2024</w:t>
            </w:r>
          </w:p>
        </w:tc>
        <w:tc>
          <w:tcPr>
            <w:tcW w:w="160" w:type="dxa"/>
            <w:vAlign w:val="bottom"/>
            <w:vMerge w:val="restart"/>
          </w:tcPr>
          <w:p>
            <w:pPr>
              <w:spacing w:after="0"/>
              <w:rPr>
                <w:sz w:val="18"/>
                <w:szCs w:val="18"/>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327,796</w:t>
            </w:r>
          </w:p>
        </w:tc>
        <w:tc>
          <w:tcPr>
            <w:tcW w:w="160" w:type="dxa"/>
            <w:vAlign w:val="bottom"/>
          </w:tcPr>
          <w:p>
            <w:pPr>
              <w:spacing w:after="0"/>
              <w:rPr>
                <w:sz w:val="18"/>
                <w:szCs w:val="18"/>
                <w:color w:val="auto"/>
              </w:rPr>
            </w:pPr>
          </w:p>
        </w:tc>
        <w:tc>
          <w:tcPr>
            <w:tcW w:w="440" w:type="dxa"/>
            <w:vAlign w:val="bottom"/>
            <w:vMerge w:val="restart"/>
          </w:tcPr>
          <w:p>
            <w:pPr>
              <w:ind w:left="18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83,377</w:t>
            </w:r>
          </w:p>
        </w:tc>
        <w:tc>
          <w:tcPr>
            <w:tcW w:w="140" w:type="dxa"/>
            <w:vAlign w:val="bottom"/>
            <w:vMerge w:val="restart"/>
          </w:tcPr>
          <w:p>
            <w:pPr>
              <w:spacing w:after="0"/>
              <w:rPr>
                <w:sz w:val="18"/>
                <w:szCs w:val="18"/>
                <w:color w:val="auto"/>
              </w:rPr>
            </w:pP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11,882</w:t>
            </w:r>
          </w:p>
        </w:tc>
        <w:tc>
          <w:tcPr>
            <w:tcW w:w="160" w:type="dxa"/>
            <w:vAlign w:val="bottom"/>
            <w:vMerge w:val="restart"/>
          </w:tcPr>
          <w:p>
            <w:pPr>
              <w:spacing w:after="0"/>
              <w:rPr>
                <w:sz w:val="18"/>
                <w:szCs w:val="18"/>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423,055</w:t>
            </w:r>
          </w:p>
        </w:tc>
        <w:tc>
          <w:tcPr>
            <w:tcW w:w="0" w:type="dxa"/>
            <w:vAlign w:val="bottom"/>
          </w:tcPr>
          <w:p>
            <w:pPr>
              <w:spacing w:after="0"/>
              <w:rPr>
                <w:sz w:val="1"/>
                <w:szCs w:val="1"/>
                <w:color w:val="auto"/>
              </w:rPr>
            </w:pPr>
          </w:p>
        </w:tc>
      </w:tr>
      <w:tr>
        <w:trPr>
          <w:trHeight w:val="247"/>
        </w:trPr>
        <w:tc>
          <w:tcPr>
            <w:tcW w:w="2100" w:type="dxa"/>
            <w:vAlign w:val="bottom"/>
          </w:tcPr>
          <w:p>
            <w:pPr>
              <w:spacing w:after="0" w:line="247" w:lineRule="exact"/>
              <w:rPr>
                <w:sz w:val="20"/>
                <w:szCs w:val="20"/>
                <w:color w:val="auto"/>
              </w:rPr>
            </w:pPr>
            <w:r>
              <w:rPr>
                <w:rFonts w:ascii="Times New Roman" w:cs="Times New Roman" w:eastAsia="Times New Roman" w:hAnsi="Times New Roman"/>
                <w:sz w:val="20"/>
                <w:szCs w:val="20"/>
                <w:i w:val="1"/>
                <w:iCs w:val="1"/>
                <w:color w:val="auto"/>
              </w:rPr>
              <w:t>Management</w:t>
            </w:r>
            <w:r>
              <w:rPr>
                <w:rFonts w:ascii="Times New Roman" w:cs="Times New Roman" w:eastAsia="Times New Roman" w:hAnsi="Times New Roman"/>
                <w:sz w:val="25"/>
                <w:szCs w:val="25"/>
                <w:i w:val="1"/>
                <w:iCs w:val="1"/>
                <w:color w:val="auto"/>
                <w:vertAlign w:val="superscript"/>
              </w:rPr>
              <w:t>(1)</w:t>
            </w:r>
          </w:p>
        </w:tc>
        <w:tc>
          <w:tcPr>
            <w:tcW w:w="160" w:type="dxa"/>
            <w:vAlign w:val="bottom"/>
            <w:vMerge w:val="continue"/>
          </w:tcPr>
          <w:p>
            <w:pPr>
              <w:spacing w:after="0"/>
              <w:rPr>
                <w:sz w:val="21"/>
                <w:szCs w:val="21"/>
                <w:color w:val="auto"/>
              </w:rPr>
            </w:pPr>
          </w:p>
        </w:tc>
        <w:tc>
          <w:tcPr>
            <w:tcW w:w="400" w:type="dxa"/>
            <w:vAlign w:val="bottom"/>
            <w:tcBorders>
              <w:bottom w:val="single" w:sz="8" w:color="auto"/>
            </w:tcBorders>
            <w:vMerge w:val="continue"/>
          </w:tcPr>
          <w:p>
            <w:pPr>
              <w:spacing w:after="0"/>
              <w:rPr>
                <w:sz w:val="21"/>
                <w:szCs w:val="21"/>
                <w:color w:val="auto"/>
              </w:rPr>
            </w:pPr>
          </w:p>
        </w:tc>
        <w:tc>
          <w:tcPr>
            <w:tcW w:w="160" w:type="dxa"/>
            <w:vAlign w:val="bottom"/>
            <w:vMerge w:val="continue"/>
          </w:tcPr>
          <w:p>
            <w:pPr>
              <w:spacing w:after="0"/>
              <w:rPr>
                <w:sz w:val="21"/>
                <w:szCs w:val="21"/>
                <w:color w:val="auto"/>
              </w:rPr>
            </w:pPr>
          </w:p>
        </w:tc>
        <w:tc>
          <w:tcPr>
            <w:tcW w:w="760" w:type="dxa"/>
            <w:vAlign w:val="bottom"/>
            <w:tcBorders>
              <w:bottom w:val="single" w:sz="8" w:color="auto"/>
            </w:tcBorders>
            <w:vMerge w:val="continue"/>
          </w:tcPr>
          <w:p>
            <w:pPr>
              <w:spacing w:after="0"/>
              <w:rPr>
                <w:sz w:val="21"/>
                <w:szCs w:val="21"/>
                <w:color w:val="auto"/>
              </w:rPr>
            </w:pPr>
          </w:p>
        </w:tc>
        <w:tc>
          <w:tcPr>
            <w:tcW w:w="160" w:type="dxa"/>
            <w:vAlign w:val="bottom"/>
          </w:tcPr>
          <w:p>
            <w:pPr>
              <w:spacing w:after="0"/>
              <w:rPr>
                <w:sz w:val="21"/>
                <w:szCs w:val="21"/>
                <w:color w:val="auto"/>
              </w:rPr>
            </w:pPr>
          </w:p>
        </w:tc>
        <w:tc>
          <w:tcPr>
            <w:tcW w:w="440" w:type="dxa"/>
            <w:vAlign w:val="bottom"/>
            <w:tcBorders>
              <w:bottom w:val="single" w:sz="8" w:color="auto"/>
            </w:tcBorders>
            <w:vMerge w:val="continue"/>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vMerge w:val="continue"/>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vMerge w:val="continue"/>
          </w:tcPr>
          <w:p>
            <w:pPr>
              <w:spacing w:after="0"/>
              <w:rPr>
                <w:sz w:val="21"/>
                <w:szCs w:val="21"/>
                <w:color w:val="auto"/>
              </w:rPr>
            </w:pPr>
          </w:p>
        </w:tc>
        <w:tc>
          <w:tcPr>
            <w:tcW w:w="140" w:type="dxa"/>
            <w:vAlign w:val="bottom"/>
            <w:vMerge w:val="continue"/>
          </w:tcPr>
          <w:p>
            <w:pPr>
              <w:spacing w:after="0"/>
              <w:rPr>
                <w:sz w:val="21"/>
                <w:szCs w:val="21"/>
                <w:color w:val="auto"/>
              </w:rPr>
            </w:pPr>
          </w:p>
        </w:tc>
        <w:tc>
          <w:tcPr>
            <w:tcW w:w="20" w:type="dxa"/>
            <w:vAlign w:val="bottom"/>
            <w:tcBorders>
              <w:bottom w:val="single" w:sz="8" w:color="auto"/>
            </w:tcBorders>
            <w:vMerge w:val="continue"/>
          </w:tcPr>
          <w:p>
            <w:pPr>
              <w:spacing w:after="0"/>
              <w:rPr>
                <w:sz w:val="21"/>
                <w:szCs w:val="21"/>
                <w:color w:val="auto"/>
              </w:rPr>
            </w:pPr>
          </w:p>
        </w:tc>
        <w:tc>
          <w:tcPr>
            <w:tcW w:w="980" w:type="dxa"/>
            <w:vAlign w:val="bottom"/>
            <w:tcBorders>
              <w:bottom w:val="single" w:sz="8" w:color="auto"/>
            </w:tcBorders>
            <w:vMerge w:val="continue"/>
          </w:tcPr>
          <w:p>
            <w:pPr>
              <w:spacing w:after="0"/>
              <w:rPr>
                <w:sz w:val="21"/>
                <w:szCs w:val="21"/>
                <w:color w:val="auto"/>
              </w:rPr>
            </w:pPr>
          </w:p>
        </w:tc>
        <w:tc>
          <w:tcPr>
            <w:tcW w:w="140" w:type="dxa"/>
            <w:vAlign w:val="bottom"/>
            <w:vMerge w:val="continue"/>
          </w:tcPr>
          <w:p>
            <w:pPr>
              <w:spacing w:after="0"/>
              <w:rPr>
                <w:sz w:val="21"/>
                <w:szCs w:val="21"/>
                <w:color w:val="auto"/>
              </w:rPr>
            </w:pPr>
          </w:p>
        </w:tc>
        <w:tc>
          <w:tcPr>
            <w:tcW w:w="1000" w:type="dxa"/>
            <w:vAlign w:val="bottom"/>
            <w:tcBorders>
              <w:bottom w:val="single" w:sz="8" w:color="auto"/>
            </w:tcBorders>
            <w:gridSpan w:val="2"/>
            <w:vMerge w:val="continue"/>
          </w:tcPr>
          <w:p>
            <w:pPr>
              <w:spacing w:after="0"/>
              <w:rPr>
                <w:sz w:val="21"/>
                <w:szCs w:val="21"/>
                <w:color w:val="auto"/>
              </w:rPr>
            </w:pPr>
          </w:p>
        </w:tc>
        <w:tc>
          <w:tcPr>
            <w:tcW w:w="160" w:type="dxa"/>
            <w:vAlign w:val="bottom"/>
            <w:vMerge w:val="continue"/>
          </w:tcPr>
          <w:p>
            <w:pPr>
              <w:spacing w:after="0"/>
              <w:rPr>
                <w:sz w:val="21"/>
                <w:szCs w:val="21"/>
                <w:color w:val="auto"/>
              </w:rPr>
            </w:pPr>
          </w:p>
        </w:tc>
        <w:tc>
          <w:tcPr>
            <w:tcW w:w="92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107950</wp:posOffset>
                </wp:positionV>
                <wp:extent cx="1488440" cy="0"/>
                <wp:wrapNone/>
                <wp:docPr id="258" name="Shape 2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88440" cy="4763"/>
                        </a:xfrm>
                        <a:prstGeom prst="line">
                          <a:avLst/>
                        </a:prstGeom>
                        <a:solidFill>
                          <a:srgbClr val="FFFFFF"/>
                        </a:solidFill>
                        <a:ln w="12065">
                          <a:solidFill>
                            <a:srgbClr val="000000"/>
                          </a:solidFill>
                          <a:miter lim="800000"/>
                          <a:headEnd/>
                          <a:tailEnd/>
                        </a:ln>
                      </wps:spPr>
                      <wps:bodyPr/>
                    </wps:wsp>
                  </a:graphicData>
                </a:graphic>
              </wp:anchor>
            </w:drawing>
          </mc:Choice>
          <mc:Fallback>
            <w:pict>
              <v:line id="Shape 258" o:spid="_x0000_s12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8.5pt" to="117.5pt,8.5pt" o:allowincell="f" strokecolor="#000000" strokeweight="0.95pt"/>
            </w:pict>
          </mc:Fallback>
        </mc:AlternateContent>
      </w:r>
    </w:p>
    <w:p>
      <w:pPr>
        <w:spacing w:after="0" w:line="194" w:lineRule="exact"/>
        <w:rPr>
          <w:sz w:val="20"/>
          <w:szCs w:val="20"/>
          <w:color w:val="auto"/>
        </w:rPr>
      </w:pPr>
    </w:p>
    <w:p>
      <w:pPr>
        <w:ind w:left="360" w:right="260" w:hanging="353"/>
        <w:spacing w:after="0" w:line="239" w:lineRule="auto"/>
        <w:tabs>
          <w:tab w:leader="none" w:pos="360"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Annen was promoted to Executive Vice President, Marketing and Product Management effective December 16, 2025. In connection with this promotion, his annual base salary was increased to $400,000. The salary reported reflects this increase.</w:t>
      </w:r>
    </w:p>
    <w:p>
      <w:pPr>
        <w:ind w:left="360" w:hanging="353"/>
        <w:spacing w:after="0" w:line="239" w:lineRule="auto"/>
        <w:tabs>
          <w:tab w:leader="none" w:pos="360"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aggregate grant date fair value of stock and option awards computed in accordance with Financial Accounting Standards Board Codification Topic 718, Compensation--Stock Compensation, or ASC 718. For fiscal year 2025, the “Stock Awards” column reflects the grant date fair value of RSUs granted in 2025 and the “Option Awards” column reflects the value of stock options granted in 2025 that is based on the Black-Scholes option pricing model. The assumptions used in calculating these values are described in Note 18 to the consolidated financial statements included in this Annual Report on Form 10-K.</w:t>
      </w:r>
    </w:p>
    <w:p>
      <w:pPr>
        <w:spacing w:after="0" w:line="2" w:lineRule="exact"/>
        <w:rPr>
          <w:rFonts w:ascii="Times New Roman" w:cs="Times New Roman" w:eastAsia="Times New Roman" w:hAnsi="Times New Roman"/>
          <w:sz w:val="16"/>
          <w:szCs w:val="16"/>
          <w:color w:val="auto"/>
        </w:rPr>
      </w:pPr>
    </w:p>
    <w:p>
      <w:pPr>
        <w:ind w:left="440" w:right="20" w:hanging="433"/>
        <w:spacing w:after="0" w:line="241" w:lineRule="auto"/>
        <w:tabs>
          <w:tab w:leader="none" w:pos="440"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amounts reported for fiscal year 2025 represent annual bonuses relating to the performance period ending on December 31, 2025, which are scheduled to be paid in May 2026.</w:t>
      </w:r>
    </w:p>
    <w:p>
      <w:pPr>
        <w:ind w:left="360" w:right="120" w:hanging="353"/>
        <w:spacing w:after="0" w:line="281" w:lineRule="auto"/>
        <w:tabs>
          <w:tab w:leader="none" w:pos="360"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reported in “All Other Compensation” represent Company matching contributions under the Company’s 401(k) plan for each of the NEOs.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Employment Agreements with NEOs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Ryan Rhodes</w:t>
      </w:r>
    </w:p>
    <w:p>
      <w:pPr>
        <w:spacing w:after="0" w:line="203" w:lineRule="exact"/>
        <w:rPr>
          <w:sz w:val="20"/>
          <w:szCs w:val="20"/>
          <w:color w:val="auto"/>
        </w:rPr>
      </w:pPr>
    </w:p>
    <w:p>
      <w:pPr>
        <w:jc w:val="both"/>
        <w:ind w:right="280"/>
        <w:spacing w:after="0" w:line="259" w:lineRule="auto"/>
        <w:rPr>
          <w:sz w:val="20"/>
          <w:szCs w:val="20"/>
          <w:color w:val="auto"/>
        </w:rPr>
      </w:pPr>
      <w:r>
        <w:rPr>
          <w:rFonts w:ascii="Times New Roman" w:cs="Times New Roman" w:eastAsia="Times New Roman" w:hAnsi="Times New Roman"/>
          <w:sz w:val="20"/>
          <w:szCs w:val="20"/>
          <w:color w:val="auto"/>
        </w:rPr>
        <w:t>EDAP Technomed Inc. entered into an amended and restated employment agreement with Mr. Rhodes on May 1, 2023, which provides for his continued service as the Chief Executive Officer of EDAP Technomed Inc. and his service as the Chief Executive Officer of the Company.</w:t>
      </w:r>
    </w:p>
    <w:p>
      <w:pPr>
        <w:spacing w:after="0" w:line="146"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20"/>
          <w:szCs w:val="20"/>
          <w:color w:val="auto"/>
        </w:rPr>
        <w:t>Pursuant to his employment agreement, Mr. Rhodes receives an annual base salary, which was $673,100 for 2025, and he is eligible to participate in EDAP Technomed Inc.’s employee benefit plans as well as earn an annual performance bonus based on the achievement of performance objectives established by the compensation committee of the Board of Directors. Although the employment agreement provides that Mr. Rhodes’s target bonus opportunity was equal to 70% of his base salary, in June 2025, the compensation committee approved an increase to his target bonus opportunity to 90% of his base salary beginning on January 1, 2025. The employment agreement also provides that Mr. Rhodes is eligible to receive equity-based compensation under the Company’s equity incentive plans.</w:t>
      </w:r>
    </w:p>
    <w:p>
      <w:pPr>
        <w:spacing w:after="0" w:line="162"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Mr. Rhodes’s employment may be terminated by EDAP Technomed Inc. or by Mr. Rhodes at any time and without advance notice (except in the event of a termination by Mr. Rhodes for “good reason” (as defined in his employment agreement)). If EDAP Technomed Inc. terminates Mr. Rhodes’s employment other than for “cause” (as defined in his employment agreement) or Mr. Rhodes terminates his employment for “good reason,” Mr. Rhodes will receive the following compensation and benefits, subject to his executing and not revoking a release of claims against EDAP Technomed Inc. and its affiliates: (i) a lump sum cash payment equal to the sum of 12 months of his base salary and a pro-rata portion of his target annual bonus opportunity for the year of termination; (ii) 12 months of additional vesting credit for outstanding equity awards; and (iii) payment of, or reimbursement for, the COBRA premium payments of Mr. Rhodes and his covered dependents (less the amount of Mr. Rhodes’s monthly premium contributions for such coverage prior to his termination of employment) for 12 months (or until Mr. Rhodes becomes eligible for coverage under another medical plan, whichever occurs first).</w:t>
      </w:r>
    </w:p>
    <w:p>
      <w:pPr>
        <w:spacing w:after="0" w:line="168" w:lineRule="exact"/>
        <w:rPr>
          <w:sz w:val="20"/>
          <w:szCs w:val="20"/>
          <w:color w:val="auto"/>
        </w:rPr>
      </w:pPr>
    </w:p>
    <w:p>
      <w:pPr>
        <w:ind w:right="360"/>
        <w:spacing w:after="0" w:line="259" w:lineRule="auto"/>
        <w:rPr>
          <w:sz w:val="20"/>
          <w:szCs w:val="20"/>
          <w:color w:val="auto"/>
        </w:rPr>
      </w:pPr>
      <w:r>
        <w:rPr>
          <w:rFonts w:ascii="Times New Roman" w:cs="Times New Roman" w:eastAsia="Times New Roman" w:hAnsi="Times New Roman"/>
          <w:sz w:val="20"/>
          <w:szCs w:val="20"/>
          <w:color w:val="auto"/>
        </w:rPr>
        <w:t>On March 24, 2026, Mr. Rhodes was designated as a Tier 1 Participant in the Severance Plan that provides severance benefits upon a qualifying termination of employment (as defined in the Severance Plan) that are generally similar to those described above but which, as of March 24, 2026, supersede and replace the severance</w:t>
      </w:r>
    </w:p>
    <w:p>
      <w:pPr>
        <w:sectPr>
          <w:pgSz w:w="11900" w:h="16838" w:orient="portrait"/>
          <w:cols w:equalWidth="0" w:num="1">
            <w:col w:w="9380"/>
          </w:cols>
          <w:pgMar w:left="1260" w:top="1243" w:right="1266" w:bottom="723" w:gutter="0" w:footer="0" w:header="0"/>
        </w:sect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64</w:t>
      </w:r>
    </w:p>
    <w:p>
      <w:pPr>
        <w:sectPr>
          <w:pgSz w:w="11900" w:h="16838" w:orient="portrait"/>
          <w:cols w:equalWidth="0" w:num="1">
            <w:col w:w="9380"/>
          </w:cols>
          <w:pgMar w:left="1260" w:top="1243" w:right="1266" w:bottom="723" w:gutter="0" w:footer="0" w:header="0"/>
          <w:type w:val="continuous"/>
        </w:sectPr>
      </w:pPr>
    </w:p>
    <w:bookmarkStart w:id="118" w:name="page119"/>
    <w:bookmarkEnd w:id="118"/>
    <w:p>
      <w:pPr>
        <w:ind w:right="100"/>
        <w:spacing w:after="0" w:line="258"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795655</wp:posOffset>
            </wp:positionH>
            <wp:positionV relativeFrom="page">
              <wp:posOffset>292735</wp:posOffset>
            </wp:positionV>
            <wp:extent cx="929005" cy="1149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159">
                      <a:extLst>
                        <a:ext uri="{28A0092B-C50C-407E-A947-70E740481C1C}"/>
                      </a:extLst>
                    </a:blip>
                    <a:srcRect/>
                    <a:stretch>
                      <a:fillRect/>
                    </a:stretch>
                  </pic:blipFill>
                  <pic:spPr bwMode="auto">
                    <a:xfrm>
                      <a:off x="0" y="0"/>
                      <a:ext cx="929005" cy="114935"/>
                    </a:xfrm>
                    <a:prstGeom prst="rect">
                      <a:avLst/>
                    </a:prstGeom>
                    <a:noFill/>
                  </pic:spPr>
                </pic:pic>
              </a:graphicData>
            </a:graphic>
          </wp:anchor>
        </w:drawing>
        <w:t>benefits under Mr. Rhodes’s employment agreement and provides additional benefits following a change in control (as defined in the Severance Plan). See Item 9B of this Annual Report on Form 10-K for a description of the material terms of the EDAP TMS S.A. Executive Severance Plan.</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Kenneth Mobeck</w:t>
      </w:r>
    </w:p>
    <w:p>
      <w:pPr>
        <w:spacing w:after="0" w:line="198" w:lineRule="exact"/>
        <w:rPr>
          <w:sz w:val="20"/>
          <w:szCs w:val="20"/>
          <w:color w:val="auto"/>
        </w:rPr>
      </w:pPr>
    </w:p>
    <w:p>
      <w:pPr>
        <w:ind w:right="200"/>
        <w:spacing w:after="0" w:line="250" w:lineRule="auto"/>
        <w:rPr>
          <w:sz w:val="20"/>
          <w:szCs w:val="20"/>
          <w:color w:val="auto"/>
        </w:rPr>
      </w:pPr>
      <w:r>
        <w:rPr>
          <w:rFonts w:ascii="Times New Roman" w:cs="Times New Roman" w:eastAsia="Times New Roman" w:hAnsi="Times New Roman"/>
          <w:sz w:val="20"/>
          <w:szCs w:val="20"/>
          <w:color w:val="auto"/>
        </w:rPr>
        <w:t>EDAP Technomed Inc. entered into an employment agreement with Mr. Mobeck in October 2022 in connection with his appointment as Chief Financial Officer of the Company’s U.S. operations. His employment agreement provides for an annual base salary, which was $460,000 for 2025, eligibility to receive a target bonus opportunity, participation in the Company’s employee benefit plans and eligibility to receive equity-based compensation under the Company’s equity incentive plans.</w:t>
      </w:r>
    </w:p>
    <w:p>
      <w:pPr>
        <w:spacing w:after="0" w:line="154" w:lineRule="exact"/>
        <w:rPr>
          <w:sz w:val="20"/>
          <w:szCs w:val="20"/>
          <w:color w:val="auto"/>
        </w:rPr>
      </w:pPr>
    </w:p>
    <w:p>
      <w:pPr>
        <w:ind w:right="300"/>
        <w:spacing w:after="0" w:line="239" w:lineRule="auto"/>
        <w:rPr>
          <w:sz w:val="20"/>
          <w:szCs w:val="20"/>
          <w:color w:val="auto"/>
        </w:rPr>
      </w:pPr>
      <w:r>
        <w:rPr>
          <w:rFonts w:ascii="Times New Roman" w:cs="Times New Roman" w:eastAsia="Times New Roman" w:hAnsi="Times New Roman"/>
          <w:sz w:val="20"/>
          <w:szCs w:val="20"/>
          <w:color w:val="auto"/>
        </w:rPr>
        <w:t>In January 2024, the Company approved a promotion and compensation adjustment for Mr. Mobeck, pursuant to which he was appointed as the Chief Financial Officer of the Company. In connection with this promotion,</w:t>
      </w:r>
    </w:p>
    <w:p>
      <w:pPr>
        <w:spacing w:after="0" w:line="1" w:lineRule="exact"/>
        <w:rPr>
          <w:sz w:val="20"/>
          <w:szCs w:val="20"/>
          <w:color w:val="auto"/>
        </w:rPr>
      </w:pPr>
    </w:p>
    <w:p>
      <w:pPr>
        <w:jc w:val="both"/>
        <w:ind w:right="120"/>
        <w:spacing w:after="0" w:line="259" w:lineRule="auto"/>
        <w:rPr>
          <w:sz w:val="20"/>
          <w:szCs w:val="20"/>
          <w:color w:val="auto"/>
        </w:rPr>
      </w:pPr>
      <w:r>
        <w:rPr>
          <w:rFonts w:ascii="Times New Roman" w:cs="Times New Roman" w:eastAsia="Times New Roman" w:hAnsi="Times New Roman"/>
          <w:sz w:val="20"/>
          <w:szCs w:val="20"/>
          <w:color w:val="auto"/>
        </w:rPr>
        <w:t>Mr. Mobeck’s annual base salary increased to $460,000, and he became eligible to receive an annual performance bonus opportunity of up to 55% of his base salary, based on the achievement of performance objectives established by the Company, effective as of January 1, 2024.</w:t>
      </w:r>
    </w:p>
    <w:p>
      <w:pPr>
        <w:spacing w:after="0" w:line="14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20"/>
          <w:szCs w:val="20"/>
          <w:color w:val="auto"/>
        </w:rPr>
        <w:t>Under the terms of Mr. Mobeck’s employment agreement, if his employment is terminated by EDAP Technomed Inc. without “Cause” or by him for “Good Reason,” (each as defined in his employment agreement) and subject to his execution of a general release of claims against EDAP Technomed Inc. and its affiliates, he is entitled to receive</w:t>
      </w:r>
    </w:p>
    <w:p>
      <w:pPr>
        <w:spacing w:after="0" w:line="1" w:lineRule="exact"/>
        <w:rPr>
          <w:sz w:val="20"/>
          <w:szCs w:val="20"/>
          <w:color w:val="auto"/>
        </w:rPr>
      </w:pPr>
    </w:p>
    <w:p>
      <w:pPr>
        <w:ind w:firstLine="7"/>
        <w:spacing w:after="0" w:line="265" w:lineRule="auto"/>
        <w:tabs>
          <w:tab w:leader="none" w:pos="24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lump sum payment equal to twelve months of base salary, (ii) 12 months of additional vesting credit for outstanding equity awards and (iii) payment of, or reimbursement for, the COBRA premium payments of Mr. Mobeck and his covered dependents (less the amount of Mr. Mobeck’s monthly premium contributions for such coverage prior to his termination of employment) for 12 months (or until Mr. Mobeck becomes eligible for coverage under another medical plan, whichever occurs first).</w:t>
      </w:r>
    </w:p>
    <w:p>
      <w:pPr>
        <w:spacing w:after="0" w:line="118" w:lineRule="exact"/>
        <w:rPr>
          <w:sz w:val="20"/>
          <w:szCs w:val="20"/>
          <w:color w:val="auto"/>
        </w:rPr>
      </w:pPr>
    </w:p>
    <w:p>
      <w:pPr>
        <w:ind w:right="80"/>
        <w:spacing w:after="0" w:line="274" w:lineRule="auto"/>
        <w:rPr>
          <w:sz w:val="20"/>
          <w:szCs w:val="20"/>
          <w:color w:val="auto"/>
        </w:rPr>
      </w:pPr>
      <w:r>
        <w:rPr>
          <w:rFonts w:ascii="Times New Roman" w:cs="Times New Roman" w:eastAsia="Times New Roman" w:hAnsi="Times New Roman"/>
          <w:sz w:val="20"/>
          <w:szCs w:val="20"/>
          <w:color w:val="auto"/>
        </w:rPr>
        <w:t>In addition, upon a qualifying termination within 3 months prior to, or 12 months following, a change in control (as such term is defined in his agreement), Mr. Mobeck is entitled to full acceleration of vesting of his outstanding equity awards (rather than an additional 12 months of vesting credit).</w:t>
      </w:r>
    </w:p>
    <w:p>
      <w:pPr>
        <w:spacing w:after="0" w:line="108"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20"/>
          <w:szCs w:val="20"/>
          <w:color w:val="auto"/>
        </w:rPr>
        <w:t>On March 24, 2026, Mr. Mobeck was designated as a Tier 2 Participant in the Severance Plan that provides severance benefits upon a qualifying termination of employment (as defined in the Severance Plan) that are generally similar to those described above but which, as of March 24, 2026, supersede and replace the severance benefits under Mr. Mobeck’s employment agreement and provides additional benefits following a change in control (as defined in the Severance Plan). See Item 9B of this Annual Report on Form 10-K for a description of the material terms of the EDAP TMS S.A. Executive Severance Plan.</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Steven Annen</w:t>
      </w:r>
    </w:p>
    <w:p>
      <w:pPr>
        <w:spacing w:after="0" w:line="198"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20"/>
          <w:szCs w:val="20"/>
          <w:color w:val="auto"/>
        </w:rPr>
        <w:t>Mr. Annen’s compensation is governed by an offer letter and subsequent promotion letter from EDAP Technomed Inc. As of December 16, 2025, his annual base salary is $400,000, and he is eligible to receive an annual performance-based bonus with a target of up to 40% of his base salary. His employment is at-will and he is eligible to participate in EDAP Technomed Inc.’s standard employee benefit plans.</w:t>
      </w:r>
    </w:p>
    <w:p>
      <w:pPr>
        <w:spacing w:after="0" w:line="153" w:lineRule="exact"/>
        <w:rPr>
          <w:sz w:val="20"/>
          <w:szCs w:val="20"/>
          <w:color w:val="auto"/>
        </w:rPr>
      </w:pPr>
    </w:p>
    <w:p>
      <w:pPr>
        <w:ind w:right="200"/>
        <w:spacing w:after="0" w:line="279" w:lineRule="auto"/>
        <w:rPr>
          <w:sz w:val="20"/>
          <w:szCs w:val="20"/>
          <w:color w:val="auto"/>
        </w:rPr>
      </w:pPr>
      <w:r>
        <w:rPr>
          <w:rFonts w:ascii="Times New Roman" w:cs="Times New Roman" w:eastAsia="Times New Roman" w:hAnsi="Times New Roman"/>
          <w:sz w:val="20"/>
          <w:szCs w:val="20"/>
          <w:color w:val="auto"/>
        </w:rPr>
        <w:t>In connection with his initial employment in 2023, Mr. Annen received an option to purchase 80,000 shares of the Company’s common stock, subject to Board approval and the terms of the Company’s equity incentive plan.</w:t>
      </w:r>
    </w:p>
    <w:p>
      <w:pPr>
        <w:spacing w:after="0" w:line="12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On March 24, 2026, Mr. Annen was designated as a Tier 2 Participant in the Severance Plan that provides severance benefits to Mr. Annen upon a qualifying termination of employment (as defined in the Severance Plan) that occurs before and after a change in control (to be as defined in the Severance Plan). See Item 9B of this Annual Report on Form 10-K for a description of the material terms of the EDAP TMS S.A. Executive Severance Plan.</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2025 Short-Term Incentive Compensation</w:t>
      </w:r>
    </w:p>
    <w:p>
      <w:pPr>
        <w:spacing w:after="0" w:line="203" w:lineRule="exact"/>
        <w:rPr>
          <w:sz w:val="20"/>
          <w:szCs w:val="20"/>
          <w:color w:val="auto"/>
        </w:rPr>
      </w:pPr>
    </w:p>
    <w:p>
      <w:pPr>
        <w:ind w:right="140"/>
        <w:spacing w:after="0" w:line="294" w:lineRule="auto"/>
        <w:rPr>
          <w:sz w:val="20"/>
          <w:szCs w:val="20"/>
          <w:color w:val="auto"/>
        </w:rPr>
      </w:pPr>
      <w:r>
        <w:rPr>
          <w:rFonts w:ascii="Times New Roman" w:cs="Times New Roman" w:eastAsia="Times New Roman" w:hAnsi="Times New Roman"/>
          <w:sz w:val="20"/>
          <w:szCs w:val="20"/>
          <w:color w:val="auto"/>
        </w:rPr>
        <w:t>The Company’s short-term incentive compensation program for 2025 was based on a combination of financial and strategic performance metrics, with a target bonus opportunity expressed as a percentage of each executive’s base</w:t>
      </w:r>
    </w:p>
    <w:p>
      <w:pPr>
        <w:sectPr>
          <w:pgSz w:w="11900" w:h="16838" w:orient="portrait"/>
          <w:cols w:equalWidth="0" w:num="1">
            <w:col w:w="9340"/>
          </w:cols>
          <w:pgMar w:left="1260" w:top="1247" w:right="1306" w:bottom="723" w:gutter="0" w:footer="0" w:header="0"/>
        </w:sectPr>
      </w:pPr>
    </w:p>
    <w:p>
      <w:pPr>
        <w:spacing w:after="0" w:line="200" w:lineRule="exact"/>
        <w:rPr>
          <w:sz w:val="20"/>
          <w:szCs w:val="20"/>
          <w:color w:val="auto"/>
        </w:rPr>
      </w:pPr>
    </w:p>
    <w:p>
      <w:pPr>
        <w:spacing w:after="0" w:line="3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65</w:t>
      </w:r>
    </w:p>
    <w:p>
      <w:pPr>
        <w:sectPr>
          <w:pgSz w:w="11900" w:h="16838" w:orient="portrait"/>
          <w:cols w:equalWidth="0" w:num="1">
            <w:col w:w="9340"/>
          </w:cols>
          <w:pgMar w:left="1260" w:top="1247" w:right="1306" w:bottom="723" w:gutter="0" w:footer="0" w:header="0"/>
          <w:type w:val="continuous"/>
        </w:sectPr>
      </w:pPr>
    </w:p>
    <w:bookmarkStart w:id="119" w:name="page120"/>
    <w:bookmarkEnd w:id="119"/>
    <w:p>
      <w:pPr>
        <w:ind w:right="80"/>
        <w:spacing w:after="0" w:line="294"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795655</wp:posOffset>
            </wp:positionH>
            <wp:positionV relativeFrom="page">
              <wp:posOffset>292735</wp:posOffset>
            </wp:positionV>
            <wp:extent cx="929005" cy="1149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160">
                      <a:extLst>
                        <a:ext uri="{28A0092B-C50C-407E-A947-70E740481C1C}"/>
                      </a:extLst>
                    </a:blip>
                    <a:srcRect/>
                    <a:stretch>
                      <a:fillRect/>
                    </a:stretch>
                  </pic:blipFill>
                  <pic:spPr bwMode="auto">
                    <a:xfrm>
                      <a:off x="0" y="0"/>
                      <a:ext cx="929005" cy="114935"/>
                    </a:xfrm>
                    <a:prstGeom prst="rect">
                      <a:avLst/>
                    </a:prstGeom>
                    <a:noFill/>
                  </pic:spPr>
                </pic:pic>
              </a:graphicData>
            </a:graphic>
          </wp:anchor>
        </w:drawing>
        <w:t>salary. For 2025, the program was weighted as follows: 75% of the payout was based on financial performance and 25% of the payout was based on strategic objectives.</w:t>
      </w:r>
    </w:p>
    <w:p>
      <w:pPr>
        <w:spacing w:after="0" w:line="87" w:lineRule="exact"/>
        <w:rPr>
          <w:sz w:val="20"/>
          <w:szCs w:val="20"/>
          <w:color w:val="auto"/>
        </w:rPr>
      </w:pPr>
    </w:p>
    <w:p>
      <w:pPr>
        <w:ind w:right="220"/>
        <w:spacing w:after="0" w:line="259" w:lineRule="auto"/>
        <w:rPr>
          <w:sz w:val="20"/>
          <w:szCs w:val="20"/>
          <w:color w:val="auto"/>
        </w:rPr>
      </w:pPr>
      <w:r>
        <w:rPr>
          <w:rFonts w:ascii="Times New Roman" w:cs="Times New Roman" w:eastAsia="Times New Roman" w:hAnsi="Times New Roman"/>
          <w:sz w:val="20"/>
          <w:szCs w:val="20"/>
          <w:color w:val="auto"/>
        </w:rPr>
        <w:t>The financial component was based on key business performance indicators, including revenue growth, procedure volume trends, and profitability. Each metric included threshold, target, and maximum performance levels, with payouts ranging from 50% to 150% of target for the financial component.</w:t>
      </w:r>
    </w:p>
    <w:p>
      <w:pPr>
        <w:spacing w:after="0" w:line="146" w:lineRule="exact"/>
        <w:rPr>
          <w:sz w:val="20"/>
          <w:szCs w:val="20"/>
          <w:color w:val="auto"/>
        </w:rPr>
      </w:pPr>
    </w:p>
    <w:p>
      <w:pPr>
        <w:ind w:right="140"/>
        <w:spacing w:after="0" w:line="294" w:lineRule="auto"/>
        <w:rPr>
          <w:sz w:val="20"/>
          <w:szCs w:val="20"/>
          <w:color w:val="auto"/>
        </w:rPr>
      </w:pPr>
      <w:r>
        <w:rPr>
          <w:rFonts w:ascii="Times New Roman" w:cs="Times New Roman" w:eastAsia="Times New Roman" w:hAnsi="Times New Roman"/>
          <w:sz w:val="20"/>
          <w:szCs w:val="20"/>
          <w:color w:val="auto"/>
        </w:rPr>
        <w:t>Each strategic objective was assigned a fixed weighting of 5%, with payouts based on the achievement of specified milestones.</w:t>
      </w:r>
    </w:p>
    <w:p>
      <w:pPr>
        <w:spacing w:after="0" w:line="87"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20"/>
          <w:szCs w:val="20"/>
          <w:color w:val="auto"/>
        </w:rPr>
        <w:t>For 2025, financial performance resulted in a funding level of approximately 43%, while performance against strategic objectives resulted in a funding level of approximately 20%. Overall, short-term incentive funding for 2025 was approximately 63% of target performance.</w:t>
      </w:r>
    </w:p>
    <w:p>
      <w:pPr>
        <w:spacing w:after="0" w:line="108"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20"/>
          <w:szCs w:val="20"/>
          <w:color w:val="auto"/>
        </w:rPr>
        <w:t>Payment of short-term incentive compensation for the performance period ending December 31, 2025, is expected to be made in May 2026, following final review and approval by the compensation committee.</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Policies and Practices Related to the Grant of Certain Equity Awards</w:t>
      </w:r>
    </w:p>
    <w:p>
      <w:pPr>
        <w:spacing w:after="0" w:line="203"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20"/>
          <w:szCs w:val="20"/>
          <w:color w:val="auto"/>
        </w:rPr>
        <w:t>The Board approves equity awards granted to the NEOs on or before the grant date and the Board does not take material nonpublic information into account when determining the timing and terms of such equity awards. We have not timed the disclosure of material nonpublic information for the purpose of affecting the value of executive compensation. In 2025, we did not award any stock options to the NEOs during any period beginning four business days before the filing of a periodic report on Form 6-K or Form 20-F or one business day after filing such report.</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2025 Executive Equity-Based Compensation</w:t>
      </w:r>
    </w:p>
    <w:p>
      <w:pPr>
        <w:spacing w:after="0" w:line="203"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color w:val="auto"/>
        </w:rPr>
        <w:t>Under French law, we must obtain shareholder approval at a general shareholder meeting in order to authorize the Board of Directors to adopt equity plans and grant equity compensation thereunder. On June 28, 2024, our shareholders authorized the Board to grant stock options and restricted stock unit awards (“RSUs”), and consequently, the Board of Directors adopted the 2024 Share Subscription Option Plan (the “2024 Option Plan”) and the 2025 Restricted Stock Unit (Free Share) Plan (the “2025 RSU Plan”) on August 21, 2024 and May 14, 2025, respectively. All options and RSUs authorized under, and issued pursuant to these plans were granted in April 2025 or June 2025. In addition, after shareholders authorized new stock option and RSU grants on June 27, 2025, the Board of Directors adopted the 2025 Share Subscription Option Plan (the “2025 Option Plan”) and the 2025-2 Restricted Stock Unit (Free Share) Plan (the “2025-2 RSU Plan”) on September 30, 2025.</w:t>
      </w:r>
    </w:p>
    <w:p>
      <w:pPr>
        <w:spacing w:after="0" w:line="158" w:lineRule="exact"/>
        <w:rPr>
          <w:sz w:val="20"/>
          <w:szCs w:val="20"/>
          <w:color w:val="auto"/>
        </w:rPr>
      </w:pPr>
    </w:p>
    <w:p>
      <w:pPr>
        <w:jc w:val="both"/>
        <w:ind w:right="180"/>
        <w:spacing w:after="0" w:line="239" w:lineRule="auto"/>
        <w:rPr>
          <w:sz w:val="20"/>
          <w:szCs w:val="20"/>
          <w:color w:val="auto"/>
        </w:rPr>
      </w:pPr>
      <w:r>
        <w:rPr>
          <w:rFonts w:ascii="Times New Roman" w:cs="Times New Roman" w:eastAsia="Times New Roman" w:hAnsi="Times New Roman"/>
          <w:sz w:val="20"/>
          <w:szCs w:val="20"/>
          <w:color w:val="auto"/>
        </w:rPr>
        <w:t>The 2024 Option Plan allowed grants of stock options to eligible employees and officers of up to 2 million shares until August 28, 2027. Such authorization was replaced by the 2025 Option Plan, which similarly allows grants of stock options to eligible employees and certain officers of up to a total of 2 million shares until August 27, 2028.</w:t>
      </w:r>
    </w:p>
    <w:p>
      <w:pPr>
        <w:spacing w:after="0" w:line="2" w:lineRule="exact"/>
        <w:rPr>
          <w:sz w:val="20"/>
          <w:szCs w:val="20"/>
          <w:color w:val="auto"/>
        </w:rPr>
      </w:pPr>
    </w:p>
    <w:p>
      <w:pPr>
        <w:ind w:right="420"/>
        <w:spacing w:after="0" w:line="253" w:lineRule="auto"/>
        <w:rPr>
          <w:sz w:val="20"/>
          <w:szCs w:val="20"/>
          <w:color w:val="auto"/>
        </w:rPr>
      </w:pPr>
      <w:r>
        <w:rPr>
          <w:rFonts w:ascii="Times New Roman" w:cs="Times New Roman" w:eastAsia="Times New Roman" w:hAnsi="Times New Roman"/>
          <w:sz w:val="20"/>
          <w:szCs w:val="20"/>
          <w:color w:val="auto"/>
        </w:rPr>
        <w:t>The 2025-2 RSU Plan permits the Board of Directors to make RSU grants of up to a total of 600,000 shares to eligible employees and officers until the applicable shareholders’ authorization expires under French law. As of December 31, 2025, there were 1,679,000 shares available for future issuance under the 2025 Option Plan, and 600,000 shares available for future issuance under the 2025-2 RSU Plan.</w:t>
      </w:r>
    </w:p>
    <w:p>
      <w:pPr>
        <w:spacing w:after="0" w:line="151"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20"/>
          <w:szCs w:val="20"/>
          <w:color w:val="auto"/>
        </w:rPr>
        <w:t>Each of our NEOs was granted stock options in 2025 pursuant to our 2024 Option Plan. Mr. Rhodes was granted 500,000 stock options on April 15, 2025 under our 2024 Option Plan, and Mr. Mobeck and Mr. Annen were granted 165,000 options and 123,750 options, respectively, on June 20, 2025 pursuant to our 2024 Option Plan. All of such options vest over a 36-month period as follows: one-sixth of the options vest on the six-month anniversary of the date of grant and the remaining options vest on a monthly basis thereafter through the third anniversary of the date of grant, subject to the applicable NEO’s continued employment through such vesting dates. Unless the Board of Directors determines otherwise, all unvested options will vest in full upon a Change in Control (as defined in the relevant plan).</w:t>
      </w:r>
    </w:p>
    <w:p>
      <w:pPr>
        <w:spacing w:after="0" w:line="162" w:lineRule="exact"/>
        <w:rPr>
          <w:sz w:val="20"/>
          <w:szCs w:val="20"/>
          <w:color w:val="auto"/>
        </w:rPr>
      </w:pPr>
    </w:p>
    <w:p>
      <w:pPr>
        <w:ind w:right="60"/>
        <w:spacing w:after="0" w:line="279" w:lineRule="auto"/>
        <w:rPr>
          <w:sz w:val="20"/>
          <w:szCs w:val="20"/>
          <w:color w:val="auto"/>
        </w:rPr>
      </w:pPr>
      <w:r>
        <w:rPr>
          <w:rFonts w:ascii="Times New Roman" w:cs="Times New Roman" w:eastAsia="Times New Roman" w:hAnsi="Times New Roman"/>
          <w:sz w:val="20"/>
          <w:szCs w:val="20"/>
          <w:color w:val="auto"/>
        </w:rPr>
        <w:t>On June 20, 2025, the Company granted RSUs to each of our NEOs pursuant to our 2025 RSU Plan. The RSUs vest as follows: four-sixths of the RSUs vest on the second anniversary of the date of grant and the remaining two-sixths</w:t>
      </w:r>
    </w:p>
    <w:p>
      <w:pPr>
        <w:sectPr>
          <w:pgSz w:w="11900" w:h="16838" w:orient="portrait"/>
          <w:cols w:equalWidth="0" w:num="1">
            <w:col w:w="9360"/>
          </w:cols>
          <w:pgMar w:left="1260" w:top="1247" w:right="1286" w:bottom="72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66</w:t>
      </w:r>
    </w:p>
    <w:p>
      <w:pPr>
        <w:sectPr>
          <w:pgSz w:w="11900" w:h="16838" w:orient="portrait"/>
          <w:cols w:equalWidth="0" w:num="1">
            <w:col w:w="9360"/>
          </w:cols>
          <w:pgMar w:left="1260" w:top="1247" w:right="1286" w:bottom="723" w:gutter="0" w:footer="0" w:header="0"/>
          <w:type w:val="continuous"/>
        </w:sectPr>
      </w:pPr>
    </w:p>
    <w:bookmarkStart w:id="120" w:name="page121"/>
    <w:bookmarkEnd w:id="120"/>
    <w:p>
      <w:pPr>
        <w:spacing w:after="0" w:line="249"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795655</wp:posOffset>
            </wp:positionH>
            <wp:positionV relativeFrom="page">
              <wp:posOffset>292735</wp:posOffset>
            </wp:positionV>
            <wp:extent cx="929005" cy="1149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161">
                      <a:extLst>
                        <a:ext uri="{28A0092B-C50C-407E-A947-70E740481C1C}"/>
                      </a:extLst>
                    </a:blip>
                    <a:srcRect/>
                    <a:stretch>
                      <a:fillRect/>
                    </a:stretch>
                  </pic:blipFill>
                  <pic:spPr bwMode="auto">
                    <a:xfrm>
                      <a:off x="0" y="0"/>
                      <a:ext cx="929005" cy="114935"/>
                    </a:xfrm>
                    <a:prstGeom prst="rect">
                      <a:avLst/>
                    </a:prstGeom>
                    <a:noFill/>
                  </pic:spPr>
                </pic:pic>
              </a:graphicData>
            </a:graphic>
          </wp:anchor>
        </w:drawing>
        <w:t>vest in equal installments on each of December 20, 2027, and June 20, 2028, respectively, subject to the applicable NEO’s continued employment through such vesting dates. Under the terms of the 2025 RSU Plan, vesting accelerates upon the NEO’s death or disability or in the event a Change in Control (as defined in the 2025 RSU Plan) occurs on or after the first anniversary of the grant date. The NEOs received the following number of RSUs in 2025: 167,000 RSUs for Mr. Rhodes, 55,110 RSUs for Mr. Mobeck, and 41,390 RSUs for Mr. Annen.</w:t>
      </w:r>
    </w:p>
    <w:p>
      <w:pPr>
        <w:sectPr>
          <w:pgSz w:w="11900" w:h="16838" w:orient="portrait"/>
          <w:cols w:equalWidth="0" w:num="1">
            <w:col w:w="9280"/>
          </w:cols>
          <w:pgMar w:left="1260" w:top="1247" w:right="1366" w:bottom="72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67</w:t>
      </w:r>
    </w:p>
    <w:p>
      <w:pPr>
        <w:sectPr>
          <w:pgSz w:w="11900" w:h="16838" w:orient="portrait"/>
          <w:cols w:equalWidth="0" w:num="1">
            <w:col w:w="9280"/>
          </w:cols>
          <w:pgMar w:left="1260" w:top="1247" w:right="1366" w:bottom="723" w:gutter="0" w:footer="0" w:header="0"/>
          <w:type w:val="continuous"/>
        </w:sectPr>
      </w:pPr>
    </w:p>
    <w:bookmarkStart w:id="121" w:name="page122"/>
    <w:bookmarkEnd w:id="121"/>
    <w:p>
      <w:pPr>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795655</wp:posOffset>
            </wp:positionH>
            <wp:positionV relativeFrom="page">
              <wp:posOffset>292735</wp:posOffset>
            </wp:positionV>
            <wp:extent cx="929005" cy="1149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162">
                      <a:extLst>
                        <a:ext uri="{28A0092B-C50C-407E-A947-70E740481C1C}"/>
                      </a:extLst>
                    </a:blip>
                    <a:srcRect/>
                    <a:stretch>
                      <a:fillRect/>
                    </a:stretch>
                  </pic:blipFill>
                  <pic:spPr bwMode="auto">
                    <a:xfrm>
                      <a:off x="0" y="0"/>
                      <a:ext cx="929005" cy="114935"/>
                    </a:xfrm>
                    <a:prstGeom prst="rect">
                      <a:avLst/>
                    </a:prstGeom>
                    <a:noFill/>
                  </pic:spPr>
                </pic:pic>
              </a:graphicData>
            </a:graphic>
          </wp:anchor>
        </w:drawing>
        <w:t>Outstanding Equity Awards at 2025 Fiscal Year-End</w:t>
      </w:r>
    </w:p>
    <w:p>
      <w:pPr>
        <w:spacing w:after="0" w:line="203" w:lineRule="exact"/>
        <w:rPr>
          <w:sz w:val="20"/>
          <w:szCs w:val="20"/>
          <w:color w:val="auto"/>
        </w:rPr>
      </w:pPr>
    </w:p>
    <w:p>
      <w:pPr>
        <w:ind w:right="1100"/>
        <w:spacing w:after="0" w:line="279" w:lineRule="auto"/>
        <w:rPr>
          <w:sz w:val="20"/>
          <w:szCs w:val="20"/>
          <w:color w:val="auto"/>
        </w:rPr>
      </w:pPr>
      <w:r>
        <w:rPr>
          <w:rFonts w:ascii="Times New Roman" w:cs="Times New Roman" w:eastAsia="Times New Roman" w:hAnsi="Times New Roman"/>
          <w:sz w:val="20"/>
          <w:szCs w:val="20"/>
          <w:color w:val="auto"/>
        </w:rPr>
        <w:t>The following table sets forth the outstanding equity awards held by our named executive officers as of December 31, 2025.</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w w:val="98"/>
              </w:rPr>
              <w:t>Option awards</w:t>
            </w:r>
          </w:p>
        </w:tc>
        <w:tc>
          <w:tcPr>
            <w:tcW w:w="1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780" w:type="dxa"/>
            <w:vAlign w:val="bottom"/>
            <w:tcBorders>
              <w:bottom w:val="single" w:sz="8" w:color="auto"/>
            </w:tcBorders>
            <w:gridSpan w:val="3"/>
          </w:tcPr>
          <w:p>
            <w:pPr>
              <w:jc w:val="right"/>
              <w:ind w:right="288"/>
              <w:spacing w:after="0"/>
              <w:rPr>
                <w:sz w:val="20"/>
                <w:szCs w:val="20"/>
                <w:color w:val="auto"/>
              </w:rPr>
            </w:pPr>
            <w:r>
              <w:rPr>
                <w:rFonts w:ascii="Times New Roman" w:cs="Times New Roman" w:eastAsia="Times New Roman" w:hAnsi="Times New Roman"/>
                <w:sz w:val="16"/>
                <w:szCs w:val="16"/>
                <w:b w:val="1"/>
                <w:bCs w:val="1"/>
                <w:color w:val="auto"/>
              </w:rPr>
              <w:t>Stock Awards</w:t>
            </w:r>
            <w:r>
              <w:rPr>
                <w:rFonts w:ascii="Times New Roman" w:cs="Times New Roman" w:eastAsia="Times New Roman" w:hAnsi="Times New Roman"/>
                <w:sz w:val="20"/>
                <w:szCs w:val="20"/>
                <w:b w:val="1"/>
                <w:bCs w:val="1"/>
                <w:color w:val="auto"/>
                <w:vertAlign w:val="superscript"/>
              </w:rPr>
              <w:t>1</w:t>
            </w:r>
          </w:p>
        </w:tc>
      </w:tr>
      <w:tr>
        <w:trPr>
          <w:trHeight w:val="156"/>
        </w:trPr>
        <w:tc>
          <w:tcPr>
            <w:tcW w:w="1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jc w:val="center"/>
              <w:spacing w:after="0" w:line="157" w:lineRule="exact"/>
              <w:rPr>
                <w:sz w:val="20"/>
                <w:szCs w:val="20"/>
                <w:color w:val="auto"/>
              </w:rPr>
            </w:pPr>
            <w:r>
              <w:rPr>
                <w:rFonts w:ascii="Times New Roman" w:cs="Times New Roman" w:eastAsia="Times New Roman" w:hAnsi="Times New Roman"/>
                <w:sz w:val="16"/>
                <w:szCs w:val="16"/>
                <w:b w:val="1"/>
                <w:bCs w:val="1"/>
                <w:color w:val="auto"/>
                <w:w w:val="99"/>
              </w:rPr>
              <w:t>Equity</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83"/>
        </w:trPr>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b w:val="1"/>
                <w:bCs w:val="1"/>
                <w:color w:val="auto"/>
                <w:w w:val="98"/>
              </w:rPr>
              <w:t>incentive plan</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4"/>
        </w:trPr>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awards:</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Market</w:t>
            </w:r>
          </w:p>
        </w:tc>
      </w:tr>
      <w:tr>
        <w:trPr>
          <w:trHeight w:val="185"/>
        </w:trPr>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6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8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6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value of</w:t>
            </w:r>
          </w:p>
        </w:tc>
      </w:tr>
      <w:tr>
        <w:trPr>
          <w:trHeight w:val="183"/>
        </w:trPr>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b w:val="1"/>
                <w:bCs w:val="1"/>
                <w:color w:val="auto"/>
                <w:w w:val="99"/>
              </w:rPr>
              <w:t>securities</w:t>
            </w:r>
          </w:p>
        </w:tc>
        <w:tc>
          <w:tcPr>
            <w:tcW w:w="160" w:type="dxa"/>
            <w:vAlign w:val="bottom"/>
          </w:tcPr>
          <w:p>
            <w:pPr>
              <w:spacing w:after="0"/>
              <w:rPr>
                <w:sz w:val="15"/>
                <w:szCs w:val="15"/>
                <w:color w:val="auto"/>
              </w:rPr>
            </w:pPr>
          </w:p>
        </w:tc>
        <w:tc>
          <w:tcPr>
            <w:tcW w:w="92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b w:val="1"/>
                <w:bCs w:val="1"/>
                <w:color w:val="auto"/>
                <w:w w:val="99"/>
              </w:rPr>
              <w:t>securities</w:t>
            </w:r>
          </w:p>
        </w:tc>
        <w:tc>
          <w:tcPr>
            <w:tcW w:w="180" w:type="dxa"/>
            <w:vAlign w:val="bottom"/>
          </w:tcPr>
          <w:p>
            <w:pPr>
              <w:spacing w:after="0"/>
              <w:rPr>
                <w:sz w:val="15"/>
                <w:szCs w:val="15"/>
                <w:color w:val="auto"/>
              </w:rPr>
            </w:pPr>
          </w:p>
        </w:tc>
        <w:tc>
          <w:tcPr>
            <w:tcW w:w="94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b w:val="1"/>
                <w:bCs w:val="1"/>
                <w:color w:val="auto"/>
                <w:w w:val="99"/>
              </w:rPr>
              <w:t>securities</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b w:val="1"/>
                <w:bCs w:val="1"/>
                <w:color w:val="auto"/>
              </w:rPr>
              <w:t>shares or</w:t>
            </w:r>
          </w:p>
        </w:tc>
        <w:tc>
          <w:tcPr>
            <w:tcW w:w="160" w:type="dxa"/>
            <w:vAlign w:val="bottom"/>
          </w:tcPr>
          <w:p>
            <w:pPr>
              <w:spacing w:after="0"/>
              <w:rPr>
                <w:sz w:val="15"/>
                <w:szCs w:val="15"/>
                <w:color w:val="auto"/>
              </w:rPr>
            </w:pPr>
          </w:p>
        </w:tc>
        <w:tc>
          <w:tcPr>
            <w:tcW w:w="86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b w:val="1"/>
                <w:bCs w:val="1"/>
                <w:color w:val="auto"/>
                <w:w w:val="98"/>
              </w:rPr>
              <w:t>shares or</w:t>
            </w:r>
          </w:p>
        </w:tc>
      </w:tr>
      <w:tr>
        <w:trPr>
          <w:trHeight w:val="184"/>
        </w:trPr>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underlying</w:t>
            </w:r>
          </w:p>
        </w:tc>
        <w:tc>
          <w:tcPr>
            <w:tcW w:w="16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underlying</w:t>
            </w:r>
          </w:p>
        </w:tc>
        <w:tc>
          <w:tcPr>
            <w:tcW w:w="18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underlying</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units of</w:t>
            </w:r>
          </w:p>
        </w:tc>
        <w:tc>
          <w:tcPr>
            <w:tcW w:w="16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units of</w:t>
            </w:r>
          </w:p>
        </w:tc>
      </w:tr>
      <w:tr>
        <w:trPr>
          <w:trHeight w:val="185"/>
        </w:trPr>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unexercised</w:t>
            </w:r>
          </w:p>
        </w:tc>
        <w:tc>
          <w:tcPr>
            <w:tcW w:w="16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unexercised</w:t>
            </w:r>
          </w:p>
        </w:tc>
        <w:tc>
          <w:tcPr>
            <w:tcW w:w="18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unexercised</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jc w:val="right"/>
              <w:ind w:right="2"/>
              <w:spacing w:after="0"/>
              <w:rPr>
                <w:sz w:val="20"/>
                <w:szCs w:val="20"/>
                <w:color w:val="auto"/>
              </w:rPr>
            </w:pPr>
            <w:r>
              <w:rPr>
                <w:rFonts w:ascii="Times New Roman" w:cs="Times New Roman" w:eastAsia="Times New Roman" w:hAnsi="Times New Roman"/>
                <w:sz w:val="16"/>
                <w:szCs w:val="16"/>
                <w:b w:val="1"/>
                <w:bCs w:val="1"/>
                <w:color w:val="auto"/>
                <w:w w:val="99"/>
              </w:rPr>
              <w:t>Option</w:t>
            </w:r>
          </w:p>
        </w:tc>
        <w:tc>
          <w:tcPr>
            <w:tcW w:w="18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Option</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stock that</w:t>
            </w:r>
          </w:p>
        </w:tc>
        <w:tc>
          <w:tcPr>
            <w:tcW w:w="16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stock that</w:t>
            </w:r>
          </w:p>
        </w:tc>
      </w:tr>
      <w:tr>
        <w:trPr>
          <w:trHeight w:val="183"/>
        </w:trPr>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b w:val="1"/>
                <w:bCs w:val="1"/>
                <w:color w:val="auto"/>
              </w:rPr>
              <w:t>options (#)</w:t>
            </w:r>
          </w:p>
        </w:tc>
        <w:tc>
          <w:tcPr>
            <w:tcW w:w="160" w:type="dxa"/>
            <w:vAlign w:val="bottom"/>
          </w:tcPr>
          <w:p>
            <w:pPr>
              <w:spacing w:after="0"/>
              <w:rPr>
                <w:sz w:val="15"/>
                <w:szCs w:val="15"/>
                <w:color w:val="auto"/>
              </w:rPr>
            </w:pPr>
          </w:p>
        </w:tc>
        <w:tc>
          <w:tcPr>
            <w:tcW w:w="92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b w:val="1"/>
                <w:bCs w:val="1"/>
                <w:color w:val="auto"/>
                <w:w w:val="99"/>
              </w:rPr>
              <w:t>options (#)</w:t>
            </w:r>
          </w:p>
        </w:tc>
        <w:tc>
          <w:tcPr>
            <w:tcW w:w="180" w:type="dxa"/>
            <w:vAlign w:val="bottom"/>
          </w:tcPr>
          <w:p>
            <w:pPr>
              <w:spacing w:after="0"/>
              <w:rPr>
                <w:sz w:val="15"/>
                <w:szCs w:val="15"/>
                <w:color w:val="auto"/>
              </w:rPr>
            </w:pPr>
          </w:p>
        </w:tc>
        <w:tc>
          <w:tcPr>
            <w:tcW w:w="94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b w:val="1"/>
                <w:bCs w:val="1"/>
                <w:color w:val="auto"/>
              </w:rPr>
              <w:t>unearned</w:t>
            </w:r>
          </w:p>
        </w:tc>
        <w:tc>
          <w:tcPr>
            <w:tcW w:w="180" w:type="dxa"/>
            <w:vAlign w:val="bottom"/>
          </w:tcPr>
          <w:p>
            <w:pPr>
              <w:spacing w:after="0"/>
              <w:rPr>
                <w:sz w:val="15"/>
                <w:szCs w:val="15"/>
                <w:color w:val="auto"/>
              </w:rPr>
            </w:pPr>
          </w:p>
        </w:tc>
        <w:tc>
          <w:tcPr>
            <w:tcW w:w="680" w:type="dxa"/>
            <w:vAlign w:val="bottom"/>
            <w:gridSpan w:val="2"/>
          </w:tcPr>
          <w:p>
            <w:pPr>
              <w:jc w:val="right"/>
              <w:spacing w:after="0" w:line="183" w:lineRule="exact"/>
              <w:rPr>
                <w:sz w:val="20"/>
                <w:szCs w:val="20"/>
                <w:color w:val="auto"/>
              </w:rPr>
            </w:pPr>
            <w:r>
              <w:rPr>
                <w:rFonts w:ascii="Times New Roman" w:cs="Times New Roman" w:eastAsia="Times New Roman" w:hAnsi="Times New Roman"/>
                <w:sz w:val="16"/>
                <w:szCs w:val="16"/>
                <w:b w:val="1"/>
                <w:bCs w:val="1"/>
                <w:color w:val="auto"/>
              </w:rPr>
              <w:t>Exercise</w:t>
            </w:r>
          </w:p>
        </w:tc>
        <w:tc>
          <w:tcPr>
            <w:tcW w:w="180" w:type="dxa"/>
            <w:vAlign w:val="bottom"/>
          </w:tcPr>
          <w:p>
            <w:pPr>
              <w:spacing w:after="0"/>
              <w:rPr>
                <w:sz w:val="15"/>
                <w:szCs w:val="15"/>
                <w:color w:val="auto"/>
              </w:rPr>
            </w:pPr>
          </w:p>
        </w:tc>
        <w:tc>
          <w:tcPr>
            <w:tcW w:w="96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b w:val="1"/>
                <w:bCs w:val="1"/>
                <w:color w:val="auto"/>
              </w:rPr>
              <w:t>Expiration</w:t>
            </w:r>
          </w:p>
        </w:tc>
        <w:tc>
          <w:tcPr>
            <w:tcW w:w="160" w:type="dxa"/>
            <w:vAlign w:val="bottom"/>
          </w:tcPr>
          <w:p>
            <w:pPr>
              <w:spacing w:after="0"/>
              <w:rPr>
                <w:sz w:val="15"/>
                <w:szCs w:val="15"/>
                <w:color w:val="auto"/>
              </w:rPr>
            </w:pPr>
          </w:p>
        </w:tc>
        <w:tc>
          <w:tcPr>
            <w:tcW w:w="76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b w:val="1"/>
                <w:bCs w:val="1"/>
                <w:color w:val="auto"/>
              </w:rPr>
              <w:t>have not</w:t>
            </w:r>
          </w:p>
        </w:tc>
        <w:tc>
          <w:tcPr>
            <w:tcW w:w="160" w:type="dxa"/>
            <w:vAlign w:val="bottom"/>
          </w:tcPr>
          <w:p>
            <w:pPr>
              <w:spacing w:after="0"/>
              <w:rPr>
                <w:sz w:val="15"/>
                <w:szCs w:val="15"/>
                <w:color w:val="auto"/>
              </w:rPr>
            </w:pPr>
          </w:p>
        </w:tc>
        <w:tc>
          <w:tcPr>
            <w:tcW w:w="86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b w:val="1"/>
                <w:bCs w:val="1"/>
                <w:color w:val="auto"/>
                <w:w w:val="99"/>
              </w:rPr>
              <w:t>have not</w:t>
            </w:r>
          </w:p>
        </w:tc>
      </w:tr>
      <w:tr>
        <w:trPr>
          <w:trHeight w:val="202"/>
        </w:trPr>
        <w:tc>
          <w:tcPr>
            <w:tcW w:w="1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16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6"/>
                <w:szCs w:val="16"/>
                <w:b w:val="1"/>
                <w:bCs w:val="1"/>
                <w:color w:val="auto"/>
              </w:rPr>
              <w:t>Grant Date</w:t>
            </w:r>
          </w:p>
        </w:tc>
        <w:tc>
          <w:tcPr>
            <w:tcW w:w="16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exercisable</w:t>
            </w:r>
          </w:p>
        </w:tc>
        <w:tc>
          <w:tcPr>
            <w:tcW w:w="16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unexercisable</w:t>
            </w:r>
          </w:p>
        </w:tc>
        <w:tc>
          <w:tcPr>
            <w:tcW w:w="18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options (#)</w:t>
            </w:r>
          </w:p>
        </w:tc>
        <w:tc>
          <w:tcPr>
            <w:tcW w:w="180" w:type="dxa"/>
            <w:vAlign w:val="bottom"/>
            <w:tcBorders>
              <w:bottom w:val="single" w:sz="8" w:color="CCEEFF"/>
            </w:tcBorders>
          </w:tcPr>
          <w:p>
            <w:pPr>
              <w:spacing w:after="0"/>
              <w:rPr>
                <w:sz w:val="17"/>
                <w:szCs w:val="17"/>
                <w:color w:val="auto"/>
              </w:rPr>
            </w:pPr>
          </w:p>
        </w:tc>
        <w:tc>
          <w:tcPr>
            <w:tcW w:w="680" w:type="dxa"/>
            <w:vAlign w:val="bottom"/>
            <w:tcBorders>
              <w:bottom w:val="single" w:sz="8" w:color="auto"/>
            </w:tcBorders>
            <w:gridSpan w:val="2"/>
          </w:tcPr>
          <w:p>
            <w:pPr>
              <w:spacing w:after="0" w:line="203" w:lineRule="exact"/>
              <w:rPr>
                <w:sz w:val="20"/>
                <w:szCs w:val="20"/>
                <w:color w:val="auto"/>
              </w:rPr>
            </w:pPr>
            <w:r>
              <w:rPr>
                <w:rFonts w:ascii="Times New Roman" w:cs="Times New Roman" w:eastAsia="Times New Roman" w:hAnsi="Times New Roman"/>
                <w:sz w:val="16"/>
                <w:szCs w:val="16"/>
                <w:b w:val="1"/>
                <w:bCs w:val="1"/>
                <w:color w:val="auto"/>
                <w:w w:val="89"/>
              </w:rPr>
              <w:t xml:space="preserve">Price </w:t>
            </w:r>
            <w:r>
              <w:rPr>
                <w:rFonts w:ascii="Times New Roman" w:cs="Times New Roman" w:eastAsia="Times New Roman" w:hAnsi="Times New Roman"/>
                <w:sz w:val="16"/>
                <w:szCs w:val="16"/>
                <w:b w:val="1"/>
                <w:bCs w:val="1"/>
                <w:u w:val="single" w:color="auto"/>
                <w:color w:val="auto"/>
                <w:w w:val="89"/>
              </w:rPr>
              <w:t>($</w:t>
            </w:r>
            <w:r>
              <w:rPr>
                <w:rFonts w:ascii="Times New Roman" w:cs="Times New Roman" w:eastAsia="Times New Roman" w:hAnsi="Times New Roman"/>
                <w:sz w:val="16"/>
                <w:szCs w:val="16"/>
                <w:b w:val="1"/>
                <w:bCs w:val="1"/>
                <w:color w:val="auto"/>
                <w:w w:val="89"/>
              </w:rPr>
              <w:t>)</w:t>
            </w:r>
            <w:r>
              <w:rPr>
                <w:rFonts w:ascii="Times New Roman" w:cs="Times New Roman" w:eastAsia="Times New Roman" w:hAnsi="Times New Roman"/>
                <w:sz w:val="20"/>
                <w:szCs w:val="20"/>
                <w:b w:val="1"/>
                <w:bCs w:val="1"/>
                <w:color w:val="auto"/>
                <w:w w:val="89"/>
                <w:vertAlign w:val="superscript"/>
              </w:rPr>
              <w:t>(1)</w:t>
            </w:r>
          </w:p>
        </w:tc>
        <w:tc>
          <w:tcPr>
            <w:tcW w:w="18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16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vested (#)</w:t>
            </w:r>
          </w:p>
        </w:tc>
        <w:tc>
          <w:tcPr>
            <w:tcW w:w="16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center"/>
              <w:spacing w:after="0" w:line="203" w:lineRule="exact"/>
              <w:rPr>
                <w:sz w:val="20"/>
                <w:szCs w:val="20"/>
                <w:color w:val="auto"/>
              </w:rPr>
            </w:pPr>
            <w:r>
              <w:rPr>
                <w:rFonts w:ascii="Times New Roman" w:cs="Times New Roman" w:eastAsia="Times New Roman" w:hAnsi="Times New Roman"/>
                <w:sz w:val="16"/>
                <w:szCs w:val="16"/>
                <w:b w:val="1"/>
                <w:bCs w:val="1"/>
                <w:color w:val="auto"/>
                <w:w w:val="96"/>
              </w:rPr>
              <w:t xml:space="preserve">vested </w:t>
            </w:r>
            <w:r>
              <w:rPr>
                <w:rFonts w:ascii="Times New Roman" w:cs="Times New Roman" w:eastAsia="Times New Roman" w:hAnsi="Times New Roman"/>
                <w:sz w:val="16"/>
                <w:szCs w:val="16"/>
                <w:b w:val="1"/>
                <w:bCs w:val="1"/>
                <w:u w:val="single" w:color="auto"/>
                <w:color w:val="auto"/>
                <w:w w:val="96"/>
              </w:rPr>
              <w:t>($</w:t>
            </w:r>
            <w:r>
              <w:rPr>
                <w:rFonts w:ascii="Times New Roman" w:cs="Times New Roman" w:eastAsia="Times New Roman" w:hAnsi="Times New Roman"/>
                <w:sz w:val="16"/>
                <w:szCs w:val="16"/>
                <w:b w:val="1"/>
                <w:bCs w:val="1"/>
                <w:color w:val="auto"/>
                <w:w w:val="96"/>
              </w:rPr>
              <w:t>)</w:t>
            </w:r>
            <w:r>
              <w:rPr>
                <w:rFonts w:ascii="Times New Roman" w:cs="Times New Roman" w:eastAsia="Times New Roman" w:hAnsi="Times New Roman"/>
                <w:sz w:val="20"/>
                <w:szCs w:val="20"/>
                <w:b w:val="1"/>
                <w:bCs w:val="1"/>
                <w:color w:val="auto"/>
                <w:w w:val="96"/>
                <w:vertAlign w:val="superscript"/>
              </w:rPr>
              <w:t>(2)</w:t>
            </w:r>
          </w:p>
        </w:tc>
      </w:tr>
      <w:tr>
        <w:trPr>
          <w:trHeight w:val="202"/>
        </w:trPr>
        <w:tc>
          <w:tcPr>
            <w:tcW w:w="114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20"/>
                <w:szCs w:val="20"/>
                <w:color w:val="auto"/>
              </w:rPr>
              <w:t>Ryan Rhodes</w:t>
            </w:r>
          </w:p>
        </w:tc>
        <w:tc>
          <w:tcPr>
            <w:tcW w:w="112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20"/>
                <w:szCs w:val="20"/>
                <w:color w:val="auto"/>
              </w:rPr>
              <w:t>6/11/2021</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20"/>
                <w:szCs w:val="20"/>
                <w:color w:val="auto"/>
              </w:rPr>
              <w:t>800,000</w:t>
            </w:r>
          </w:p>
        </w:tc>
        <w:tc>
          <w:tcPr>
            <w:tcW w:w="1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78"/>
              </w:rPr>
              <w:t>(3)</w:t>
            </w:r>
          </w:p>
        </w:tc>
        <w:tc>
          <w:tcPr>
            <w:tcW w:w="9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20"/>
                <w:szCs w:val="20"/>
                <w:color w:val="auto"/>
              </w:rPr>
              <w:t>—</w:t>
            </w:r>
          </w:p>
        </w:tc>
        <w:tc>
          <w:tcPr>
            <w:tcW w:w="180" w:type="dxa"/>
            <w:vAlign w:val="bottom"/>
            <w:tcBorders>
              <w:right w:val="single" w:sz="8" w:color="CCEEFF"/>
            </w:tcBorders>
            <w:shd w:val="clear" w:color="auto" w:fill="CCEEFF"/>
          </w:tcPr>
          <w:p>
            <w:pPr>
              <w:spacing w:after="0"/>
              <w:rPr>
                <w:sz w:val="17"/>
                <w:szCs w:val="17"/>
                <w:color w:val="auto"/>
              </w:rPr>
            </w:pPr>
          </w:p>
        </w:tc>
        <w:tc>
          <w:tcPr>
            <w:tcW w:w="940" w:type="dxa"/>
            <w:vAlign w:val="bottom"/>
            <w:shd w:val="clear" w:color="auto" w:fill="CCEEFF"/>
          </w:tcPr>
          <w:p>
            <w:pPr>
              <w:ind w:left="680"/>
              <w:spacing w:after="0" w:line="202" w:lineRule="exact"/>
              <w:rPr>
                <w:sz w:val="20"/>
                <w:szCs w:val="20"/>
                <w:color w:val="auto"/>
              </w:rPr>
            </w:pPr>
            <w:r>
              <w:rPr>
                <w:rFonts w:ascii="Times New Roman" w:cs="Times New Roman" w:eastAsia="Times New Roman" w:hAnsi="Times New Roman"/>
                <w:sz w:val="20"/>
                <w:szCs w:val="20"/>
                <w:color w:val="auto"/>
              </w:rPr>
              <w:t>—</w:t>
            </w:r>
          </w:p>
        </w:tc>
        <w:tc>
          <w:tcPr>
            <w:tcW w:w="260" w:type="dxa"/>
            <w:vAlign w:val="bottom"/>
            <w:gridSpan w:val="2"/>
            <w:shd w:val="clear" w:color="auto" w:fill="CCEEFF"/>
          </w:tcPr>
          <w:p>
            <w:pPr>
              <w:ind w:left="160"/>
              <w:spacing w:after="0" w:line="202" w:lineRule="exact"/>
              <w:rPr>
                <w:sz w:val="20"/>
                <w:szCs w:val="20"/>
                <w:color w:val="auto"/>
              </w:rPr>
            </w:pPr>
            <w:r>
              <w:rPr>
                <w:rFonts w:ascii="Times New Roman" w:cs="Times New Roman" w:eastAsia="Times New Roman" w:hAnsi="Times New Roman"/>
                <w:sz w:val="20"/>
                <w:szCs w:val="20"/>
                <w:color w:val="auto"/>
                <w:w w:val="79"/>
              </w:rPr>
              <w:t>$</w:t>
            </w:r>
          </w:p>
        </w:tc>
        <w:tc>
          <w:tcPr>
            <w:tcW w:w="6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20"/>
                <w:szCs w:val="20"/>
                <w:color w:val="auto"/>
              </w:rPr>
              <w:t>6.57</w:t>
            </w:r>
          </w:p>
        </w:tc>
        <w:tc>
          <w:tcPr>
            <w:tcW w:w="114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20"/>
                <w:szCs w:val="20"/>
                <w:color w:val="auto"/>
              </w:rPr>
              <w:t>6/11/2031</w:t>
            </w:r>
          </w:p>
        </w:tc>
        <w:tc>
          <w:tcPr>
            <w:tcW w:w="160" w:type="dxa"/>
            <w:vAlign w:val="bottom"/>
            <w:tcBorders>
              <w:right w:val="single" w:sz="8" w:color="CCEEFF"/>
            </w:tcBorders>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30"/>
        </w:trPr>
        <w:tc>
          <w:tcPr>
            <w:tcW w:w="11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5/2/2023</w:t>
            </w: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172,222</w:t>
            </w:r>
          </w:p>
        </w:tc>
        <w:tc>
          <w:tcPr>
            <w:tcW w:w="1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78"/>
              </w:rPr>
              <w:t>(3)</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27,778</w:t>
            </w:r>
          </w:p>
        </w:tc>
        <w:tc>
          <w:tcPr>
            <w:tcW w:w="180" w:type="dxa"/>
            <w:vAlign w:val="bottom"/>
            <w:tcBorders>
              <w:right w:val="single" w:sz="8" w:color="CCEEFF"/>
            </w:tcBorders>
            <w:shd w:val="clear" w:color="auto" w:fill="CCEEFF"/>
          </w:tcPr>
          <w:p>
            <w:pPr>
              <w:spacing w:after="0"/>
              <w:rPr>
                <w:sz w:val="20"/>
                <w:szCs w:val="20"/>
                <w:color w:val="auto"/>
              </w:rPr>
            </w:pPr>
          </w:p>
        </w:tc>
        <w:tc>
          <w:tcPr>
            <w:tcW w:w="9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20"/>
                <w:szCs w:val="20"/>
                <w:color w:val="auto"/>
                <w:w w:val="7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11.87</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5/2/2033</w:t>
            </w:r>
          </w:p>
        </w:tc>
        <w:tc>
          <w:tcPr>
            <w:tcW w:w="160" w:type="dxa"/>
            <w:vAlign w:val="bottom"/>
            <w:tcBorders>
              <w:right w:val="single" w:sz="8" w:color="CCEEFF"/>
            </w:tcBorders>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Borders>
              <w:right w:val="single" w:sz="8" w:color="CCEEFF"/>
            </w:tcBorders>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30"/>
        </w:trPr>
        <w:tc>
          <w:tcPr>
            <w:tcW w:w="11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3/26/2024</w:t>
            </w: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58,333</w:t>
            </w:r>
          </w:p>
        </w:tc>
        <w:tc>
          <w:tcPr>
            <w:tcW w:w="1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78"/>
              </w:rPr>
              <w:t>(3)</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41,667</w:t>
            </w:r>
          </w:p>
        </w:tc>
        <w:tc>
          <w:tcPr>
            <w:tcW w:w="180" w:type="dxa"/>
            <w:vAlign w:val="bottom"/>
            <w:tcBorders>
              <w:right w:val="single" w:sz="8" w:color="CCEEFF"/>
            </w:tcBorders>
            <w:shd w:val="clear" w:color="auto" w:fill="CCEEFF"/>
          </w:tcPr>
          <w:p>
            <w:pPr>
              <w:spacing w:after="0"/>
              <w:rPr>
                <w:sz w:val="20"/>
                <w:szCs w:val="20"/>
                <w:color w:val="auto"/>
              </w:rPr>
            </w:pPr>
          </w:p>
        </w:tc>
        <w:tc>
          <w:tcPr>
            <w:tcW w:w="9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20"/>
                <w:szCs w:val="20"/>
                <w:color w:val="auto"/>
                <w:w w:val="7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8.03</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3/26/2034</w:t>
            </w:r>
          </w:p>
        </w:tc>
        <w:tc>
          <w:tcPr>
            <w:tcW w:w="160" w:type="dxa"/>
            <w:vAlign w:val="bottom"/>
            <w:tcBorders>
              <w:right w:val="single" w:sz="8" w:color="CCEEFF"/>
            </w:tcBorders>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Borders>
              <w:right w:val="single" w:sz="8" w:color="CCEEFF"/>
            </w:tcBorders>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48"/>
        </w:trPr>
        <w:tc>
          <w:tcPr>
            <w:tcW w:w="114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4/15/2025</w:t>
            </w:r>
          </w:p>
        </w:tc>
        <w:tc>
          <w:tcPr>
            <w:tcW w:w="1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111,111</w:t>
            </w:r>
          </w:p>
        </w:tc>
        <w:tc>
          <w:tcPr>
            <w:tcW w:w="1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78"/>
              </w:rPr>
              <w:t>(3)</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388,889</w:t>
            </w:r>
          </w:p>
        </w:tc>
        <w:tc>
          <w:tcPr>
            <w:tcW w:w="180" w:type="dxa"/>
            <w:vAlign w:val="bottom"/>
            <w:tcBorders>
              <w:right w:val="single" w:sz="8" w:color="CCEEFF"/>
            </w:tcBorders>
            <w:shd w:val="clear" w:color="auto" w:fill="CCEEFF"/>
          </w:tcPr>
          <w:p>
            <w:pPr>
              <w:spacing w:after="0"/>
              <w:rPr>
                <w:sz w:val="21"/>
                <w:szCs w:val="21"/>
                <w:color w:val="auto"/>
              </w:rPr>
            </w:pPr>
          </w:p>
        </w:tc>
        <w:tc>
          <w:tcPr>
            <w:tcW w:w="9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20"/>
                <w:szCs w:val="20"/>
                <w:color w:val="auto"/>
                <w:w w:val="7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1.42</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4/15/2035</w:t>
            </w:r>
          </w:p>
        </w:tc>
        <w:tc>
          <w:tcPr>
            <w:tcW w:w="160" w:type="dxa"/>
            <w:vAlign w:val="bottom"/>
            <w:tcBorders>
              <w:right w:val="single" w:sz="8" w:color="CCEEFF"/>
            </w:tcBorders>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Borders>
              <w:right w:val="single" w:sz="8" w:color="CCEEFF"/>
            </w:tcBorders>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48"/>
        </w:trPr>
        <w:tc>
          <w:tcPr>
            <w:tcW w:w="114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spacing w:after="0" w:line="228" w:lineRule="exact"/>
              <w:rPr>
                <w:sz w:val="20"/>
                <w:szCs w:val="20"/>
                <w:color w:val="auto"/>
              </w:rPr>
            </w:pPr>
            <w:r>
              <w:rPr>
                <w:rFonts w:ascii="Times New Roman" w:cs="Times New Roman" w:eastAsia="Times New Roman" w:hAnsi="Times New Roman"/>
                <w:sz w:val="20"/>
                <w:szCs w:val="20"/>
                <w:color w:val="auto"/>
              </w:rPr>
              <w:t>6/20/2025</w:t>
            </w:r>
          </w:p>
        </w:tc>
        <w:tc>
          <w:tcPr>
            <w:tcW w:w="1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line="228" w:lineRule="exact"/>
              <w:rPr>
                <w:sz w:val="20"/>
                <w:szCs w:val="20"/>
                <w:color w:val="auto"/>
              </w:rPr>
            </w:pPr>
            <w:r>
              <w:rPr>
                <w:rFonts w:ascii="Times New Roman" w:cs="Times New Roman" w:eastAsia="Times New Roman" w:hAnsi="Times New Roman"/>
                <w:sz w:val="20"/>
                <w:szCs w:val="20"/>
                <w:color w:val="auto"/>
              </w:rPr>
              <w:t>—</w:t>
            </w:r>
          </w:p>
        </w:tc>
        <w:tc>
          <w:tcPr>
            <w:tcW w:w="160" w:type="dxa"/>
            <w:vAlign w:val="bottom"/>
            <w:tcBorders>
              <w:right w:val="single" w:sz="8" w:color="CCEEFF"/>
            </w:tcBorders>
            <w:shd w:val="clear" w:color="auto" w:fill="CCEEFF"/>
          </w:tcPr>
          <w:p>
            <w:pPr>
              <w:spacing w:after="0"/>
              <w:rPr>
                <w:sz w:val="21"/>
                <w:szCs w:val="21"/>
                <w:color w:val="auto"/>
              </w:rPr>
            </w:pPr>
          </w:p>
        </w:tc>
        <w:tc>
          <w:tcPr>
            <w:tcW w:w="920" w:type="dxa"/>
            <w:vAlign w:val="bottom"/>
            <w:shd w:val="clear" w:color="auto" w:fill="CCEEFF"/>
          </w:tcPr>
          <w:p>
            <w:pPr>
              <w:jc w:val="right"/>
              <w:spacing w:after="0" w:line="228" w:lineRule="exact"/>
              <w:rPr>
                <w:sz w:val="20"/>
                <w:szCs w:val="20"/>
                <w:color w:val="auto"/>
              </w:rPr>
            </w:pPr>
            <w:r>
              <w:rPr>
                <w:rFonts w:ascii="Times New Roman" w:cs="Times New Roman" w:eastAsia="Times New Roman" w:hAnsi="Times New Roman"/>
                <w:sz w:val="20"/>
                <w:szCs w:val="20"/>
                <w:color w:val="auto"/>
              </w:rPr>
              <w:t>—</w:t>
            </w:r>
          </w:p>
        </w:tc>
        <w:tc>
          <w:tcPr>
            <w:tcW w:w="180" w:type="dxa"/>
            <w:vAlign w:val="bottom"/>
            <w:tcBorders>
              <w:right w:val="single" w:sz="8" w:color="CCEEFF"/>
            </w:tcBorders>
            <w:shd w:val="clear" w:color="auto" w:fill="CCEEFF"/>
          </w:tcPr>
          <w:p>
            <w:pPr>
              <w:spacing w:after="0"/>
              <w:rPr>
                <w:sz w:val="21"/>
                <w:szCs w:val="21"/>
                <w:color w:val="auto"/>
              </w:rPr>
            </w:pPr>
          </w:p>
        </w:tc>
        <w:tc>
          <w:tcPr>
            <w:tcW w:w="940" w:type="dxa"/>
            <w:vAlign w:val="bottom"/>
            <w:shd w:val="clear" w:color="auto" w:fill="CCEEFF"/>
          </w:tcPr>
          <w:p>
            <w:pPr>
              <w:ind w:left="680"/>
              <w:spacing w:after="0" w:line="228" w:lineRule="exact"/>
              <w:rPr>
                <w:sz w:val="20"/>
                <w:szCs w:val="20"/>
                <w:color w:val="auto"/>
              </w:rPr>
            </w:pPr>
            <w:r>
              <w:rPr>
                <w:rFonts w:ascii="Times New Roman" w:cs="Times New Roman" w:eastAsia="Times New Roman" w:hAnsi="Times New Roman"/>
                <w:sz w:val="20"/>
                <w:szCs w:val="20"/>
                <w:color w:val="auto"/>
              </w:rPr>
              <w:t>—</w:t>
            </w:r>
          </w:p>
        </w:tc>
        <w:tc>
          <w:tcPr>
            <w:tcW w:w="18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line="228" w:lineRule="exact"/>
              <w:rPr>
                <w:sz w:val="20"/>
                <w:szCs w:val="20"/>
                <w:color w:val="auto"/>
              </w:rPr>
            </w:pPr>
            <w:r>
              <w:rPr>
                <w:rFonts w:ascii="Times New Roman" w:cs="Times New Roman" w:eastAsia="Times New Roman" w:hAnsi="Times New Roman"/>
                <w:sz w:val="20"/>
                <w:szCs w:val="20"/>
                <w:color w:val="auto"/>
              </w:rPr>
              <w:t>—</w:t>
            </w:r>
          </w:p>
        </w:tc>
        <w:tc>
          <w:tcPr>
            <w:tcW w:w="180" w:type="dxa"/>
            <w:vAlign w:val="bottom"/>
            <w:tcBorders>
              <w:right w:val="single" w:sz="8" w:color="CCEEFF"/>
            </w:tcBorders>
            <w:shd w:val="clear" w:color="auto" w:fill="CCEEFF"/>
          </w:tcPr>
          <w:p>
            <w:pPr>
              <w:spacing w:after="0"/>
              <w:rPr>
                <w:sz w:val="21"/>
                <w:szCs w:val="21"/>
                <w:color w:val="auto"/>
              </w:rPr>
            </w:pPr>
          </w:p>
        </w:tc>
        <w:tc>
          <w:tcPr>
            <w:tcW w:w="960" w:type="dxa"/>
            <w:vAlign w:val="bottom"/>
            <w:shd w:val="clear" w:color="auto" w:fill="CCEEFF"/>
          </w:tcPr>
          <w:p>
            <w:pPr>
              <w:jc w:val="right"/>
              <w:spacing w:after="0" w:line="228" w:lineRule="exact"/>
              <w:rPr>
                <w:sz w:val="20"/>
                <w:szCs w:val="20"/>
                <w:color w:val="auto"/>
              </w:rPr>
            </w:pPr>
            <w:r>
              <w:rPr>
                <w:rFonts w:ascii="Times New Roman" w:cs="Times New Roman" w:eastAsia="Times New Roman" w:hAnsi="Times New Roman"/>
                <w:sz w:val="20"/>
                <w:szCs w:val="20"/>
                <w:color w:val="auto"/>
              </w:rPr>
              <w:t>—</w:t>
            </w:r>
          </w:p>
        </w:tc>
        <w:tc>
          <w:tcPr>
            <w:tcW w:w="920" w:type="dxa"/>
            <w:vAlign w:val="bottom"/>
            <w:gridSpan w:val="2"/>
            <w:shd w:val="clear" w:color="auto" w:fill="CCEEFF"/>
          </w:tcPr>
          <w:p>
            <w:pPr>
              <w:jc w:val="right"/>
              <w:spacing w:after="0" w:line="228" w:lineRule="exact"/>
              <w:rPr>
                <w:sz w:val="20"/>
                <w:szCs w:val="20"/>
                <w:color w:val="auto"/>
              </w:rPr>
            </w:pPr>
            <w:r>
              <w:rPr>
                <w:rFonts w:ascii="Times New Roman" w:cs="Times New Roman" w:eastAsia="Times New Roman" w:hAnsi="Times New Roman"/>
                <w:sz w:val="20"/>
                <w:szCs w:val="20"/>
                <w:color w:val="auto"/>
              </w:rPr>
              <w:t>167,000</w:t>
            </w:r>
          </w:p>
        </w:tc>
        <w:tc>
          <w:tcPr>
            <w:tcW w:w="1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2"/>
              </w:rPr>
              <w:t>(4)</w:t>
            </w:r>
          </w:p>
        </w:tc>
        <w:tc>
          <w:tcPr>
            <w:tcW w:w="860" w:type="dxa"/>
            <w:vAlign w:val="bottom"/>
            <w:shd w:val="clear" w:color="auto" w:fill="CCEEFF"/>
          </w:tcPr>
          <w:p>
            <w:pPr>
              <w:jc w:val="right"/>
              <w:spacing w:after="0" w:line="228" w:lineRule="exact"/>
              <w:rPr>
                <w:sz w:val="20"/>
                <w:szCs w:val="20"/>
                <w:color w:val="auto"/>
              </w:rPr>
            </w:pPr>
            <w:r>
              <w:rPr>
                <w:rFonts w:ascii="Times New Roman" w:cs="Times New Roman" w:eastAsia="Times New Roman" w:hAnsi="Times New Roman"/>
                <w:sz w:val="20"/>
                <w:szCs w:val="20"/>
                <w:color w:val="auto"/>
                <w:w w:val="97"/>
              </w:rPr>
              <w:t>$ 549,430</w:t>
            </w:r>
          </w:p>
        </w:tc>
      </w:tr>
      <w:tr>
        <w:trPr>
          <w:trHeight w:val="182"/>
        </w:trPr>
        <w:tc>
          <w:tcPr>
            <w:tcW w:w="1140" w:type="dxa"/>
            <w:vAlign w:val="bottom"/>
            <w:tcBorders>
              <w:top w:val="single" w:sz="8" w:color="CCEEFF"/>
            </w:tcBorders>
          </w:tcPr>
          <w:p>
            <w:pPr>
              <w:spacing w:after="0" w:line="182" w:lineRule="exact"/>
              <w:rPr>
                <w:sz w:val="20"/>
                <w:szCs w:val="20"/>
                <w:color w:val="auto"/>
              </w:rPr>
            </w:pPr>
            <w:r>
              <w:rPr>
                <w:rFonts w:ascii="Times New Roman" w:cs="Times New Roman" w:eastAsia="Times New Roman" w:hAnsi="Times New Roman"/>
                <w:sz w:val="20"/>
                <w:szCs w:val="20"/>
                <w:color w:val="auto"/>
              </w:rPr>
              <w:t>Ken Mobeck</w:t>
            </w:r>
          </w:p>
        </w:tc>
        <w:tc>
          <w:tcPr>
            <w:tcW w:w="160" w:type="dxa"/>
            <w:vAlign w:val="bottom"/>
            <w:tcBorders>
              <w:top w:val="single" w:sz="8" w:color="CCEEFF"/>
            </w:tcBorders>
          </w:tcPr>
          <w:p>
            <w:pPr>
              <w:spacing w:after="0"/>
              <w:rPr>
                <w:sz w:val="15"/>
                <w:szCs w:val="15"/>
                <w:color w:val="auto"/>
              </w:rPr>
            </w:pPr>
          </w:p>
        </w:tc>
        <w:tc>
          <w:tcPr>
            <w:tcW w:w="960" w:type="dxa"/>
            <w:vAlign w:val="bottom"/>
            <w:tcBorders>
              <w:top w:val="single" w:sz="8" w:color="auto"/>
            </w:tcBorders>
          </w:tcPr>
          <w:p>
            <w:pPr>
              <w:jc w:val="right"/>
              <w:spacing w:after="0" w:line="182" w:lineRule="exact"/>
              <w:rPr>
                <w:sz w:val="20"/>
                <w:szCs w:val="20"/>
                <w:color w:val="auto"/>
              </w:rPr>
            </w:pPr>
            <w:r>
              <w:rPr>
                <w:rFonts w:ascii="Times New Roman" w:cs="Times New Roman" w:eastAsia="Times New Roman" w:hAnsi="Times New Roman"/>
                <w:sz w:val="20"/>
                <w:szCs w:val="20"/>
                <w:color w:val="auto"/>
                <w:w w:val="96"/>
              </w:rPr>
              <w:t>12/15/2022</w:t>
            </w:r>
          </w:p>
        </w:tc>
        <w:tc>
          <w:tcPr>
            <w:tcW w:w="160" w:type="dxa"/>
            <w:vAlign w:val="bottom"/>
            <w:tcBorders>
              <w:top w:val="single" w:sz="8" w:color="CCEEFF"/>
            </w:tcBorders>
          </w:tcPr>
          <w:p>
            <w:pPr>
              <w:spacing w:after="0"/>
              <w:rPr>
                <w:sz w:val="15"/>
                <w:szCs w:val="15"/>
                <w:color w:val="auto"/>
              </w:rPr>
            </w:pPr>
          </w:p>
        </w:tc>
        <w:tc>
          <w:tcPr>
            <w:tcW w:w="820" w:type="dxa"/>
            <w:vAlign w:val="bottom"/>
            <w:tcBorders>
              <w:top w:val="single" w:sz="8" w:color="auto"/>
            </w:tcBorders>
          </w:tcPr>
          <w:p>
            <w:pPr>
              <w:jc w:val="right"/>
              <w:spacing w:after="0" w:line="182" w:lineRule="exact"/>
              <w:rPr>
                <w:sz w:val="20"/>
                <w:szCs w:val="20"/>
                <w:color w:val="auto"/>
              </w:rPr>
            </w:pPr>
            <w:r>
              <w:rPr>
                <w:rFonts w:ascii="Times New Roman" w:cs="Times New Roman" w:eastAsia="Times New Roman" w:hAnsi="Times New Roman"/>
                <w:sz w:val="20"/>
                <w:szCs w:val="20"/>
                <w:color w:val="auto"/>
              </w:rPr>
              <w:t>375,000</w:t>
            </w:r>
          </w:p>
        </w:tc>
        <w:tc>
          <w:tcPr>
            <w:tcW w:w="1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w w:val="78"/>
              </w:rPr>
              <w:t>(3)</w:t>
            </w:r>
          </w:p>
        </w:tc>
        <w:tc>
          <w:tcPr>
            <w:tcW w:w="920" w:type="dxa"/>
            <w:vAlign w:val="bottom"/>
            <w:tcBorders>
              <w:top w:val="single" w:sz="8" w:color="auto"/>
            </w:tcBorders>
          </w:tcPr>
          <w:p>
            <w:pPr>
              <w:jc w:val="right"/>
              <w:spacing w:after="0" w:line="182" w:lineRule="exact"/>
              <w:rPr>
                <w:sz w:val="20"/>
                <w:szCs w:val="20"/>
                <w:color w:val="auto"/>
              </w:rPr>
            </w:pPr>
            <w:r>
              <w:rPr>
                <w:rFonts w:ascii="Times New Roman" w:cs="Times New Roman" w:eastAsia="Times New Roman" w:hAnsi="Times New Roman"/>
                <w:sz w:val="20"/>
                <w:szCs w:val="20"/>
                <w:color w:val="auto"/>
              </w:rPr>
              <w:t>—</w:t>
            </w:r>
          </w:p>
        </w:tc>
        <w:tc>
          <w:tcPr>
            <w:tcW w:w="180" w:type="dxa"/>
            <w:vAlign w:val="bottom"/>
            <w:tcBorders>
              <w:top w:val="single" w:sz="8" w:color="CCEEFF"/>
            </w:tcBorders>
          </w:tcPr>
          <w:p>
            <w:pPr>
              <w:spacing w:after="0"/>
              <w:rPr>
                <w:sz w:val="15"/>
                <w:szCs w:val="15"/>
                <w:color w:val="auto"/>
              </w:rPr>
            </w:pPr>
          </w:p>
        </w:tc>
        <w:tc>
          <w:tcPr>
            <w:tcW w:w="940" w:type="dxa"/>
            <w:vAlign w:val="bottom"/>
            <w:tcBorders>
              <w:top w:val="single" w:sz="8" w:color="auto"/>
            </w:tcBorders>
          </w:tcPr>
          <w:p>
            <w:pPr>
              <w:ind w:left="680"/>
              <w:spacing w:after="0" w:line="182" w:lineRule="exact"/>
              <w:rPr>
                <w:sz w:val="20"/>
                <w:szCs w:val="20"/>
                <w:color w:val="auto"/>
              </w:rPr>
            </w:pPr>
            <w:r>
              <w:rPr>
                <w:rFonts w:ascii="Times New Roman" w:cs="Times New Roman" w:eastAsia="Times New Roman" w:hAnsi="Times New Roman"/>
                <w:sz w:val="20"/>
                <w:szCs w:val="20"/>
                <w:color w:val="auto"/>
              </w:rPr>
              <w:t>—</w:t>
            </w:r>
          </w:p>
        </w:tc>
        <w:tc>
          <w:tcPr>
            <w:tcW w:w="180" w:type="dxa"/>
            <w:vAlign w:val="bottom"/>
            <w:tcBorders>
              <w:top w:val="single" w:sz="8" w:color="CCEEFF"/>
            </w:tcBorders>
          </w:tcPr>
          <w:p>
            <w:pPr>
              <w:spacing w:after="0"/>
              <w:rPr>
                <w:sz w:val="15"/>
                <w:szCs w:val="15"/>
                <w:color w:val="auto"/>
              </w:rPr>
            </w:pPr>
          </w:p>
        </w:tc>
        <w:tc>
          <w:tcPr>
            <w:tcW w:w="80" w:type="dxa"/>
            <w:vAlign w:val="bottom"/>
            <w:tcBorders>
              <w:top w:val="single" w:sz="8" w:color="auto"/>
            </w:tcBorders>
          </w:tcPr>
          <w:p>
            <w:pPr>
              <w:spacing w:after="0" w:line="182" w:lineRule="exact"/>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tcPr>
          <w:p>
            <w:pPr>
              <w:jc w:val="right"/>
              <w:spacing w:after="0" w:line="182" w:lineRule="exact"/>
              <w:rPr>
                <w:sz w:val="20"/>
                <w:szCs w:val="20"/>
                <w:color w:val="auto"/>
              </w:rPr>
            </w:pPr>
            <w:r>
              <w:rPr>
                <w:rFonts w:ascii="Times New Roman" w:cs="Times New Roman" w:eastAsia="Times New Roman" w:hAnsi="Times New Roman"/>
                <w:sz w:val="20"/>
                <w:szCs w:val="20"/>
                <w:color w:val="auto"/>
              </w:rPr>
              <w:t>11.68</w:t>
            </w:r>
          </w:p>
        </w:tc>
        <w:tc>
          <w:tcPr>
            <w:tcW w:w="180" w:type="dxa"/>
            <w:vAlign w:val="bottom"/>
            <w:tcBorders>
              <w:top w:val="single" w:sz="8" w:color="CCEEFF"/>
            </w:tcBorders>
          </w:tcPr>
          <w:p>
            <w:pPr>
              <w:spacing w:after="0"/>
              <w:rPr>
                <w:sz w:val="15"/>
                <w:szCs w:val="15"/>
                <w:color w:val="auto"/>
              </w:rPr>
            </w:pPr>
          </w:p>
        </w:tc>
        <w:tc>
          <w:tcPr>
            <w:tcW w:w="960" w:type="dxa"/>
            <w:vAlign w:val="bottom"/>
            <w:tcBorders>
              <w:top w:val="single" w:sz="8" w:color="auto"/>
            </w:tcBorders>
          </w:tcPr>
          <w:p>
            <w:pPr>
              <w:jc w:val="right"/>
              <w:spacing w:after="0" w:line="182" w:lineRule="exact"/>
              <w:rPr>
                <w:sz w:val="20"/>
                <w:szCs w:val="20"/>
                <w:color w:val="auto"/>
              </w:rPr>
            </w:pPr>
            <w:r>
              <w:rPr>
                <w:rFonts w:ascii="Times New Roman" w:cs="Times New Roman" w:eastAsia="Times New Roman" w:hAnsi="Times New Roman"/>
                <w:sz w:val="20"/>
                <w:szCs w:val="20"/>
                <w:color w:val="auto"/>
                <w:w w:val="96"/>
              </w:rPr>
              <w:t>12/15/2032</w:t>
            </w:r>
          </w:p>
        </w:tc>
        <w:tc>
          <w:tcPr>
            <w:tcW w:w="160" w:type="dxa"/>
            <w:vAlign w:val="bottom"/>
            <w:tcBorders>
              <w:top w:val="single" w:sz="8" w:color="CCEEFF"/>
            </w:tcBorders>
          </w:tcPr>
          <w:p>
            <w:pPr>
              <w:spacing w:after="0"/>
              <w:rPr>
                <w:sz w:val="15"/>
                <w:szCs w:val="15"/>
                <w:color w:val="auto"/>
              </w:rPr>
            </w:pPr>
          </w:p>
        </w:tc>
        <w:tc>
          <w:tcPr>
            <w:tcW w:w="760" w:type="dxa"/>
            <w:vAlign w:val="bottom"/>
            <w:tcBorders>
              <w:top w:val="single" w:sz="8" w:color="auto"/>
            </w:tcBorders>
          </w:tcPr>
          <w:p>
            <w:pPr>
              <w:jc w:val="right"/>
              <w:spacing w:after="0" w:line="182" w:lineRule="exact"/>
              <w:rPr>
                <w:sz w:val="20"/>
                <w:szCs w:val="20"/>
                <w:color w:val="auto"/>
              </w:rPr>
            </w:pPr>
            <w:r>
              <w:rPr>
                <w:rFonts w:ascii="Times New Roman" w:cs="Times New Roman" w:eastAsia="Times New Roman" w:hAnsi="Times New Roman"/>
                <w:sz w:val="20"/>
                <w:szCs w:val="20"/>
                <w:color w:val="auto"/>
              </w:rPr>
              <w:t>—</w:t>
            </w:r>
          </w:p>
        </w:tc>
        <w:tc>
          <w:tcPr>
            <w:tcW w:w="160" w:type="dxa"/>
            <w:vAlign w:val="bottom"/>
            <w:tcBorders>
              <w:top w:val="single" w:sz="8" w:color="CCEEFF"/>
            </w:tcBorders>
          </w:tcPr>
          <w:p>
            <w:pPr>
              <w:spacing w:after="0"/>
              <w:rPr>
                <w:sz w:val="15"/>
                <w:szCs w:val="15"/>
                <w:color w:val="auto"/>
              </w:rPr>
            </w:pPr>
          </w:p>
        </w:tc>
        <w:tc>
          <w:tcPr>
            <w:tcW w:w="860" w:type="dxa"/>
            <w:vAlign w:val="bottom"/>
            <w:tcBorders>
              <w:top w:val="single" w:sz="8" w:color="auto"/>
            </w:tcBorders>
          </w:tcPr>
          <w:p>
            <w:pPr>
              <w:jc w:val="right"/>
              <w:spacing w:after="0" w:line="182" w:lineRule="exact"/>
              <w:rPr>
                <w:sz w:val="20"/>
                <w:szCs w:val="20"/>
                <w:color w:val="auto"/>
              </w:rPr>
            </w:pPr>
            <w:r>
              <w:rPr>
                <w:rFonts w:ascii="Times New Roman" w:cs="Times New Roman" w:eastAsia="Times New Roman" w:hAnsi="Times New Roman"/>
                <w:sz w:val="20"/>
                <w:szCs w:val="20"/>
                <w:color w:val="auto"/>
              </w:rPr>
              <w:t>—</w:t>
            </w:r>
          </w:p>
        </w:tc>
      </w:tr>
      <w:tr>
        <w:trPr>
          <w:trHeight w:val="230"/>
        </w:trPr>
        <w:tc>
          <w:tcPr>
            <w:tcW w:w="114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1/18/2024</w:t>
            </w: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63,889</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78"/>
              </w:rPr>
              <w:t>(3)</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36,111</w:t>
            </w:r>
          </w:p>
        </w:tc>
        <w:tc>
          <w:tcPr>
            <w:tcW w:w="180" w:type="dxa"/>
            <w:vAlign w:val="bottom"/>
          </w:tcPr>
          <w:p>
            <w:pPr>
              <w:spacing w:after="0"/>
              <w:rPr>
                <w:sz w:val="20"/>
                <w:szCs w:val="20"/>
                <w:color w:val="auto"/>
              </w:rPr>
            </w:pPr>
          </w:p>
        </w:tc>
        <w:tc>
          <w:tcPr>
            <w:tcW w:w="940" w:type="dxa"/>
            <w:vAlign w:val="bottom"/>
          </w:tcPr>
          <w:p>
            <w:pPr>
              <w:ind w:left="680"/>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w w:val="7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6.22</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1/18/2034</w:t>
            </w: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30"/>
        </w:trPr>
        <w:tc>
          <w:tcPr>
            <w:tcW w:w="114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6/20/2025</w:t>
            </w: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27,500</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78"/>
              </w:rPr>
              <w:t>(3)</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137,500</w:t>
            </w:r>
          </w:p>
        </w:tc>
        <w:tc>
          <w:tcPr>
            <w:tcW w:w="180" w:type="dxa"/>
            <w:vAlign w:val="bottom"/>
          </w:tcPr>
          <w:p>
            <w:pPr>
              <w:spacing w:after="0"/>
              <w:rPr>
                <w:sz w:val="20"/>
                <w:szCs w:val="20"/>
                <w:color w:val="auto"/>
              </w:rPr>
            </w:pPr>
          </w:p>
        </w:tc>
        <w:tc>
          <w:tcPr>
            <w:tcW w:w="940" w:type="dxa"/>
            <w:vAlign w:val="bottom"/>
          </w:tcPr>
          <w:p>
            <w:pPr>
              <w:ind w:left="680"/>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w w:val="7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1.74</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6/20/2035</w:t>
            </w: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48"/>
        </w:trPr>
        <w:tc>
          <w:tcPr>
            <w:tcW w:w="114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6/20/2025</w:t>
            </w:r>
          </w:p>
        </w:tc>
        <w:tc>
          <w:tcPr>
            <w:tcW w:w="160" w:type="dxa"/>
            <w:vAlign w:val="bottom"/>
            <w:tcBorders>
              <w:bottom w:val="single" w:sz="8" w:color="CCEEFF"/>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Borders>
              <w:bottom w:val="single" w:sz="8" w:color="CCEEFF"/>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Borders>
              <w:bottom w:val="single" w:sz="8" w:color="CCEEFF"/>
            </w:tcBorders>
          </w:tcPr>
          <w:p>
            <w:pPr>
              <w:spacing w:after="0"/>
              <w:rPr>
                <w:sz w:val="21"/>
                <w:szCs w:val="21"/>
                <w:color w:val="auto"/>
              </w:rPr>
            </w:pPr>
          </w:p>
        </w:tc>
        <w:tc>
          <w:tcPr>
            <w:tcW w:w="94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Borders>
              <w:bottom w:val="single" w:sz="8" w:color="CCEEFF"/>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Borders>
              <w:bottom w:val="single" w:sz="8" w:color="CCEEFF"/>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55,110</w:t>
            </w:r>
          </w:p>
        </w:tc>
        <w:tc>
          <w:tcPr>
            <w:tcW w:w="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w w:val="92"/>
              </w:rPr>
              <w:t>(4)</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7"/>
              </w:rPr>
              <w:t>$ 181,312</w:t>
            </w:r>
          </w:p>
        </w:tc>
      </w:tr>
      <w:tr>
        <w:trPr>
          <w:trHeight w:val="202"/>
        </w:trPr>
        <w:tc>
          <w:tcPr>
            <w:tcW w:w="114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20"/>
                <w:szCs w:val="20"/>
                <w:color w:val="auto"/>
              </w:rPr>
              <w:t>Steve Annen</w:t>
            </w:r>
          </w:p>
        </w:tc>
        <w:tc>
          <w:tcPr>
            <w:tcW w:w="112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20"/>
                <w:szCs w:val="20"/>
                <w:color w:val="auto"/>
              </w:rPr>
              <w:t>8/23/2023</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20"/>
                <w:szCs w:val="20"/>
                <w:color w:val="auto"/>
              </w:rPr>
              <w:t>62,222</w:t>
            </w:r>
          </w:p>
        </w:tc>
        <w:tc>
          <w:tcPr>
            <w:tcW w:w="1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78"/>
              </w:rPr>
              <w:t>(3)</w:t>
            </w:r>
          </w:p>
        </w:tc>
        <w:tc>
          <w:tcPr>
            <w:tcW w:w="9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20"/>
                <w:szCs w:val="20"/>
                <w:color w:val="auto"/>
              </w:rPr>
              <w:t>17,778</w:t>
            </w:r>
          </w:p>
        </w:tc>
        <w:tc>
          <w:tcPr>
            <w:tcW w:w="180" w:type="dxa"/>
            <w:vAlign w:val="bottom"/>
            <w:tcBorders>
              <w:right w:val="single" w:sz="8" w:color="CCEEFF"/>
            </w:tcBorders>
            <w:shd w:val="clear" w:color="auto" w:fill="CCEEFF"/>
          </w:tcPr>
          <w:p>
            <w:pPr>
              <w:spacing w:after="0"/>
              <w:rPr>
                <w:sz w:val="17"/>
                <w:szCs w:val="17"/>
                <w:color w:val="auto"/>
              </w:rPr>
            </w:pPr>
          </w:p>
        </w:tc>
        <w:tc>
          <w:tcPr>
            <w:tcW w:w="940" w:type="dxa"/>
            <w:vAlign w:val="bottom"/>
            <w:shd w:val="clear" w:color="auto" w:fill="CCEEFF"/>
          </w:tcPr>
          <w:p>
            <w:pPr>
              <w:ind w:left="680"/>
              <w:spacing w:after="0" w:line="202" w:lineRule="exact"/>
              <w:rPr>
                <w:sz w:val="20"/>
                <w:szCs w:val="20"/>
                <w:color w:val="auto"/>
              </w:rPr>
            </w:pPr>
            <w:r>
              <w:rPr>
                <w:rFonts w:ascii="Times New Roman" w:cs="Times New Roman" w:eastAsia="Times New Roman" w:hAnsi="Times New Roman"/>
                <w:sz w:val="20"/>
                <w:szCs w:val="20"/>
                <w:color w:val="auto"/>
              </w:rPr>
              <w:t>—</w:t>
            </w:r>
          </w:p>
        </w:tc>
        <w:tc>
          <w:tcPr>
            <w:tcW w:w="260" w:type="dxa"/>
            <w:vAlign w:val="bottom"/>
            <w:gridSpan w:val="2"/>
            <w:shd w:val="clear" w:color="auto" w:fill="CCEEFF"/>
          </w:tcPr>
          <w:p>
            <w:pPr>
              <w:ind w:left="160"/>
              <w:spacing w:after="0" w:line="202" w:lineRule="exact"/>
              <w:rPr>
                <w:sz w:val="20"/>
                <w:szCs w:val="20"/>
                <w:color w:val="auto"/>
              </w:rPr>
            </w:pPr>
            <w:r>
              <w:rPr>
                <w:rFonts w:ascii="Times New Roman" w:cs="Times New Roman" w:eastAsia="Times New Roman" w:hAnsi="Times New Roman"/>
                <w:sz w:val="20"/>
                <w:szCs w:val="20"/>
                <w:color w:val="auto"/>
                <w:w w:val="79"/>
              </w:rPr>
              <w:t>$</w:t>
            </w:r>
          </w:p>
        </w:tc>
        <w:tc>
          <w:tcPr>
            <w:tcW w:w="6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20"/>
                <w:szCs w:val="20"/>
                <w:color w:val="auto"/>
              </w:rPr>
              <w:t>8.85</w:t>
            </w:r>
          </w:p>
        </w:tc>
        <w:tc>
          <w:tcPr>
            <w:tcW w:w="114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20"/>
                <w:szCs w:val="20"/>
                <w:color w:val="auto"/>
              </w:rPr>
              <w:t>8/23/2033</w:t>
            </w:r>
          </w:p>
        </w:tc>
        <w:tc>
          <w:tcPr>
            <w:tcW w:w="160" w:type="dxa"/>
            <w:vAlign w:val="bottom"/>
            <w:tcBorders>
              <w:right w:val="single" w:sz="8" w:color="CCEEFF"/>
            </w:tcBorders>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20"/>
                <w:szCs w:val="20"/>
                <w:color w:val="auto"/>
              </w:rPr>
              <w:t>—</w:t>
            </w:r>
          </w:p>
        </w:tc>
        <w:tc>
          <w:tcPr>
            <w:tcW w:w="160" w:type="dxa"/>
            <w:vAlign w:val="bottom"/>
            <w:tcBorders>
              <w:right w:val="single" w:sz="8" w:color="CCEEFF"/>
            </w:tcBorders>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20"/>
                <w:szCs w:val="20"/>
                <w:color w:val="auto"/>
              </w:rPr>
              <w:t>—</w:t>
            </w:r>
          </w:p>
        </w:tc>
      </w:tr>
      <w:tr>
        <w:trPr>
          <w:trHeight w:val="230"/>
        </w:trPr>
        <w:tc>
          <w:tcPr>
            <w:tcW w:w="11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6/20/2025</w:t>
            </w: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20,625</w:t>
            </w:r>
          </w:p>
        </w:tc>
        <w:tc>
          <w:tcPr>
            <w:tcW w:w="1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78"/>
              </w:rPr>
              <w:t>(3)</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103,125</w:t>
            </w:r>
          </w:p>
        </w:tc>
        <w:tc>
          <w:tcPr>
            <w:tcW w:w="180" w:type="dxa"/>
            <w:vAlign w:val="bottom"/>
            <w:tcBorders>
              <w:right w:val="single" w:sz="8" w:color="CCEEFF"/>
            </w:tcBorders>
            <w:shd w:val="clear" w:color="auto" w:fill="CCEEFF"/>
          </w:tcPr>
          <w:p>
            <w:pPr>
              <w:spacing w:after="0"/>
              <w:rPr>
                <w:sz w:val="20"/>
                <w:szCs w:val="20"/>
                <w:color w:val="auto"/>
              </w:rPr>
            </w:pPr>
          </w:p>
        </w:tc>
        <w:tc>
          <w:tcPr>
            <w:tcW w:w="9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20"/>
                <w:szCs w:val="20"/>
                <w:color w:val="auto"/>
                <w:w w:val="7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1.74</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6/20/2035</w:t>
            </w:r>
          </w:p>
        </w:tc>
        <w:tc>
          <w:tcPr>
            <w:tcW w:w="160" w:type="dxa"/>
            <w:vAlign w:val="bottom"/>
            <w:tcBorders>
              <w:right w:val="single" w:sz="8" w:color="CCEEFF"/>
            </w:tcBorders>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Borders>
              <w:right w:val="single" w:sz="8" w:color="CCEEFF"/>
            </w:tcBorders>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48"/>
        </w:trPr>
        <w:tc>
          <w:tcPr>
            <w:tcW w:w="1140" w:type="dxa"/>
            <w:vAlign w:val="bottom"/>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6/20/2025</w:t>
            </w:r>
          </w:p>
        </w:tc>
        <w:tc>
          <w:tcPr>
            <w:tcW w:w="1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Borders>
              <w:right w:val="single" w:sz="8" w:color="CCEEFF"/>
            </w:tcBorders>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Borders>
              <w:right w:val="single" w:sz="8" w:color="CCEEFF"/>
            </w:tcBorders>
            <w:shd w:val="clear" w:color="auto" w:fill="CCEEFF"/>
          </w:tcPr>
          <w:p>
            <w:pPr>
              <w:spacing w:after="0"/>
              <w:rPr>
                <w:sz w:val="21"/>
                <w:szCs w:val="21"/>
                <w:color w:val="auto"/>
              </w:rPr>
            </w:pPr>
          </w:p>
        </w:tc>
        <w:tc>
          <w:tcPr>
            <w:tcW w:w="9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Borders>
              <w:right w:val="single" w:sz="8" w:color="CCEEFF"/>
            </w:tcBorders>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Borders>
              <w:right w:val="single" w:sz="8" w:color="CCEEFF"/>
            </w:tcBorders>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41,390</w:t>
            </w:r>
          </w:p>
        </w:tc>
        <w:tc>
          <w:tcPr>
            <w:tcW w:w="1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2"/>
              </w:rPr>
              <w:t>(4)</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7"/>
              </w:rPr>
              <w:t>$ 136,173</w:t>
            </w:r>
          </w:p>
        </w:tc>
      </w:tr>
      <w:tr>
        <w:trPr>
          <w:trHeight w:val="20"/>
        </w:trPr>
        <w:tc>
          <w:tcPr>
            <w:tcW w:w="114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107950</wp:posOffset>
                </wp:positionV>
                <wp:extent cx="1488440" cy="0"/>
                <wp:wrapNone/>
                <wp:docPr id="263" name="Shape 2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88440" cy="4763"/>
                        </a:xfrm>
                        <a:prstGeom prst="line">
                          <a:avLst/>
                        </a:prstGeom>
                        <a:solidFill>
                          <a:srgbClr val="FFFFFF"/>
                        </a:solidFill>
                        <a:ln w="12052">
                          <a:solidFill>
                            <a:srgbClr val="000000"/>
                          </a:solidFill>
                          <a:miter lim="800000"/>
                          <a:headEnd/>
                          <a:tailEnd/>
                        </a:ln>
                      </wps:spPr>
                      <wps:bodyPr/>
                    </wps:wsp>
                  </a:graphicData>
                </a:graphic>
              </wp:anchor>
            </w:drawing>
          </mc:Choice>
          <mc:Fallback>
            <w:pict>
              <v:line id="Shape 263" o:spid="_x0000_s12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8.5pt" to="117.5pt,8.5pt" o:allowincell="f" strokecolor="#000000" strokeweight="0.949pt"/>
            </w:pict>
          </mc:Fallback>
        </mc:AlternateContent>
      </w:r>
    </w:p>
    <w:p>
      <w:pPr>
        <w:spacing w:after="0" w:line="192" w:lineRule="exact"/>
        <w:rPr>
          <w:sz w:val="20"/>
          <w:szCs w:val="20"/>
          <w:color w:val="auto"/>
        </w:rPr>
      </w:pPr>
    </w:p>
    <w:p>
      <w:pPr>
        <w:ind w:left="360" w:right="280" w:hanging="353"/>
        <w:spacing w:after="0" w:line="241" w:lineRule="auto"/>
        <w:tabs>
          <w:tab w:leader="none" w:pos="360"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options are issued with exercise prices expressed in EUR. The exercise prices have been converted using the year-end spot exchange rate as of December 31, 2025, which was 1.1749 or approximately EUR 1.00 to USD 1.17.</w:t>
      </w:r>
    </w:p>
    <w:p>
      <w:pPr>
        <w:ind w:left="360" w:right="140" w:hanging="353"/>
        <w:spacing w:after="0" w:line="239" w:lineRule="auto"/>
        <w:tabs>
          <w:tab w:leader="none" w:pos="360"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market value of the RSUs is calculated by multiplying the number of RSUs that have not yet vested by the closing market price of our common stock ($3.29) as reported on NASDAQ as of the close of business on December 31, 2025.</w:t>
      </w:r>
    </w:p>
    <w:p>
      <w:pPr>
        <w:jc w:val="both"/>
        <w:ind w:left="360" w:right="220" w:hanging="353"/>
        <w:spacing w:after="0" w:line="239" w:lineRule="auto"/>
        <w:tabs>
          <w:tab w:leader="none" w:pos="360"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Options vest over 36 months as follows: one-sixth of the options vest on the six-month anniversary of the date of grant and the remaining five-sixths of the options vest on a monthly basis through the three-year anniversary of the date of grant, subject to applicable NEO being employed by EDAP through each vesting date.</w:t>
      </w:r>
    </w:p>
    <w:p>
      <w:pPr>
        <w:spacing w:after="0" w:line="2" w:lineRule="exact"/>
        <w:rPr>
          <w:rFonts w:ascii="Times New Roman" w:cs="Times New Roman" w:eastAsia="Times New Roman" w:hAnsi="Times New Roman"/>
          <w:sz w:val="16"/>
          <w:szCs w:val="16"/>
          <w:color w:val="auto"/>
        </w:rPr>
      </w:pPr>
    </w:p>
    <w:p>
      <w:pPr>
        <w:ind w:left="360" w:right="60" w:hanging="353"/>
        <w:spacing w:after="0" w:line="259" w:lineRule="auto"/>
        <w:tabs>
          <w:tab w:leader="none" w:pos="360"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RSUs vest over 36 months as follows: four-sixths of the RSUs vest on the second anniversary of the date of grant and the remaining two-sixths vest in two equal installments on December 20, 2027 and June 20, 2028, respectively, subject to the NEOs being employed by EDAP through each vesting date.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Retirement Plan</w:t>
      </w:r>
    </w:p>
    <w:p>
      <w:pPr>
        <w:spacing w:after="0" w:line="203" w:lineRule="exact"/>
        <w:rPr>
          <w:sz w:val="20"/>
          <w:szCs w:val="20"/>
          <w:color w:val="auto"/>
        </w:rPr>
      </w:pPr>
    </w:p>
    <w:p>
      <w:pPr>
        <w:ind w:right="380"/>
        <w:spacing w:after="0" w:line="259" w:lineRule="auto"/>
        <w:rPr>
          <w:sz w:val="20"/>
          <w:szCs w:val="20"/>
          <w:color w:val="auto"/>
        </w:rPr>
      </w:pPr>
      <w:r>
        <w:rPr>
          <w:rFonts w:ascii="Times New Roman" w:cs="Times New Roman" w:eastAsia="Times New Roman" w:hAnsi="Times New Roman"/>
          <w:sz w:val="20"/>
          <w:szCs w:val="20"/>
          <w:color w:val="auto"/>
        </w:rPr>
        <w:t>The Company maintains a 401 (k) defined contribution retirement plan for eligible U.S. employees (the “401(k) Plan”). Employees may contribute a portion of their eligible compensation to the plan on a pre-tax basis and/or Roth basis, subject to applicable U.S. Internal Revenue Code limits.</w:t>
      </w:r>
    </w:p>
    <w:p>
      <w:pPr>
        <w:spacing w:after="0" w:line="146"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20"/>
          <w:szCs w:val="20"/>
          <w:color w:val="auto"/>
        </w:rPr>
        <w:t>The Company provides matching contributions under a safe harbor formula equal to 100% of the first 3% of employee contributions and 50% of the next 2% of contributions. Employer matching contributions are fully vested upon contribution. The Company may also make discretionary profit-sharing contributions, which vest over time in accordance with the terms of the plan.</w:t>
      </w:r>
    </w:p>
    <w:p>
      <w:pPr>
        <w:spacing w:after="0" w:line="151" w:lineRule="exact"/>
        <w:rPr>
          <w:sz w:val="20"/>
          <w:szCs w:val="20"/>
          <w:color w:val="auto"/>
        </w:rPr>
      </w:pPr>
    </w:p>
    <w:p>
      <w:pPr>
        <w:ind w:right="300"/>
        <w:spacing w:after="0" w:line="279" w:lineRule="auto"/>
        <w:rPr>
          <w:sz w:val="20"/>
          <w:szCs w:val="20"/>
          <w:color w:val="auto"/>
        </w:rPr>
      </w:pPr>
      <w:r>
        <w:rPr>
          <w:rFonts w:ascii="Times New Roman" w:cs="Times New Roman" w:eastAsia="Times New Roman" w:hAnsi="Times New Roman"/>
          <w:sz w:val="20"/>
          <w:szCs w:val="20"/>
          <w:color w:val="auto"/>
        </w:rPr>
        <w:t>The Company’s matching contributions to the 401(k) Plan for fiscal years 2025 and 2024 are included in the “All Other Compensation” column of the Summary Compensation Table.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2025 Director Compensation</w:t>
      </w:r>
    </w:p>
    <w:p>
      <w:pPr>
        <w:spacing w:after="0" w:line="203" w:lineRule="exact"/>
        <w:rPr>
          <w:sz w:val="20"/>
          <w:szCs w:val="20"/>
          <w:color w:val="auto"/>
        </w:rPr>
      </w:pPr>
    </w:p>
    <w:p>
      <w:pPr>
        <w:ind w:right="380"/>
        <w:spacing w:after="0" w:line="279" w:lineRule="auto"/>
        <w:rPr>
          <w:sz w:val="20"/>
          <w:szCs w:val="20"/>
          <w:color w:val="auto"/>
        </w:rPr>
      </w:pPr>
      <w:r>
        <w:rPr>
          <w:rFonts w:ascii="Times New Roman" w:cs="Times New Roman" w:eastAsia="Times New Roman" w:hAnsi="Times New Roman"/>
          <w:sz w:val="20"/>
          <w:szCs w:val="20"/>
          <w:color w:val="auto"/>
        </w:rPr>
        <w:t>Our non-employee directors receive compensation for their service on the Board of Directors. Directors who are employees of the Company do not receive any additional compensation for service on our Board of Directors.</w:t>
      </w:r>
    </w:p>
    <w:p>
      <w:pPr>
        <w:spacing w:after="0" w:line="125"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20"/>
          <w:szCs w:val="20"/>
          <w:color w:val="auto"/>
        </w:rPr>
        <w:t>We provide all of our non -employee directors with an annual cash retainer. For 2025, the amount of the annual cash retainer was EUR 45,000 which was paid to each director in USD, in quarterly installments. In addition, the following Board positions received the following additional annual fees (paid in USD and in quarterly installments): Chairman of the Board, EUR 25,000; Audit Committee Chair, EUR 18,000; and Audit Committee member, EUR 7,000.</w:t>
      </w:r>
    </w:p>
    <w:p>
      <w:pPr>
        <w:sectPr>
          <w:pgSz w:w="11900" w:h="16838" w:orient="portrait"/>
          <w:cols w:equalWidth="0" w:num="1">
            <w:col w:w="9380"/>
          </w:cols>
          <w:pgMar w:left="1260" w:top="1243" w:right="1266" w:bottom="72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68</w:t>
      </w:r>
    </w:p>
    <w:p>
      <w:pPr>
        <w:sectPr>
          <w:pgSz w:w="11900" w:h="16838" w:orient="portrait"/>
          <w:cols w:equalWidth="0" w:num="1">
            <w:col w:w="9380"/>
          </w:cols>
          <w:pgMar w:left="1260" w:top="1243" w:right="1266" w:bottom="723" w:gutter="0" w:footer="0" w:header="0"/>
          <w:type w:val="continuous"/>
        </w:sectPr>
      </w:pPr>
    </w:p>
    <w:bookmarkStart w:id="122" w:name="page123"/>
    <w:bookmarkEnd w:id="122"/>
    <w:p>
      <w:pPr>
        <w:ind w:right="120" w:firstLine="1"/>
        <w:spacing w:after="0" w:line="247"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795655</wp:posOffset>
            </wp:positionH>
            <wp:positionV relativeFrom="page">
              <wp:posOffset>292735</wp:posOffset>
            </wp:positionV>
            <wp:extent cx="929005" cy="1149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163">
                      <a:extLst>
                        <a:ext uri="{28A0092B-C50C-407E-A947-70E740481C1C}"/>
                      </a:extLst>
                    </a:blip>
                    <a:srcRect/>
                    <a:stretch>
                      <a:fillRect/>
                    </a:stretch>
                  </pic:blipFill>
                  <pic:spPr bwMode="auto">
                    <a:xfrm>
                      <a:off x="0" y="0"/>
                      <a:ext cx="929005" cy="114935"/>
                    </a:xfrm>
                    <a:prstGeom prst="rect">
                      <a:avLst/>
                    </a:prstGeom>
                    <a:noFill/>
                  </pic:spPr>
                </pic:pic>
              </a:graphicData>
            </a:graphic>
          </wp:anchor>
        </w:drawing>
        <w:t>In addition, because French law does not permit non-employee directors to receive equity compensation except for the Chairman of the Board of Directors, only Dr. Willsey received equity compensation in 2025 in the form of a stock option grant. Dr. Willsey’s stock option grant typically vests one-sixth on the six-month anniversary of the date of grant and the remainder becomes exercisable on a monthly basis through the third anniversary of the date of grant. The Company does not grant equity awards to non- employee directors on an annual basis, but when they are granted, they are typically granted following the Board of Directors approving annual accounts.</w:t>
      </w:r>
    </w:p>
    <w:p>
      <w:pPr>
        <w:spacing w:after="0" w:line="160" w:lineRule="exact"/>
        <w:rPr>
          <w:sz w:val="20"/>
          <w:szCs w:val="20"/>
          <w:color w:val="auto"/>
        </w:rPr>
      </w:pPr>
    </w:p>
    <w:p>
      <w:pPr>
        <w:ind w:right="340"/>
        <w:spacing w:after="0" w:line="250" w:lineRule="auto"/>
        <w:rPr>
          <w:sz w:val="20"/>
          <w:szCs w:val="20"/>
          <w:color w:val="auto"/>
        </w:rPr>
      </w:pPr>
      <w:r>
        <w:rPr>
          <w:rFonts w:ascii="Times New Roman" w:cs="Times New Roman" w:eastAsia="Times New Roman" w:hAnsi="Times New Roman"/>
          <w:sz w:val="20"/>
          <w:szCs w:val="20"/>
          <w:color w:val="auto"/>
        </w:rPr>
        <w:t>The following table and related footnotes show the compensation paid to our non-employee directors during fiscal year 2025. Mr. Rhodes, who served as Chief Executive Officer and as a member of the Board of Directors during 2025, is not included in this table as he was not entitled to director compensation due to his service as an executive officer. The compensation received by Mr. Rhodes for 2025 is described under the section above titled “Executive Compensation.”</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Fees Earned</w:t>
            </w: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4"/>
        </w:trPr>
        <w:tc>
          <w:tcPr>
            <w:tcW w:w="3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or Paid in</w:t>
            </w:r>
          </w:p>
        </w:tc>
        <w:tc>
          <w:tcPr>
            <w:tcW w:w="200" w:type="dxa"/>
            <w:vAlign w:val="bottom"/>
          </w:tcPr>
          <w:p>
            <w:pPr>
              <w:spacing w:after="0"/>
              <w:rPr>
                <w:sz w:val="16"/>
                <w:szCs w:val="16"/>
                <w:color w:val="auto"/>
              </w:rPr>
            </w:pPr>
          </w:p>
        </w:tc>
        <w:tc>
          <w:tcPr>
            <w:tcW w:w="96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880" w:type="dxa"/>
            <w:vAlign w:val="bottom"/>
          </w:tcPr>
          <w:p>
            <w:pPr>
              <w:jc w:val="right"/>
              <w:ind w:right="107"/>
              <w:spacing w:after="0"/>
              <w:rPr>
                <w:sz w:val="20"/>
                <w:szCs w:val="20"/>
                <w:color w:val="auto"/>
              </w:rPr>
            </w:pPr>
            <w:r>
              <w:rPr>
                <w:rFonts w:ascii="Times New Roman" w:cs="Times New Roman" w:eastAsia="Times New Roman" w:hAnsi="Times New Roman"/>
                <w:sz w:val="16"/>
                <w:szCs w:val="16"/>
                <w:b w:val="1"/>
                <w:bCs w:val="1"/>
                <w:color w:val="auto"/>
              </w:rPr>
              <w:t>Option</w:t>
            </w:r>
          </w:p>
        </w:tc>
        <w:tc>
          <w:tcPr>
            <w:tcW w:w="200" w:type="dxa"/>
            <w:vAlign w:val="bottom"/>
          </w:tcPr>
          <w:p>
            <w:pPr>
              <w:spacing w:after="0"/>
              <w:rPr>
                <w:sz w:val="16"/>
                <w:szCs w:val="16"/>
                <w:color w:val="auto"/>
              </w:rPr>
            </w:pPr>
          </w:p>
        </w:tc>
        <w:tc>
          <w:tcPr>
            <w:tcW w:w="142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All Other</w:t>
            </w:r>
          </w:p>
        </w:tc>
        <w:tc>
          <w:tcPr>
            <w:tcW w:w="760" w:type="dxa"/>
            <w:vAlign w:val="bottom"/>
          </w:tcPr>
          <w:p>
            <w:pPr>
              <w:spacing w:after="0"/>
              <w:rPr>
                <w:sz w:val="16"/>
                <w:szCs w:val="16"/>
                <w:color w:val="auto"/>
              </w:rPr>
            </w:pPr>
          </w:p>
        </w:tc>
      </w:tr>
      <w:tr>
        <w:trPr>
          <w:trHeight w:val="203"/>
        </w:trPr>
        <w:tc>
          <w:tcPr>
            <w:tcW w:w="39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200" w:type="dxa"/>
            <w:vAlign w:val="bottom"/>
          </w:tcPr>
          <w:p>
            <w:pPr>
              <w:spacing w:after="0"/>
              <w:rPr>
                <w:sz w:val="17"/>
                <w:szCs w:val="17"/>
                <w:color w:val="auto"/>
              </w:rPr>
            </w:pPr>
          </w:p>
        </w:tc>
        <w:tc>
          <w:tcPr>
            <w:tcW w:w="840" w:type="dxa"/>
            <w:vAlign w:val="bottom"/>
          </w:tcPr>
          <w:p>
            <w:pPr>
              <w:jc w:val="center"/>
              <w:spacing w:after="0" w:line="203" w:lineRule="exact"/>
              <w:rPr>
                <w:sz w:val="20"/>
                <w:szCs w:val="20"/>
                <w:color w:val="auto"/>
              </w:rPr>
            </w:pPr>
            <w:r>
              <w:rPr>
                <w:rFonts w:ascii="Times New Roman" w:cs="Times New Roman" w:eastAsia="Times New Roman" w:hAnsi="Times New Roman"/>
                <w:sz w:val="16"/>
                <w:szCs w:val="16"/>
                <w:b w:val="1"/>
                <w:bCs w:val="1"/>
                <w:color w:val="auto"/>
                <w:w w:val="95"/>
              </w:rPr>
              <w:t>Cash ($)</w:t>
            </w:r>
            <w:r>
              <w:rPr>
                <w:rFonts w:ascii="Times New Roman" w:cs="Times New Roman" w:eastAsia="Times New Roman" w:hAnsi="Times New Roman"/>
                <w:sz w:val="20"/>
                <w:szCs w:val="20"/>
                <w:b w:val="1"/>
                <w:bCs w:val="1"/>
                <w:color w:val="auto"/>
                <w:w w:val="95"/>
                <w:vertAlign w:val="superscript"/>
              </w:rPr>
              <w:t>(1)</w:t>
            </w:r>
          </w:p>
        </w:tc>
        <w:tc>
          <w:tcPr>
            <w:tcW w:w="200" w:type="dxa"/>
            <w:vAlign w:val="bottom"/>
          </w:tcPr>
          <w:p>
            <w:pPr>
              <w:spacing w:after="0"/>
              <w:rPr>
                <w:sz w:val="17"/>
                <w:szCs w:val="17"/>
                <w:color w:val="auto"/>
              </w:rPr>
            </w:pPr>
          </w:p>
        </w:tc>
        <w:tc>
          <w:tcPr>
            <w:tcW w:w="9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 xml:space="preserve">Awards </w:t>
            </w:r>
            <w:r>
              <w:rPr>
                <w:rFonts w:ascii="Times New Roman" w:cs="Times New Roman" w:eastAsia="Times New Roman" w:hAnsi="Times New Roman"/>
                <w:sz w:val="16"/>
                <w:szCs w:val="16"/>
                <w:b w:val="1"/>
                <w:bCs w:val="1"/>
                <w:u w:val="single" w:color="auto"/>
                <w:color w:val="auto"/>
              </w:rPr>
              <w:t>($</w:t>
            </w:r>
            <w:r>
              <w:rPr>
                <w:rFonts w:ascii="Times New Roman" w:cs="Times New Roman" w:eastAsia="Times New Roman" w:hAnsi="Times New Roman"/>
                <w:sz w:val="16"/>
                <w:szCs w:val="16"/>
                <w:b w:val="1"/>
                <w:bCs w:val="1"/>
                <w:color w:val="auto"/>
              </w:rPr>
              <w:t>)</w:t>
            </w: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6"/>
                <w:szCs w:val="16"/>
                <w:b w:val="1"/>
                <w:bCs w:val="1"/>
                <w:color w:val="auto"/>
                <w:w w:val="93"/>
              </w:rPr>
              <w:t xml:space="preserve">Awards </w:t>
            </w:r>
            <w:r>
              <w:rPr>
                <w:rFonts w:ascii="Times New Roman" w:cs="Times New Roman" w:eastAsia="Times New Roman" w:hAnsi="Times New Roman"/>
                <w:sz w:val="16"/>
                <w:szCs w:val="16"/>
                <w:b w:val="1"/>
                <w:bCs w:val="1"/>
                <w:u w:val="single" w:color="auto"/>
                <w:color w:val="auto"/>
                <w:w w:val="93"/>
              </w:rPr>
              <w:t>($</w:t>
            </w:r>
            <w:r>
              <w:rPr>
                <w:rFonts w:ascii="Times New Roman" w:cs="Times New Roman" w:eastAsia="Times New Roman" w:hAnsi="Times New Roman"/>
                <w:sz w:val="16"/>
                <w:szCs w:val="16"/>
                <w:b w:val="1"/>
                <w:bCs w:val="1"/>
                <w:color w:val="auto"/>
                <w:w w:val="93"/>
              </w:rPr>
              <w:t>)</w:t>
            </w:r>
            <w:r>
              <w:rPr>
                <w:rFonts w:ascii="Times New Roman" w:cs="Times New Roman" w:eastAsia="Times New Roman" w:hAnsi="Times New Roman"/>
                <w:sz w:val="20"/>
                <w:szCs w:val="20"/>
                <w:b w:val="1"/>
                <w:bCs w:val="1"/>
                <w:color w:val="auto"/>
                <w:w w:val="93"/>
                <w:vertAlign w:val="superscript"/>
              </w:rPr>
              <w:t>(2)</w:t>
            </w:r>
          </w:p>
        </w:tc>
        <w:tc>
          <w:tcPr>
            <w:tcW w:w="200" w:type="dxa"/>
            <w:vAlign w:val="bottom"/>
          </w:tcPr>
          <w:p>
            <w:pPr>
              <w:spacing w:after="0"/>
              <w:rPr>
                <w:sz w:val="17"/>
                <w:szCs w:val="17"/>
                <w:color w:val="auto"/>
              </w:rPr>
            </w:pPr>
          </w:p>
        </w:tc>
        <w:tc>
          <w:tcPr>
            <w:tcW w:w="14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 xml:space="preserve">Compensation </w:t>
            </w:r>
            <w:r>
              <w:rPr>
                <w:rFonts w:ascii="Times New Roman" w:cs="Times New Roman" w:eastAsia="Times New Roman" w:hAnsi="Times New Roman"/>
                <w:sz w:val="16"/>
                <w:szCs w:val="16"/>
                <w:b w:val="1"/>
                <w:bCs w:val="1"/>
                <w:u w:val="single" w:color="auto"/>
                <w:color w:val="auto"/>
              </w:rPr>
              <w:t>($</w:t>
            </w:r>
            <w:r>
              <w:rPr>
                <w:rFonts w:ascii="Times New Roman" w:cs="Times New Roman" w:eastAsia="Times New Roman" w:hAnsi="Times New Roman"/>
                <w:sz w:val="16"/>
                <w:szCs w:val="16"/>
                <w:b w:val="1"/>
                <w:bCs w:val="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Total ($)</w:t>
            </w:r>
          </w:p>
        </w:tc>
      </w:tr>
      <w:tr>
        <w:trPr>
          <w:trHeight w:val="220"/>
        </w:trPr>
        <w:tc>
          <w:tcPr>
            <w:tcW w:w="3920" w:type="dxa"/>
            <w:vAlign w:val="bottom"/>
            <w:tcBorders>
              <w:top w:val="single" w:sz="8" w:color="auto"/>
            </w:tcBorders>
          </w:tcPr>
          <w:p>
            <w:pPr>
              <w:spacing w:after="0" w:line="220" w:lineRule="exact"/>
              <w:rPr>
                <w:sz w:val="20"/>
                <w:szCs w:val="20"/>
                <w:color w:val="auto"/>
              </w:rPr>
            </w:pPr>
            <w:r>
              <w:rPr>
                <w:rFonts w:ascii="Times New Roman" w:cs="Times New Roman" w:eastAsia="Times New Roman" w:hAnsi="Times New Roman"/>
                <w:sz w:val="20"/>
                <w:szCs w:val="20"/>
                <w:color w:val="auto"/>
              </w:rPr>
              <w:t>Dr. Lance Willsey</w:t>
            </w:r>
          </w:p>
        </w:tc>
        <w:tc>
          <w:tcPr>
            <w:tcW w:w="20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72,050</w:t>
            </w:r>
          </w:p>
        </w:tc>
        <w:tc>
          <w:tcPr>
            <w:tcW w:w="200" w:type="dxa"/>
            <w:vAlign w:val="bottom"/>
          </w:tcPr>
          <w:p>
            <w:pPr>
              <w:spacing w:after="0"/>
              <w:rPr>
                <w:sz w:val="19"/>
                <w:szCs w:val="19"/>
                <w:color w:val="auto"/>
              </w:rPr>
            </w:pPr>
          </w:p>
        </w:tc>
        <w:tc>
          <w:tcPr>
            <w:tcW w:w="760" w:type="dxa"/>
            <w:vAlign w:val="bottom"/>
            <w:tcBorders>
              <w:top w:val="single" w:sz="8" w:color="auto"/>
              <w:bottom w:val="single" w:sz="8" w:color="auto"/>
            </w:tcBorders>
          </w:tcPr>
          <w:p>
            <w:pPr>
              <w:ind w:left="500"/>
              <w:spacing w:after="0" w:line="220" w:lineRule="exact"/>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218,400</w:t>
            </w:r>
          </w:p>
        </w:tc>
        <w:tc>
          <w:tcPr>
            <w:tcW w:w="200" w:type="dxa"/>
            <w:vAlign w:val="bottom"/>
          </w:tcPr>
          <w:p>
            <w:pPr>
              <w:spacing w:after="0"/>
              <w:rPr>
                <w:sz w:val="19"/>
                <w:szCs w:val="19"/>
                <w:color w:val="auto"/>
              </w:rPr>
            </w:pPr>
          </w:p>
        </w:tc>
        <w:tc>
          <w:tcPr>
            <w:tcW w:w="1220" w:type="dxa"/>
            <w:vAlign w:val="bottom"/>
            <w:tcBorders>
              <w:top w:val="single" w:sz="8" w:color="auto"/>
              <w:bottom w:val="single" w:sz="8" w:color="auto"/>
            </w:tcBorders>
          </w:tcPr>
          <w:p>
            <w:pPr>
              <w:ind w:left="960"/>
              <w:spacing w:after="0" w:line="220" w:lineRule="exact"/>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290,450</w:t>
            </w:r>
          </w:p>
        </w:tc>
      </w:tr>
      <w:tr>
        <w:trPr>
          <w:trHeight w:val="220"/>
        </w:trPr>
        <w:tc>
          <w:tcPr>
            <w:tcW w:w="392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Fran Schulz</w:t>
            </w:r>
          </w:p>
        </w:tc>
        <w:tc>
          <w:tcPr>
            <w:tcW w:w="200" w:type="dxa"/>
            <w:vAlign w:val="bottom"/>
          </w:tcPr>
          <w:p>
            <w:pPr>
              <w:spacing w:after="0"/>
              <w:rPr>
                <w:sz w:val="19"/>
                <w:szCs w:val="19"/>
                <w:color w:val="auto"/>
              </w:rPr>
            </w:pPr>
          </w:p>
        </w:tc>
        <w:tc>
          <w:tcPr>
            <w:tcW w:w="84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61,133</w:t>
            </w:r>
          </w:p>
        </w:tc>
        <w:tc>
          <w:tcPr>
            <w:tcW w:w="200" w:type="dxa"/>
            <w:vAlign w:val="bottom"/>
          </w:tcPr>
          <w:p>
            <w:pPr>
              <w:spacing w:after="0"/>
              <w:rPr>
                <w:sz w:val="19"/>
                <w:szCs w:val="19"/>
                <w:color w:val="auto"/>
              </w:rPr>
            </w:pPr>
          </w:p>
        </w:tc>
        <w:tc>
          <w:tcPr>
            <w:tcW w:w="760" w:type="dxa"/>
            <w:vAlign w:val="bottom"/>
            <w:tcBorders>
              <w:bottom w:val="single" w:sz="8" w:color="auto"/>
            </w:tcBorders>
          </w:tcPr>
          <w:p>
            <w:pPr>
              <w:ind w:left="500"/>
              <w:spacing w:after="0" w:line="220" w:lineRule="exact"/>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19"/>
                <w:szCs w:val="19"/>
                <w:color w:val="auto"/>
              </w:rPr>
            </w:pPr>
          </w:p>
        </w:tc>
        <w:tc>
          <w:tcPr>
            <w:tcW w:w="88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19"/>
                <w:szCs w:val="19"/>
                <w:color w:val="auto"/>
              </w:rPr>
            </w:pPr>
          </w:p>
        </w:tc>
        <w:tc>
          <w:tcPr>
            <w:tcW w:w="1220" w:type="dxa"/>
            <w:vAlign w:val="bottom"/>
            <w:tcBorders>
              <w:bottom w:val="single" w:sz="8" w:color="auto"/>
            </w:tcBorders>
          </w:tcPr>
          <w:p>
            <w:pPr>
              <w:ind w:left="960"/>
              <w:spacing w:after="0" w:line="220" w:lineRule="exact"/>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19"/>
                <w:szCs w:val="19"/>
                <w:color w:val="auto"/>
              </w:rPr>
            </w:pPr>
          </w:p>
        </w:tc>
        <w:tc>
          <w:tcPr>
            <w:tcW w:w="76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61,133</w:t>
            </w:r>
          </w:p>
        </w:tc>
      </w:tr>
      <w:tr>
        <w:trPr>
          <w:trHeight w:val="220"/>
        </w:trPr>
        <w:tc>
          <w:tcPr>
            <w:tcW w:w="392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Joshua H. Levine</w:t>
            </w:r>
          </w:p>
        </w:tc>
        <w:tc>
          <w:tcPr>
            <w:tcW w:w="200" w:type="dxa"/>
            <w:vAlign w:val="bottom"/>
          </w:tcPr>
          <w:p>
            <w:pPr>
              <w:spacing w:after="0"/>
              <w:rPr>
                <w:sz w:val="19"/>
                <w:szCs w:val="19"/>
                <w:color w:val="auto"/>
              </w:rPr>
            </w:pPr>
          </w:p>
        </w:tc>
        <w:tc>
          <w:tcPr>
            <w:tcW w:w="84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40,406</w:t>
            </w:r>
          </w:p>
        </w:tc>
        <w:tc>
          <w:tcPr>
            <w:tcW w:w="200" w:type="dxa"/>
            <w:vAlign w:val="bottom"/>
          </w:tcPr>
          <w:p>
            <w:pPr>
              <w:spacing w:after="0"/>
              <w:rPr>
                <w:sz w:val="19"/>
                <w:szCs w:val="19"/>
                <w:color w:val="auto"/>
              </w:rPr>
            </w:pPr>
          </w:p>
        </w:tc>
        <w:tc>
          <w:tcPr>
            <w:tcW w:w="760" w:type="dxa"/>
            <w:vAlign w:val="bottom"/>
            <w:tcBorders>
              <w:bottom w:val="single" w:sz="8" w:color="auto"/>
            </w:tcBorders>
          </w:tcPr>
          <w:p>
            <w:pPr>
              <w:ind w:left="500"/>
              <w:spacing w:after="0" w:line="220" w:lineRule="exact"/>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19"/>
                <w:szCs w:val="19"/>
                <w:color w:val="auto"/>
              </w:rPr>
            </w:pPr>
          </w:p>
        </w:tc>
        <w:tc>
          <w:tcPr>
            <w:tcW w:w="88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19"/>
                <w:szCs w:val="19"/>
                <w:color w:val="auto"/>
              </w:rPr>
            </w:pPr>
          </w:p>
        </w:tc>
        <w:tc>
          <w:tcPr>
            <w:tcW w:w="1220" w:type="dxa"/>
            <w:vAlign w:val="bottom"/>
            <w:tcBorders>
              <w:bottom w:val="single" w:sz="8" w:color="auto"/>
            </w:tcBorders>
          </w:tcPr>
          <w:p>
            <w:pPr>
              <w:ind w:left="960"/>
              <w:spacing w:after="0" w:line="220" w:lineRule="exact"/>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19"/>
                <w:szCs w:val="19"/>
                <w:color w:val="auto"/>
              </w:rPr>
            </w:pPr>
          </w:p>
        </w:tc>
        <w:tc>
          <w:tcPr>
            <w:tcW w:w="76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40,406</w:t>
            </w:r>
          </w:p>
        </w:tc>
      </w:tr>
      <w:tr>
        <w:trPr>
          <w:trHeight w:val="255"/>
        </w:trPr>
        <w:tc>
          <w:tcPr>
            <w:tcW w:w="3920" w:type="dxa"/>
            <w:vAlign w:val="bottom"/>
          </w:tcPr>
          <w:p>
            <w:pPr>
              <w:spacing w:after="0"/>
              <w:rPr>
                <w:sz w:val="20"/>
                <w:szCs w:val="20"/>
                <w:color w:val="auto"/>
              </w:rPr>
            </w:pPr>
            <w:r>
              <w:rPr>
                <w:rFonts w:ascii="Times New Roman" w:cs="Times New Roman" w:eastAsia="Times New Roman" w:hAnsi="Times New Roman"/>
                <w:sz w:val="20"/>
                <w:szCs w:val="20"/>
                <w:color w:val="auto"/>
              </w:rPr>
              <w:t>Glen E. French</w:t>
            </w:r>
          </w:p>
        </w:tc>
        <w:tc>
          <w:tcPr>
            <w:tcW w:w="2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31,042</w:t>
            </w:r>
          </w:p>
        </w:tc>
        <w:tc>
          <w:tcPr>
            <w:tcW w:w="200" w:type="dxa"/>
            <w:vAlign w:val="bottom"/>
          </w:tcPr>
          <w:p>
            <w:pPr>
              <w:spacing w:after="0"/>
              <w:rPr>
                <w:sz w:val="22"/>
                <w:szCs w:val="22"/>
                <w:color w:val="auto"/>
              </w:rPr>
            </w:pPr>
          </w:p>
        </w:tc>
        <w:tc>
          <w:tcPr>
            <w:tcW w:w="760" w:type="dxa"/>
            <w:vAlign w:val="bottom"/>
          </w:tcPr>
          <w:p>
            <w:pPr>
              <w:ind w:left="50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2"/>
                <w:szCs w:val="22"/>
                <w:color w:val="auto"/>
              </w:rPr>
            </w:pPr>
          </w:p>
        </w:tc>
        <w:tc>
          <w:tcPr>
            <w:tcW w:w="1220" w:type="dxa"/>
            <w:vAlign w:val="bottom"/>
          </w:tcPr>
          <w:p>
            <w:pPr>
              <w:ind w:left="96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31,042</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85725</wp:posOffset>
                </wp:positionV>
                <wp:extent cx="1488440" cy="0"/>
                <wp:wrapNone/>
                <wp:docPr id="265" name="Shape 2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88440" cy="4763"/>
                        </a:xfrm>
                        <a:prstGeom prst="line">
                          <a:avLst/>
                        </a:prstGeom>
                        <a:solidFill>
                          <a:srgbClr val="FFFFFF"/>
                        </a:solidFill>
                        <a:ln w="12052">
                          <a:solidFill>
                            <a:srgbClr val="000000"/>
                          </a:solidFill>
                          <a:miter lim="800000"/>
                          <a:headEnd/>
                          <a:tailEnd/>
                        </a:ln>
                      </wps:spPr>
                      <wps:bodyPr/>
                    </wps:wsp>
                  </a:graphicData>
                </a:graphic>
              </wp:anchor>
            </w:drawing>
          </mc:Choice>
          <mc:Fallback>
            <w:pict>
              <v:line id="Shape 265" o:spid="_x0000_s12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6.75pt" to="117.5pt,6.75pt" o:allowincell="f" strokecolor="#000000" strokeweight="0.949pt"/>
            </w:pict>
          </mc:Fallback>
        </mc:AlternateContent>
      </w:r>
    </w:p>
    <w:p>
      <w:pPr>
        <w:spacing w:after="0" w:line="157" w:lineRule="exact"/>
        <w:rPr>
          <w:sz w:val="20"/>
          <w:szCs w:val="20"/>
          <w:color w:val="auto"/>
        </w:rPr>
      </w:pPr>
    </w:p>
    <w:p>
      <w:pPr>
        <w:ind w:left="360" w:right="40" w:hanging="353"/>
        <w:spacing w:after="0"/>
        <w:tabs>
          <w:tab w:leader="none" w:pos="360"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of the directors received his or her cash fees in the form of USD. The amounts for each director are shown in USD using a foreign currency exchange rate of EUR 1 to USD 1.10, EUR 1 to USD 1.17, EUR 1 to USD 1.17 and EUR 1 to USD.1.16 for the first, second, third and fourth quarterly installments, respectively. Mr. French only received fees for the portion of 2025 during which he served as a director.</w:t>
      </w:r>
    </w:p>
    <w:p>
      <w:pPr>
        <w:spacing w:after="0" w:line="184" w:lineRule="exact"/>
        <w:rPr>
          <w:rFonts w:ascii="Times New Roman" w:cs="Times New Roman" w:eastAsia="Times New Roman" w:hAnsi="Times New Roman"/>
          <w:sz w:val="16"/>
          <w:szCs w:val="16"/>
          <w:color w:val="auto"/>
        </w:rPr>
      </w:pPr>
    </w:p>
    <w:p>
      <w:pPr>
        <w:ind w:left="360" w:right="20" w:hanging="353"/>
        <w:spacing w:after="0" w:line="253" w:lineRule="auto"/>
        <w:tabs>
          <w:tab w:leader="none" w:pos="360"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aggregate grant date fair value of option awards granted, computed in accordance ASC 718. The value of stock options reported is based on the Black-Scholes option pricing model</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See Note 18 to the consolidated financial statements included in this Annual Report on Form 10-K regarding assumptions underlying the valuation of option awards. As of December 31, 2025, Dr. Willsey was the only non-employee director who held outstanding equity awards (280,000 stock options).</w:t>
      </w:r>
    </w:p>
    <w:p>
      <w:pPr>
        <w:spacing w:after="0" w:line="185"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20"/>
          <w:szCs w:val="20"/>
          <w:b w:val="1"/>
          <w:bCs w:val="1"/>
          <w:color w:val="auto"/>
        </w:rPr>
        <w:t>Item 12. Security Ownership of Certain Beneficial Owners and Management and Related Stockholder Matters.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Equity Compensation Plan Information</w:t>
      </w:r>
    </w:p>
    <w:p>
      <w:pPr>
        <w:spacing w:after="0" w:line="200" w:lineRule="exact"/>
        <w:rPr>
          <w:sz w:val="20"/>
          <w:szCs w:val="20"/>
          <w:color w:val="auto"/>
        </w:rPr>
      </w:pPr>
    </w:p>
    <w:p>
      <w:pPr>
        <w:spacing w:after="0" w:line="233" w:lineRule="exact"/>
        <w:rPr>
          <w:sz w:val="20"/>
          <w:szCs w:val="20"/>
          <w:color w:val="auto"/>
        </w:rPr>
      </w:pPr>
    </w:p>
    <w:p>
      <w:pPr>
        <w:ind w:right="600"/>
        <w:spacing w:after="0" w:line="279" w:lineRule="auto"/>
        <w:rPr>
          <w:sz w:val="20"/>
          <w:szCs w:val="20"/>
          <w:color w:val="auto"/>
        </w:rPr>
      </w:pPr>
      <w:r>
        <w:rPr>
          <w:rFonts w:ascii="Times New Roman" w:cs="Times New Roman" w:eastAsia="Times New Roman" w:hAnsi="Times New Roman"/>
          <w:sz w:val="20"/>
          <w:szCs w:val="20"/>
          <w:color w:val="auto"/>
        </w:rPr>
        <w:t>The following table provides certain information with respect to our equity compensation plans in effect as of December 31, 2025.</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Number of securities</w:t>
            </w:r>
          </w:p>
        </w:tc>
      </w:tr>
      <w:tr>
        <w:trPr>
          <w:trHeight w:val="184"/>
        </w:trPr>
        <w:tc>
          <w:tcPr>
            <w:tcW w:w="4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8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remaining available</w:t>
            </w:r>
          </w:p>
        </w:tc>
      </w:tr>
      <w:tr>
        <w:trPr>
          <w:trHeight w:val="185"/>
        </w:trPr>
        <w:tc>
          <w:tcPr>
            <w:tcW w:w="4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0" w:type="dxa"/>
            <w:vAlign w:val="bottom"/>
            <w:gridSpan w:val="4"/>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9"/>
              </w:rPr>
              <w:t>Weighted-average</w:t>
            </w:r>
          </w:p>
        </w:tc>
        <w:tc>
          <w:tcPr>
            <w:tcW w:w="168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9"/>
              </w:rPr>
              <w:t>for future issuance</w:t>
            </w:r>
          </w:p>
        </w:tc>
      </w:tr>
      <w:tr>
        <w:trPr>
          <w:trHeight w:val="183"/>
        </w:trPr>
        <w:tc>
          <w:tcPr>
            <w:tcW w:w="4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960" w:type="dxa"/>
            <w:vAlign w:val="bottom"/>
            <w:gridSpan w:val="3"/>
          </w:tcPr>
          <w:p>
            <w:pPr>
              <w:jc w:val="center"/>
              <w:ind w:right="160"/>
              <w:spacing w:after="0" w:line="183" w:lineRule="exact"/>
              <w:rPr>
                <w:sz w:val="20"/>
                <w:szCs w:val="20"/>
                <w:color w:val="auto"/>
              </w:rPr>
            </w:pPr>
            <w:r>
              <w:rPr>
                <w:rFonts w:ascii="Times New Roman" w:cs="Times New Roman" w:eastAsia="Times New Roman" w:hAnsi="Times New Roman"/>
                <w:sz w:val="16"/>
                <w:szCs w:val="16"/>
                <w:b w:val="1"/>
                <w:bCs w:val="1"/>
                <w:color w:val="auto"/>
              </w:rPr>
              <w:t>Number of securities to be</w:t>
            </w:r>
          </w:p>
        </w:tc>
        <w:tc>
          <w:tcPr>
            <w:tcW w:w="120" w:type="dxa"/>
            <w:vAlign w:val="bottom"/>
          </w:tcPr>
          <w:p>
            <w:pPr>
              <w:spacing w:after="0"/>
              <w:rPr>
                <w:sz w:val="15"/>
                <w:szCs w:val="15"/>
                <w:color w:val="auto"/>
              </w:rPr>
            </w:pPr>
          </w:p>
        </w:tc>
        <w:tc>
          <w:tcPr>
            <w:tcW w:w="1280" w:type="dxa"/>
            <w:vAlign w:val="bottom"/>
            <w:gridSpan w:val="3"/>
          </w:tcPr>
          <w:p>
            <w:pPr>
              <w:jc w:val="center"/>
              <w:ind w:right="280"/>
              <w:spacing w:after="0" w:line="183" w:lineRule="exact"/>
              <w:rPr>
                <w:sz w:val="20"/>
                <w:szCs w:val="20"/>
                <w:color w:val="auto"/>
              </w:rPr>
            </w:pPr>
            <w:r>
              <w:rPr>
                <w:rFonts w:ascii="Times New Roman" w:cs="Times New Roman" w:eastAsia="Times New Roman" w:hAnsi="Times New Roman"/>
                <w:sz w:val="16"/>
                <w:szCs w:val="16"/>
                <w:b w:val="1"/>
                <w:bCs w:val="1"/>
                <w:color w:val="auto"/>
                <w:w w:val="99"/>
              </w:rPr>
              <w:t>exercise price</w:t>
            </w:r>
          </w:p>
        </w:tc>
        <w:tc>
          <w:tcPr>
            <w:tcW w:w="1680" w:type="dxa"/>
            <w:vAlign w:val="bottom"/>
            <w:gridSpan w:val="2"/>
          </w:tcPr>
          <w:p>
            <w:pPr>
              <w:jc w:val="center"/>
              <w:ind w:right="160"/>
              <w:spacing w:after="0" w:line="183" w:lineRule="exact"/>
              <w:rPr>
                <w:sz w:val="20"/>
                <w:szCs w:val="20"/>
                <w:color w:val="auto"/>
              </w:rPr>
            </w:pPr>
            <w:r>
              <w:rPr>
                <w:rFonts w:ascii="Times New Roman" w:cs="Times New Roman" w:eastAsia="Times New Roman" w:hAnsi="Times New Roman"/>
                <w:sz w:val="16"/>
                <w:szCs w:val="16"/>
                <w:b w:val="1"/>
                <w:bCs w:val="1"/>
                <w:color w:val="auto"/>
              </w:rPr>
              <w:t>under equity</w:t>
            </w:r>
          </w:p>
        </w:tc>
      </w:tr>
      <w:tr>
        <w:trPr>
          <w:trHeight w:val="184"/>
        </w:trPr>
        <w:tc>
          <w:tcPr>
            <w:tcW w:w="4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96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issued upon exercise</w:t>
            </w:r>
          </w:p>
        </w:tc>
        <w:tc>
          <w:tcPr>
            <w:tcW w:w="120" w:type="dxa"/>
            <w:vAlign w:val="bottom"/>
          </w:tcPr>
          <w:p>
            <w:pPr>
              <w:spacing w:after="0"/>
              <w:rPr>
                <w:sz w:val="16"/>
                <w:szCs w:val="16"/>
                <w:color w:val="auto"/>
              </w:rPr>
            </w:pPr>
          </w:p>
        </w:tc>
        <w:tc>
          <w:tcPr>
            <w:tcW w:w="1280" w:type="dxa"/>
            <w:vAlign w:val="bottom"/>
            <w:gridSpan w:val="3"/>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of outstanding</w:t>
            </w:r>
          </w:p>
        </w:tc>
        <w:tc>
          <w:tcPr>
            <w:tcW w:w="16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compensation plans</w:t>
            </w:r>
          </w:p>
        </w:tc>
      </w:tr>
      <w:tr>
        <w:trPr>
          <w:trHeight w:val="185"/>
        </w:trPr>
        <w:tc>
          <w:tcPr>
            <w:tcW w:w="4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96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9"/>
              </w:rPr>
              <w:t>of outstanding options,</w:t>
            </w:r>
          </w:p>
        </w:tc>
        <w:tc>
          <w:tcPr>
            <w:tcW w:w="1400" w:type="dxa"/>
            <w:vAlign w:val="bottom"/>
            <w:gridSpan w:val="4"/>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9"/>
              </w:rPr>
              <w:t>options, warrants</w:t>
            </w:r>
          </w:p>
        </w:tc>
        <w:tc>
          <w:tcPr>
            <w:tcW w:w="168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(excluding securities</w:t>
            </w:r>
          </w:p>
        </w:tc>
      </w:tr>
      <w:tr>
        <w:trPr>
          <w:trHeight w:val="183"/>
        </w:trPr>
        <w:tc>
          <w:tcPr>
            <w:tcW w:w="4180" w:type="dxa"/>
            <w:vAlign w:val="bottom"/>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Plan</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960" w:type="dxa"/>
            <w:vAlign w:val="bottom"/>
            <w:gridSpan w:val="3"/>
          </w:tcPr>
          <w:p>
            <w:pPr>
              <w:jc w:val="center"/>
              <w:ind w:right="160"/>
              <w:spacing w:after="0" w:line="183" w:lineRule="exact"/>
              <w:rPr>
                <w:sz w:val="20"/>
                <w:szCs w:val="20"/>
                <w:color w:val="auto"/>
              </w:rPr>
            </w:pPr>
            <w:r>
              <w:rPr>
                <w:rFonts w:ascii="Times New Roman" w:cs="Times New Roman" w:eastAsia="Times New Roman" w:hAnsi="Times New Roman"/>
                <w:sz w:val="16"/>
                <w:szCs w:val="16"/>
                <w:b w:val="1"/>
                <w:bCs w:val="1"/>
                <w:color w:val="auto"/>
                <w:w w:val="99"/>
              </w:rPr>
              <w:t>warrants and rights</w:t>
            </w:r>
          </w:p>
        </w:tc>
        <w:tc>
          <w:tcPr>
            <w:tcW w:w="120" w:type="dxa"/>
            <w:vAlign w:val="bottom"/>
          </w:tcPr>
          <w:p>
            <w:pPr>
              <w:spacing w:after="0"/>
              <w:rPr>
                <w:sz w:val="15"/>
                <w:szCs w:val="15"/>
                <w:color w:val="auto"/>
              </w:rPr>
            </w:pPr>
          </w:p>
        </w:tc>
        <w:tc>
          <w:tcPr>
            <w:tcW w:w="1280" w:type="dxa"/>
            <w:vAlign w:val="bottom"/>
            <w:gridSpan w:val="3"/>
          </w:tcPr>
          <w:p>
            <w:pPr>
              <w:jc w:val="center"/>
              <w:ind w:right="260"/>
              <w:spacing w:after="0" w:line="183" w:lineRule="exact"/>
              <w:rPr>
                <w:sz w:val="20"/>
                <w:szCs w:val="20"/>
                <w:color w:val="auto"/>
              </w:rPr>
            </w:pPr>
            <w:r>
              <w:rPr>
                <w:rFonts w:ascii="Times New Roman" w:cs="Times New Roman" w:eastAsia="Times New Roman" w:hAnsi="Times New Roman"/>
                <w:sz w:val="16"/>
                <w:szCs w:val="16"/>
                <w:b w:val="1"/>
                <w:bCs w:val="1"/>
                <w:color w:val="auto"/>
              </w:rPr>
              <w:t>and rights</w:t>
            </w:r>
          </w:p>
        </w:tc>
        <w:tc>
          <w:tcPr>
            <w:tcW w:w="1680" w:type="dxa"/>
            <w:vAlign w:val="bottom"/>
            <w:gridSpan w:val="2"/>
          </w:tcPr>
          <w:p>
            <w:pPr>
              <w:jc w:val="center"/>
              <w:ind w:right="160"/>
              <w:spacing w:after="0" w:line="183" w:lineRule="exact"/>
              <w:rPr>
                <w:sz w:val="20"/>
                <w:szCs w:val="20"/>
                <w:color w:val="auto"/>
              </w:rPr>
            </w:pPr>
            <w:r>
              <w:rPr>
                <w:rFonts w:ascii="Times New Roman" w:cs="Times New Roman" w:eastAsia="Times New Roman" w:hAnsi="Times New Roman"/>
                <w:sz w:val="16"/>
                <w:szCs w:val="16"/>
                <w:b w:val="1"/>
                <w:bCs w:val="1"/>
                <w:color w:val="auto"/>
                <w:w w:val="99"/>
              </w:rPr>
              <w:t>reflected in column A)</w:t>
            </w:r>
          </w:p>
        </w:tc>
      </w:tr>
      <w:tr>
        <w:trPr>
          <w:trHeight w:val="202"/>
        </w:trPr>
        <w:tc>
          <w:tcPr>
            <w:tcW w:w="41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Category</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6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8"/>
              </w:rPr>
              <w:t>(A)</w:t>
            </w:r>
          </w:p>
        </w:tc>
        <w:tc>
          <w:tcPr>
            <w:tcW w:w="120" w:type="dxa"/>
            <w:vAlign w:val="bottom"/>
          </w:tcPr>
          <w:p>
            <w:pPr>
              <w:spacing w:after="0"/>
              <w:rPr>
                <w:sz w:val="17"/>
                <w:szCs w:val="17"/>
                <w:color w:val="auto"/>
              </w:rPr>
            </w:pPr>
          </w:p>
        </w:tc>
        <w:tc>
          <w:tcPr>
            <w:tcW w:w="1280" w:type="dxa"/>
            <w:vAlign w:val="bottom"/>
            <w:gridSpan w:val="3"/>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3"/>
              </w:rPr>
              <w:t>(B)</w:t>
            </w:r>
          </w:p>
        </w:tc>
        <w:tc>
          <w:tcPr>
            <w:tcW w:w="16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(C)</w:t>
            </w:r>
          </w:p>
        </w:tc>
      </w:tr>
      <w:tr>
        <w:trPr>
          <w:trHeight w:val="200"/>
        </w:trPr>
        <w:tc>
          <w:tcPr>
            <w:tcW w:w="4180" w:type="dxa"/>
            <w:vAlign w:val="bottom"/>
            <w:tcBorders>
              <w:top w:val="single" w:sz="8" w:color="auto"/>
            </w:tcBorders>
          </w:tcPr>
          <w:p>
            <w:pPr>
              <w:spacing w:after="0" w:line="200" w:lineRule="exact"/>
              <w:rPr>
                <w:sz w:val="20"/>
                <w:szCs w:val="20"/>
                <w:color w:val="auto"/>
              </w:rPr>
            </w:pPr>
            <w:r>
              <w:rPr>
                <w:rFonts w:ascii="Times New Roman" w:cs="Times New Roman" w:eastAsia="Times New Roman" w:hAnsi="Times New Roman"/>
                <w:sz w:val="20"/>
                <w:szCs w:val="20"/>
                <w:color w:val="auto"/>
              </w:rPr>
              <w:t>Equity compensation plans approved by security</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r>
      <w:tr>
        <w:trPr>
          <w:trHeight w:val="250"/>
        </w:trPr>
        <w:tc>
          <w:tcPr>
            <w:tcW w:w="4180" w:type="dxa"/>
            <w:vAlign w:val="bottom"/>
          </w:tcPr>
          <w:p>
            <w:pPr>
              <w:spacing w:after="0" w:line="251" w:lineRule="exact"/>
              <w:rPr>
                <w:sz w:val="20"/>
                <w:szCs w:val="20"/>
                <w:color w:val="auto"/>
              </w:rPr>
            </w:pPr>
            <w:r>
              <w:rPr>
                <w:rFonts w:ascii="Times New Roman" w:cs="Times New Roman" w:eastAsia="Times New Roman" w:hAnsi="Times New Roman"/>
                <w:sz w:val="20"/>
                <w:szCs w:val="20"/>
                <w:color w:val="auto"/>
              </w:rPr>
              <w:t xml:space="preserve">holders </w:t>
            </w:r>
            <w:r>
              <w:rPr>
                <w:rFonts w:ascii="Times New Roman" w:cs="Times New Roman" w:eastAsia="Times New Roman" w:hAnsi="Times New Roman"/>
                <w:sz w:val="25"/>
                <w:szCs w:val="25"/>
                <w:color w:val="auto"/>
                <w:vertAlign w:val="superscript"/>
              </w:rPr>
              <w:t>(1)</w:t>
            </w:r>
          </w:p>
        </w:tc>
        <w:tc>
          <w:tcPr>
            <w:tcW w:w="2120" w:type="dxa"/>
            <w:vAlign w:val="bottom"/>
            <w:gridSpan w:val="5"/>
          </w:tcPr>
          <w:p>
            <w:pPr>
              <w:jc w:val="right"/>
              <w:ind w:right="20"/>
              <w:spacing w:after="0" w:line="251" w:lineRule="exact"/>
              <w:rPr>
                <w:sz w:val="20"/>
                <w:szCs w:val="20"/>
                <w:color w:val="auto"/>
              </w:rPr>
            </w:pPr>
            <w:r>
              <w:rPr>
                <w:rFonts w:ascii="Times New Roman" w:cs="Times New Roman" w:eastAsia="Times New Roman" w:hAnsi="Times New Roman"/>
                <w:sz w:val="20"/>
                <w:szCs w:val="20"/>
                <w:color w:val="auto"/>
              </w:rPr>
              <w:t xml:space="preserve">5,490,214 </w:t>
            </w:r>
            <w:r>
              <w:rPr>
                <w:rFonts w:ascii="Times New Roman" w:cs="Times New Roman" w:eastAsia="Times New Roman" w:hAnsi="Times New Roman"/>
                <w:sz w:val="25"/>
                <w:szCs w:val="25"/>
                <w:color w:val="auto"/>
                <w:vertAlign w:val="superscript"/>
              </w:rPr>
              <w:t>(2)</w:t>
            </w: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80" w:type="dxa"/>
            <w:vAlign w:val="bottom"/>
            <w:gridSpan w:val="3"/>
          </w:tcPr>
          <w:p>
            <w:pPr>
              <w:jc w:val="right"/>
              <w:spacing w:after="0" w:line="251" w:lineRule="exact"/>
              <w:rPr>
                <w:sz w:val="20"/>
                <w:szCs w:val="20"/>
                <w:color w:val="auto"/>
              </w:rPr>
            </w:pPr>
            <w:r>
              <w:rPr>
                <w:rFonts w:ascii="Times New Roman" w:cs="Times New Roman" w:eastAsia="Times New Roman" w:hAnsi="Times New Roman"/>
                <w:sz w:val="20"/>
                <w:szCs w:val="20"/>
                <w:color w:val="auto"/>
              </w:rPr>
              <w:t xml:space="preserve">5.01 </w:t>
            </w:r>
            <w:r>
              <w:rPr>
                <w:rFonts w:ascii="Times New Roman" w:cs="Times New Roman" w:eastAsia="Times New Roman" w:hAnsi="Times New Roman"/>
                <w:sz w:val="25"/>
                <w:szCs w:val="25"/>
                <w:color w:val="auto"/>
                <w:vertAlign w:val="superscript"/>
              </w:rPr>
              <w:t>(3)</w:t>
            </w:r>
          </w:p>
        </w:tc>
        <w:tc>
          <w:tcPr>
            <w:tcW w:w="1680" w:type="dxa"/>
            <w:vAlign w:val="bottom"/>
            <w:gridSpan w:val="2"/>
          </w:tcPr>
          <w:p>
            <w:pPr>
              <w:jc w:val="right"/>
              <w:spacing w:after="0" w:line="251" w:lineRule="exact"/>
              <w:rPr>
                <w:sz w:val="20"/>
                <w:szCs w:val="20"/>
                <w:color w:val="auto"/>
              </w:rPr>
            </w:pPr>
            <w:r>
              <w:rPr>
                <w:rFonts w:ascii="Times New Roman" w:cs="Times New Roman" w:eastAsia="Times New Roman" w:hAnsi="Times New Roman"/>
                <w:sz w:val="20"/>
                <w:szCs w:val="20"/>
                <w:color w:val="auto"/>
              </w:rPr>
              <w:t xml:space="preserve">2,279,000 </w:t>
            </w:r>
            <w:r>
              <w:rPr>
                <w:rFonts w:ascii="Times New Roman" w:cs="Times New Roman" w:eastAsia="Times New Roman" w:hAnsi="Times New Roman"/>
                <w:sz w:val="25"/>
                <w:szCs w:val="25"/>
                <w:color w:val="auto"/>
                <w:vertAlign w:val="superscript"/>
              </w:rPr>
              <w:t>(4)</w:t>
            </w:r>
          </w:p>
        </w:tc>
      </w:tr>
      <w:tr>
        <w:trPr>
          <w:trHeight w:val="200"/>
        </w:trPr>
        <w:tc>
          <w:tcPr>
            <w:tcW w:w="418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Equity compensation plans not approved by</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r>
      <w:tr>
        <w:trPr>
          <w:trHeight w:val="250"/>
        </w:trPr>
        <w:tc>
          <w:tcPr>
            <w:tcW w:w="4180" w:type="dxa"/>
            <w:vAlign w:val="bottom"/>
          </w:tcPr>
          <w:p>
            <w:pPr>
              <w:spacing w:after="0"/>
              <w:rPr>
                <w:sz w:val="20"/>
                <w:szCs w:val="20"/>
                <w:color w:val="auto"/>
              </w:rPr>
            </w:pPr>
            <w:r>
              <w:rPr>
                <w:rFonts w:ascii="Times New Roman" w:cs="Times New Roman" w:eastAsia="Times New Roman" w:hAnsi="Times New Roman"/>
                <w:sz w:val="20"/>
                <w:szCs w:val="20"/>
                <w:color w:val="auto"/>
              </w:rPr>
              <w:t>security holders</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960" w:type="dxa"/>
            <w:vAlign w:val="bottom"/>
            <w:gridSpan w:val="3"/>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1"/>
                <w:szCs w:val="21"/>
                <w:color w:val="auto"/>
              </w:rPr>
            </w:pPr>
          </w:p>
        </w:tc>
        <w:tc>
          <w:tcPr>
            <w:tcW w:w="1280" w:type="dxa"/>
            <w:vAlign w:val="bottom"/>
            <w:gridSpan w:val="3"/>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r>
      <w:tr>
        <w:trPr>
          <w:trHeight w:val="220"/>
        </w:trPr>
        <w:tc>
          <w:tcPr>
            <w:tcW w:w="418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Total</w:t>
            </w: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5,490,214</w:t>
            </w: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5.01</w:t>
            </w: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52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2,279,000</w:t>
            </w:r>
          </w:p>
        </w:tc>
        <w:tc>
          <w:tcPr>
            <w:tcW w:w="1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107950</wp:posOffset>
                </wp:positionV>
                <wp:extent cx="1488440" cy="0"/>
                <wp:wrapNone/>
                <wp:docPr id="266" name="Shape 2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8844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66" o:spid="_x0000_s12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8.5pt" to="117.5pt,8.5pt" o:allowincell="f" strokecolor="#000000" strokeweight="1pt"/>
            </w:pict>
          </mc:Fallback>
        </mc:AlternateContent>
      </w:r>
    </w:p>
    <w:p>
      <w:pPr>
        <w:spacing w:after="0" w:line="194" w:lineRule="exact"/>
        <w:rPr>
          <w:sz w:val="20"/>
          <w:szCs w:val="20"/>
          <w:color w:val="auto"/>
        </w:rPr>
      </w:pPr>
    </w:p>
    <w:p>
      <w:pPr>
        <w:ind w:left="360" w:hanging="353"/>
        <w:spacing w:after="0" w:line="239" w:lineRule="auto"/>
        <w:tabs>
          <w:tab w:leader="none" w:pos="360"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(i) the 2025 Share Subscription Option Plan and the 2025-2 Restricted Stock Unit (Free Share) Plan, each of which was approved by our shareholders on June 27, 2025, (ii) the 2025 Restricted Stock Unit (Free Share) Plan, which was approved by our shareholders on June 28, 2024, (iii) the 2024 Share Subscription Option Plan, which was approved by our shareholders on June 28, 2024, (iv) the 2021 Share Subscription Option Plan, which was approved by our shareholders on June 30, 2021, (v) the 2019 Share Subscription Option Plan, which was approved by our shareholders on June 28, 2019, and (vi) the 2016 Share Subscription Option Plan which was approved by our shareholders on February 18, 2016.</w:t>
      </w:r>
    </w:p>
    <w:p>
      <w:pPr>
        <w:spacing w:after="0" w:line="4" w:lineRule="exact"/>
        <w:rPr>
          <w:rFonts w:ascii="Times New Roman" w:cs="Times New Roman" w:eastAsia="Times New Roman" w:hAnsi="Times New Roman"/>
          <w:sz w:val="16"/>
          <w:szCs w:val="16"/>
          <w:color w:val="auto"/>
        </w:rPr>
      </w:pPr>
    </w:p>
    <w:p>
      <w:pPr>
        <w:ind w:left="360" w:right="80" w:hanging="312"/>
        <w:spacing w:after="0" w:line="247" w:lineRule="auto"/>
        <w:tabs>
          <w:tab w:leader="none" w:pos="360" w:val="left"/>
        </w:tabs>
        <w:numPr>
          <w:ilvl w:val="1"/>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number reflects (i) 281,080 shares of common stock issuable upon the exercise of outstanding stock options granted under the 2016 Share Subscription Option Plan, (ii) 810,000 shares of common stock issuable upon the exercise of outstanding stock options granted under the 2019 Share Subscription Option Plan, (iii) 1,516,300 shares of common stock issuable upon the exercise of outstanding stock options granted under the 2021 Share Subscription Option Plan, (iv) 1,973,000 shares of common stock issuable upon the exercise of outstanding stock options granted under the 2024 Share Subscription Option Plan (v) 309,000 shares of common stock issuable upon the exercise of outstanding stock options granted under the 2025 Share Subscription Option Plan and (vi) 600,834 shares of common stock issuable upon</w:t>
      </w:r>
    </w:p>
    <w:p>
      <w:pPr>
        <w:sectPr>
          <w:pgSz w:w="11900" w:h="16838" w:orient="portrait"/>
          <w:cols w:equalWidth="0" w:num="1">
            <w:col w:w="9380"/>
          </w:cols>
          <w:pgMar w:left="1260" w:top="1247" w:right="1266" w:bottom="723" w:gutter="0" w:footer="0" w:header="0"/>
        </w:sect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69</w:t>
      </w:r>
    </w:p>
    <w:p>
      <w:pPr>
        <w:sectPr>
          <w:pgSz w:w="11900" w:h="16838" w:orient="portrait"/>
          <w:cols w:equalWidth="0" w:num="1">
            <w:col w:w="9380"/>
          </w:cols>
          <w:pgMar w:left="1260" w:top="1247" w:right="1266" w:bottom="723" w:gutter="0" w:footer="0" w:header="0"/>
          <w:type w:val="continuous"/>
        </w:sectPr>
      </w:pPr>
    </w:p>
    <w:bookmarkStart w:id="123" w:name="page124"/>
    <w:bookmarkEnd w:id="123"/>
    <w:p>
      <w:pPr>
        <w:ind w:left="360" w:right="260"/>
        <w:spacing w:after="0" w:line="239"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795655</wp:posOffset>
            </wp:positionH>
            <wp:positionV relativeFrom="page">
              <wp:posOffset>292735</wp:posOffset>
            </wp:positionV>
            <wp:extent cx="929005" cy="1149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164">
                      <a:extLst>
                        <a:ext uri="{28A0092B-C50C-407E-A947-70E740481C1C}"/>
                      </a:extLst>
                    </a:blip>
                    <a:srcRect/>
                    <a:stretch>
                      <a:fillRect/>
                    </a:stretch>
                  </pic:blipFill>
                  <pic:spPr bwMode="auto">
                    <a:xfrm>
                      <a:off x="0" y="0"/>
                      <a:ext cx="929005" cy="114935"/>
                    </a:xfrm>
                    <a:prstGeom prst="rect">
                      <a:avLst/>
                    </a:prstGeom>
                    <a:noFill/>
                  </pic:spPr>
                </pic:pic>
              </a:graphicData>
            </a:graphic>
          </wp:anchor>
        </w:drawing>
        <w:t>the vesting of restricted stock units granted under the 2023 Restricted Stock Unit (Free Share) Plan and 2025 Restricted Stock Unit (Free Share) Plan.</w:t>
      </w:r>
    </w:p>
    <w:p>
      <w:pPr>
        <w:spacing w:after="0" w:line="1" w:lineRule="exact"/>
        <w:rPr>
          <w:sz w:val="20"/>
          <w:szCs w:val="20"/>
          <w:color w:val="auto"/>
        </w:rPr>
      </w:pPr>
    </w:p>
    <w:p>
      <w:pPr>
        <w:ind w:left="360" w:right="80" w:hanging="353"/>
        <w:spacing w:after="0" w:line="239" w:lineRule="auto"/>
        <w:tabs>
          <w:tab w:leader="none" w:pos="360"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options are issued with exercise prices in EUR. The weighted-average exercise price has been converted using the year-end spot exchange rate as of December 31, 2025, which was 1.1749 or approximately 1.00 EUR to 1.17 USD. This column excludes restricted stock units as they have no exercise price.</w:t>
      </w:r>
    </w:p>
    <w:p>
      <w:pPr>
        <w:spacing w:after="0" w:line="2" w:lineRule="exact"/>
        <w:rPr>
          <w:rFonts w:ascii="Times New Roman" w:cs="Times New Roman" w:eastAsia="Times New Roman" w:hAnsi="Times New Roman"/>
          <w:sz w:val="16"/>
          <w:szCs w:val="16"/>
          <w:color w:val="auto"/>
        </w:rPr>
      </w:pPr>
    </w:p>
    <w:p>
      <w:pPr>
        <w:ind w:left="360" w:right="140" w:hanging="353"/>
        <w:spacing w:after="0" w:line="261" w:lineRule="auto"/>
        <w:tabs>
          <w:tab w:leader="none" w:pos="360"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number reflects (i) 1,679,000 shares of common stock that remain available under the under the 2025 Share Subscription Option Plan and (ii) 600,000 shares of common stock that remain available under the under the 2025-2 Restricted Stock Unit (Free Share) Plan. In accordance with French law, shares are no longer available for issuance under the other plans previously approved by shareholders.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Security Ownership</w:t>
      </w:r>
    </w:p>
    <w:p>
      <w:pPr>
        <w:spacing w:after="0" w:line="203"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20"/>
          <w:szCs w:val="20"/>
          <w:color w:val="auto"/>
        </w:rPr>
        <w:t>The following table sets forth information with respect to the beneficial ownership of our Ordinary Shares as of February 27, 2026 (unless otherwise noted) for: each beneficial owner of more than 5% of our outstanding Ordinary Shares; each of our named executive officers, directors and director nominees; and all of our executive officers, directors and director nominees as a group.</w:t>
      </w:r>
    </w:p>
    <w:p>
      <w:pPr>
        <w:spacing w:after="0" w:line="153"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20"/>
          <w:szCs w:val="20"/>
          <w:color w:val="auto"/>
        </w:rPr>
        <w:t>Beneficial ownership is determined in accordance with the rules of the SEC. These rules generally attribute beneficial ownership of securities to persons who possess sole or shared voting power or investment power with respect to those securities and include ordinary shares issuable upon the exercise of share options and EIB warrants that are immediately exercisable or exercisable within 60 days after February 27, 2026, and ordinary shares issuable upon the vesting of RSUs within 60 days after February 27, 2026. Such ordinary shares are also deemed outstanding for purposes of computing the percentage ownership of the person holding the option, EIB warrant or free share, but not the percentage ownership of any other person. The percentage ownership information shown in the table is based upon 37,751,519 ordinary shares outstanding as of February 27, 2026.</w:t>
      </w:r>
    </w:p>
    <w:p>
      <w:pPr>
        <w:spacing w:after="0" w:line="162"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20"/>
          <w:szCs w:val="20"/>
          <w:color w:val="auto"/>
        </w:rPr>
        <w:t>Except as otherwise indicated, to our knowledge, all persons listed below have sole voting and investment power with respect to the ordinary shares beneficially owned by them, subject to applicable community property laws. The information is not necessarily indicative of beneficial ownership for any other purpose.</w:t>
      </w:r>
    </w:p>
    <w:p>
      <w:pPr>
        <w:spacing w:after="0" w:line="146" w:lineRule="exact"/>
        <w:rPr>
          <w:sz w:val="20"/>
          <w:szCs w:val="20"/>
          <w:color w:val="auto"/>
        </w:rPr>
      </w:pPr>
    </w:p>
    <w:p>
      <w:pPr>
        <w:ind w:right="280"/>
        <w:spacing w:after="0" w:line="259" w:lineRule="auto"/>
        <w:rPr>
          <w:sz w:val="20"/>
          <w:szCs w:val="20"/>
          <w:color w:val="auto"/>
        </w:rPr>
      </w:pPr>
      <w:r>
        <w:rPr>
          <w:rFonts w:ascii="Times New Roman" w:cs="Times New Roman" w:eastAsia="Times New Roman" w:hAnsi="Times New Roman"/>
          <w:sz w:val="20"/>
          <w:szCs w:val="20"/>
          <w:color w:val="auto"/>
        </w:rPr>
        <w:t>Except as otherwise indicated in the table below, addresses of our named executive officers, directors, director nominees, and named beneficial owners are in care of EDAP TMS S.A., Parc d’Activites la Poudrette-Lamartine, 4/6, rue du Dauphiné, 69120 Vaulx-en-Velin, France.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12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Name of Beneficial Owner 5% Shareholders:</w:t>
            </w:r>
          </w:p>
        </w:tc>
        <w:tc>
          <w:tcPr>
            <w:tcW w:w="226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Shares Beneficially Owned</w:t>
            </w:r>
          </w:p>
        </w:tc>
        <w:tc>
          <w:tcPr>
            <w:tcW w:w="0" w:type="dxa"/>
            <w:vAlign w:val="bottom"/>
          </w:tcPr>
          <w:p>
            <w:pPr>
              <w:spacing w:after="0"/>
              <w:rPr>
                <w:sz w:val="1"/>
                <w:szCs w:val="1"/>
                <w:color w:val="auto"/>
              </w:rPr>
            </w:pPr>
          </w:p>
        </w:tc>
      </w:tr>
      <w:tr>
        <w:trPr>
          <w:trHeight w:val="174"/>
        </w:trPr>
        <w:tc>
          <w:tcPr>
            <w:tcW w:w="7120" w:type="dxa"/>
            <w:vAlign w:val="bottom"/>
            <w:gridSpan w:val="2"/>
            <w:vMerge w:val="continue"/>
          </w:tcPr>
          <w:p>
            <w:pPr>
              <w:spacing w:after="0"/>
              <w:rPr>
                <w:sz w:val="15"/>
                <w:szCs w:val="15"/>
                <w:color w:val="auto"/>
              </w:rPr>
            </w:pPr>
          </w:p>
        </w:tc>
        <w:tc>
          <w:tcPr>
            <w:tcW w:w="1020" w:type="dxa"/>
            <w:vAlign w:val="bottom"/>
          </w:tcPr>
          <w:p>
            <w:pPr>
              <w:jc w:val="right"/>
              <w:ind w:right="123"/>
              <w:spacing w:after="0" w:line="175" w:lineRule="exact"/>
              <w:rPr>
                <w:sz w:val="20"/>
                <w:szCs w:val="20"/>
                <w:color w:val="auto"/>
              </w:rPr>
            </w:pPr>
            <w:r>
              <w:rPr>
                <w:rFonts w:ascii="Times New Roman" w:cs="Times New Roman" w:eastAsia="Times New Roman" w:hAnsi="Times New Roman"/>
                <w:sz w:val="16"/>
                <w:szCs w:val="16"/>
                <w:b w:val="1"/>
                <w:bCs w:val="1"/>
                <w:color w:val="auto"/>
              </w:rPr>
              <w:t>Number</w:t>
            </w:r>
          </w:p>
        </w:tc>
        <w:tc>
          <w:tcPr>
            <w:tcW w:w="1240" w:type="dxa"/>
            <w:vAlign w:val="bottom"/>
            <w:gridSpan w:val="2"/>
          </w:tcPr>
          <w:p>
            <w:pPr>
              <w:jc w:val="right"/>
              <w:ind w:right="340"/>
              <w:spacing w:after="0" w:line="175" w:lineRule="exact"/>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2"/>
        </w:trPr>
        <w:tc>
          <w:tcPr>
            <w:tcW w:w="6900" w:type="dxa"/>
            <w:vAlign w:val="bottom"/>
            <w:tcBorders>
              <w:top w:val="single" w:sz="8" w:color="auto"/>
            </w:tcBorders>
          </w:tcPr>
          <w:p>
            <w:pPr>
              <w:spacing w:after="0" w:line="202" w:lineRule="exact"/>
              <w:rPr>
                <w:sz w:val="20"/>
                <w:szCs w:val="20"/>
                <w:color w:val="auto"/>
              </w:rPr>
            </w:pPr>
            <w:r>
              <w:rPr>
                <w:rFonts w:ascii="Times New Roman" w:cs="Times New Roman" w:eastAsia="Times New Roman" w:hAnsi="Times New Roman"/>
                <w:sz w:val="20"/>
                <w:szCs w:val="20"/>
                <w:color w:val="auto"/>
              </w:rPr>
              <w:t>Soleus Private Equity Fund II, L.P. (1)</w:t>
            </w:r>
          </w:p>
        </w:tc>
        <w:tc>
          <w:tcPr>
            <w:tcW w:w="220" w:type="dxa"/>
            <w:vAlign w:val="bottom"/>
          </w:tcPr>
          <w:p>
            <w:pPr>
              <w:spacing w:after="0"/>
              <w:rPr>
                <w:sz w:val="17"/>
                <w:szCs w:val="17"/>
                <w:color w:val="auto"/>
              </w:rPr>
            </w:pPr>
          </w:p>
        </w:tc>
        <w:tc>
          <w:tcPr>
            <w:tcW w:w="1020" w:type="dxa"/>
            <w:vAlign w:val="bottom"/>
            <w:tcBorders>
              <w:top w:val="single" w:sz="8" w:color="auto"/>
            </w:tcBorders>
          </w:tcPr>
          <w:p>
            <w:pPr>
              <w:jc w:val="right"/>
              <w:spacing w:after="0" w:line="202" w:lineRule="exact"/>
              <w:rPr>
                <w:sz w:val="20"/>
                <w:szCs w:val="20"/>
                <w:color w:val="auto"/>
              </w:rPr>
            </w:pPr>
            <w:r>
              <w:rPr>
                <w:rFonts w:ascii="Times New Roman" w:cs="Times New Roman" w:eastAsia="Times New Roman" w:hAnsi="Times New Roman"/>
                <w:sz w:val="20"/>
                <w:szCs w:val="20"/>
                <w:color w:val="auto"/>
              </w:rPr>
              <w:t>7,309,254</w:t>
            </w:r>
          </w:p>
        </w:tc>
        <w:tc>
          <w:tcPr>
            <w:tcW w:w="220" w:type="dxa"/>
            <w:vAlign w:val="bottom"/>
          </w:tcPr>
          <w:p>
            <w:pPr>
              <w:spacing w:after="0"/>
              <w:rPr>
                <w:sz w:val="17"/>
                <w:szCs w:val="17"/>
                <w:color w:val="auto"/>
              </w:rPr>
            </w:pPr>
          </w:p>
        </w:tc>
        <w:tc>
          <w:tcPr>
            <w:tcW w:w="1020" w:type="dxa"/>
            <w:vAlign w:val="bottom"/>
            <w:tcBorders>
              <w:top w:val="single" w:sz="8" w:color="auto"/>
            </w:tcBorders>
          </w:tcPr>
          <w:p>
            <w:pPr>
              <w:jc w:val="right"/>
              <w:spacing w:after="0" w:line="202" w:lineRule="exact"/>
              <w:rPr>
                <w:sz w:val="20"/>
                <w:szCs w:val="20"/>
                <w:color w:val="auto"/>
              </w:rPr>
            </w:pPr>
            <w:r>
              <w:rPr>
                <w:rFonts w:ascii="Times New Roman" w:cs="Times New Roman" w:eastAsia="Times New Roman" w:hAnsi="Times New Roman"/>
                <w:sz w:val="20"/>
                <w:szCs w:val="20"/>
                <w:color w:val="auto"/>
              </w:rPr>
              <w:t>19.36</w:t>
            </w:r>
          </w:p>
        </w:tc>
        <w:tc>
          <w:tcPr>
            <w:tcW w:w="0" w:type="dxa"/>
            <w:vAlign w:val="bottom"/>
          </w:tcPr>
          <w:p>
            <w:pPr>
              <w:spacing w:after="0"/>
              <w:rPr>
                <w:sz w:val="1"/>
                <w:szCs w:val="1"/>
                <w:color w:val="auto"/>
              </w:rPr>
            </w:pPr>
          </w:p>
        </w:tc>
      </w:tr>
      <w:tr>
        <w:trPr>
          <w:trHeight w:val="226"/>
        </w:trPr>
        <w:tc>
          <w:tcPr>
            <w:tcW w:w="7120" w:type="dxa"/>
            <w:vAlign w:val="bottom"/>
            <w:gridSpan w:val="2"/>
          </w:tcPr>
          <w:p>
            <w:pPr>
              <w:spacing w:after="0" w:line="227" w:lineRule="exact"/>
              <w:rPr>
                <w:sz w:val="20"/>
                <w:szCs w:val="20"/>
                <w:color w:val="auto"/>
              </w:rPr>
            </w:pPr>
            <w:r>
              <w:rPr>
                <w:rFonts w:ascii="Times New Roman" w:cs="Times New Roman" w:eastAsia="Times New Roman" w:hAnsi="Times New Roman"/>
                <w:sz w:val="20"/>
                <w:szCs w:val="20"/>
                <w:color w:val="auto"/>
              </w:rPr>
              <w:t>Morgan Stanley (2)</w:t>
            </w:r>
          </w:p>
        </w:tc>
        <w:tc>
          <w:tcPr>
            <w:tcW w:w="102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auto"/>
              </w:rPr>
              <w:t>3,138,680</w:t>
            </w:r>
          </w:p>
        </w:tc>
        <w:tc>
          <w:tcPr>
            <w:tcW w:w="1240" w:type="dxa"/>
            <w:vAlign w:val="bottom"/>
            <w:gridSpan w:val="2"/>
          </w:tcPr>
          <w:p>
            <w:pPr>
              <w:jc w:val="right"/>
              <w:spacing w:after="0" w:line="227" w:lineRule="exact"/>
              <w:rPr>
                <w:sz w:val="20"/>
                <w:szCs w:val="20"/>
                <w:color w:val="auto"/>
              </w:rPr>
            </w:pPr>
            <w:r>
              <w:rPr>
                <w:rFonts w:ascii="Times New Roman" w:cs="Times New Roman" w:eastAsia="Times New Roman" w:hAnsi="Times New Roman"/>
                <w:sz w:val="20"/>
                <w:szCs w:val="20"/>
                <w:color w:val="auto"/>
              </w:rPr>
              <w:t>8.32</w:t>
            </w:r>
          </w:p>
        </w:tc>
        <w:tc>
          <w:tcPr>
            <w:tcW w:w="0" w:type="dxa"/>
            <w:vAlign w:val="bottom"/>
          </w:tcPr>
          <w:p>
            <w:pPr>
              <w:spacing w:after="0"/>
              <w:rPr>
                <w:sz w:val="1"/>
                <w:szCs w:val="1"/>
                <w:color w:val="auto"/>
              </w:rPr>
            </w:pPr>
          </w:p>
        </w:tc>
      </w:tr>
      <w:tr>
        <w:trPr>
          <w:trHeight w:val="232"/>
        </w:trPr>
        <w:tc>
          <w:tcPr>
            <w:tcW w:w="71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Named Executive Officers, Directors and Director Nominees:</w:t>
            </w: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1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Ryan Rhodes (3)</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1,531,704</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4.06</w:t>
            </w:r>
          </w:p>
        </w:tc>
        <w:tc>
          <w:tcPr>
            <w:tcW w:w="0" w:type="dxa"/>
            <w:vAlign w:val="bottom"/>
          </w:tcPr>
          <w:p>
            <w:pPr>
              <w:spacing w:after="0"/>
              <w:rPr>
                <w:sz w:val="1"/>
                <w:szCs w:val="1"/>
                <w:color w:val="auto"/>
              </w:rPr>
            </w:pPr>
          </w:p>
        </w:tc>
      </w:tr>
      <w:tr>
        <w:trPr>
          <w:trHeight w:val="230"/>
        </w:trPr>
        <w:tc>
          <w:tcPr>
            <w:tcW w:w="71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Ken Mobeck (4)</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605,221</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1.60</w:t>
            </w:r>
          </w:p>
        </w:tc>
        <w:tc>
          <w:tcPr>
            <w:tcW w:w="0" w:type="dxa"/>
            <w:vAlign w:val="bottom"/>
          </w:tcPr>
          <w:p>
            <w:pPr>
              <w:spacing w:after="0"/>
              <w:rPr>
                <w:sz w:val="1"/>
                <w:szCs w:val="1"/>
                <w:color w:val="auto"/>
              </w:rPr>
            </w:pPr>
          </w:p>
        </w:tc>
      </w:tr>
      <w:tr>
        <w:trPr>
          <w:trHeight w:val="230"/>
        </w:trPr>
        <w:tc>
          <w:tcPr>
            <w:tcW w:w="71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François Dietsch (5)</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72,000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26"/>
        </w:trPr>
        <w:tc>
          <w:tcPr>
            <w:tcW w:w="7120" w:type="dxa"/>
            <w:vAlign w:val="bottom"/>
            <w:gridSpan w:val="2"/>
          </w:tcPr>
          <w:p>
            <w:pPr>
              <w:spacing w:after="0" w:line="227" w:lineRule="exact"/>
              <w:rPr>
                <w:sz w:val="20"/>
                <w:szCs w:val="20"/>
                <w:color w:val="auto"/>
              </w:rPr>
            </w:pPr>
            <w:r>
              <w:rPr>
                <w:rFonts w:ascii="Times New Roman" w:cs="Times New Roman" w:eastAsia="Times New Roman" w:hAnsi="Times New Roman"/>
                <w:sz w:val="20"/>
                <w:szCs w:val="20"/>
                <w:color w:val="auto"/>
              </w:rPr>
              <w:t>Steven Annen (6)</w:t>
            </w:r>
          </w:p>
        </w:tc>
        <w:tc>
          <w:tcPr>
            <w:tcW w:w="102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auto"/>
              </w:rPr>
              <w:t>146,976</w:t>
            </w:r>
          </w:p>
        </w:tc>
        <w:tc>
          <w:tcPr>
            <w:tcW w:w="1240" w:type="dxa"/>
            <w:vAlign w:val="bottom"/>
            <w:gridSpan w:val="2"/>
          </w:tcPr>
          <w:p>
            <w:pPr>
              <w:jc w:val="right"/>
              <w:spacing w:after="0" w:line="227" w:lineRule="exact"/>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2"/>
        </w:trPr>
        <w:tc>
          <w:tcPr>
            <w:tcW w:w="71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Sanket Shah</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20,833</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71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Lance Willsey (7)</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1,335,113</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3.54</w:t>
            </w:r>
          </w:p>
        </w:tc>
        <w:tc>
          <w:tcPr>
            <w:tcW w:w="0" w:type="dxa"/>
            <w:vAlign w:val="bottom"/>
          </w:tcPr>
          <w:p>
            <w:pPr>
              <w:spacing w:after="0"/>
              <w:rPr>
                <w:sz w:val="1"/>
                <w:szCs w:val="1"/>
                <w:color w:val="auto"/>
              </w:rPr>
            </w:pPr>
          </w:p>
        </w:tc>
      </w:tr>
      <w:tr>
        <w:trPr>
          <w:trHeight w:val="230"/>
        </w:trPr>
        <w:tc>
          <w:tcPr>
            <w:tcW w:w="71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Fran Schulz</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5,100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71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Josh Levine</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25,000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71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David Horn</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65"/>
        </w:trPr>
        <w:tc>
          <w:tcPr>
            <w:tcW w:w="71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All executive officers, directors and director nominees as a group (10 persons)</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14,189,881</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37.59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95885</wp:posOffset>
                </wp:positionV>
                <wp:extent cx="1488440" cy="0"/>
                <wp:wrapNone/>
                <wp:docPr id="268" name="Shape 2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88440" cy="4763"/>
                        </a:xfrm>
                        <a:prstGeom prst="line">
                          <a:avLst/>
                        </a:prstGeom>
                        <a:solidFill>
                          <a:srgbClr val="FFFFFF"/>
                        </a:solidFill>
                        <a:ln w="12052">
                          <a:solidFill>
                            <a:srgbClr val="000000"/>
                          </a:solidFill>
                          <a:miter lim="800000"/>
                          <a:headEnd/>
                          <a:tailEnd/>
                        </a:ln>
                      </wps:spPr>
                      <wps:bodyPr/>
                    </wps:wsp>
                  </a:graphicData>
                </a:graphic>
              </wp:anchor>
            </w:drawing>
          </mc:Choice>
          <mc:Fallback>
            <w:pict>
              <v:line id="Shape 268" o:spid="_x0000_s12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7.55pt" to="117.5pt,7.55pt" o:allowincell="f" strokecolor="#000000" strokeweight="0.949pt"/>
            </w:pict>
          </mc:Fallback>
        </mc:AlternateContent>
      </w:r>
    </w:p>
    <w:p>
      <w:pPr>
        <w:spacing w:after="0" w:line="171" w:lineRule="exact"/>
        <w:rPr>
          <w:sz w:val="20"/>
          <w:szCs w:val="20"/>
          <w:color w:val="auto"/>
        </w:rPr>
      </w:pPr>
    </w:p>
    <w:p>
      <w:pPr>
        <w:ind w:left="360" w:hanging="353"/>
        <w:spacing w:after="0"/>
        <w:tabs>
          <w:tab w:leader="none" w:pos="360"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Represents beneficial ownership of less than 1%.</w:t>
      </w:r>
    </w:p>
    <w:p>
      <w:pPr>
        <w:spacing w:after="0" w:line="204" w:lineRule="exact"/>
        <w:rPr>
          <w:sz w:val="20"/>
          <w:szCs w:val="20"/>
          <w:color w:val="auto"/>
        </w:rPr>
      </w:pPr>
    </w:p>
    <w:p>
      <w:pPr>
        <w:ind w:left="360" w:right="140" w:hanging="353"/>
        <w:spacing w:after="0"/>
        <w:tabs>
          <w:tab w:leader="none" w:pos="360"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a Schedule 13G amendment filed by Soleus Private Equity GP II, LLC, Soleus Private Equity Fund II, L.P., Soleus PE GP II, LLC, Soleus Capital Master Fund, L.P., Soleus Capital, LLC, Soleus Capital Group, LLC, Soleus Capital Management, L.P., Soleus GP, LLC and Guy Levy on November 14, 2024. As reported on the Schedule 13G, 1,400,000 of the ordinary shares are directly held by Soleus Private Equity Fund II, L.P. and 5,909,254 ordinary shares are held directly by Soleus Capital Master Fund.</w:t>
      </w:r>
    </w:p>
    <w:p>
      <w:pPr>
        <w:ind w:left="360" w:right="520" w:hanging="352"/>
        <w:spacing w:after="0" w:line="239" w:lineRule="auto"/>
        <w:tabs>
          <w:tab w:leader="none" w:pos="360"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a Schedule 13G amendment filed by Morgan Stanley and Morgan Stanley &amp; Co. International plc on February 9, 2023 and includes 3,138,680 ordinary shares.</w:t>
      </w:r>
    </w:p>
    <w:p>
      <w:pPr>
        <w:ind w:left="360" w:right="120" w:hanging="352"/>
        <w:spacing w:after="0" w:line="241" w:lineRule="auto"/>
        <w:tabs>
          <w:tab w:leader="none" w:pos="360"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(a) 1,531,704 ordinary shares (b) 1,230,555 ordinary shares issuable upon the exercise of stock options that are exercisable within 60 days of February 27, 2026.</w:t>
      </w:r>
    </w:p>
    <w:p>
      <w:pPr>
        <w:ind w:left="360" w:right="60" w:hanging="352"/>
        <w:spacing w:after="0" w:line="239" w:lineRule="auto"/>
        <w:tabs>
          <w:tab w:leader="none" w:pos="360"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(a) 552,443 ordinary Shares and (b) 495,833 ordinary shares issuable upon the exercise of stock options that are exercisable within 60 days of of February 27, 2026.</w:t>
      </w:r>
    </w:p>
    <w:p>
      <w:pPr>
        <w:ind w:left="360" w:right="240" w:hanging="352"/>
        <w:spacing w:after="0" w:line="278" w:lineRule="auto"/>
        <w:tabs>
          <w:tab w:leader="none" w:pos="360"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(a) 73,667 ordinary shares and (b) 61,667 ordinary shares issuable upon the exercise of stock options that are exercisable within 60 days of of February 27, 2026.</w:t>
      </w:r>
    </w:p>
    <w:p>
      <w:pPr>
        <w:sectPr>
          <w:pgSz w:w="11900" w:h="16838" w:orient="portrait"/>
          <w:cols w:equalWidth="0" w:num="1">
            <w:col w:w="9380"/>
          </w:cols>
          <w:pgMar w:left="1260" w:top="1251" w:right="1266" w:bottom="72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70</w:t>
      </w:r>
    </w:p>
    <w:p>
      <w:pPr>
        <w:sectPr>
          <w:pgSz w:w="11900" w:h="16838" w:orient="portrait"/>
          <w:cols w:equalWidth="0" w:num="1">
            <w:col w:w="9380"/>
          </w:cols>
          <w:pgMar w:left="1260" w:top="1251" w:right="1266" w:bottom="723" w:gutter="0" w:footer="0" w:header="0"/>
          <w:type w:val="continuous"/>
        </w:sectPr>
      </w:pPr>
    </w:p>
    <w:bookmarkStart w:id="124" w:name="page125"/>
    <w:bookmarkEnd w:id="124"/>
    <w:p>
      <w:pPr>
        <w:ind w:left="360" w:right="80" w:hanging="353"/>
        <w:spacing w:after="0" w:line="239" w:lineRule="auto"/>
        <w:tabs>
          <w:tab w:leader="none" w:pos="360"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795655</wp:posOffset>
            </wp:positionH>
            <wp:positionV relativeFrom="page">
              <wp:posOffset>292735</wp:posOffset>
            </wp:positionV>
            <wp:extent cx="929005" cy="1149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165">
                      <a:extLst>
                        <a:ext uri="{28A0092B-C50C-407E-A947-70E740481C1C}"/>
                      </a:extLst>
                    </a:blip>
                    <a:srcRect/>
                    <a:stretch>
                      <a:fillRect/>
                    </a:stretch>
                  </pic:blipFill>
                  <pic:spPr bwMode="auto">
                    <a:xfrm>
                      <a:off x="0" y="0"/>
                      <a:ext cx="929005" cy="114935"/>
                    </a:xfrm>
                    <a:prstGeom prst="rect">
                      <a:avLst/>
                    </a:prstGeom>
                    <a:noFill/>
                  </pic:spPr>
                </pic:pic>
              </a:graphicData>
            </a:graphic>
          </wp:anchor>
        </w:drawing>
        <w:t>Includes (a) 146,976 ordinary shares and (b) 105,486 ordinary shares issuable upon the exercise of stock options that are exercisable within 60 days of of February 27, 2026.</w:t>
      </w:r>
    </w:p>
    <w:p>
      <w:pPr>
        <w:ind w:left="360" w:right="40" w:hanging="353"/>
        <w:spacing w:after="0" w:line="281" w:lineRule="auto"/>
        <w:tabs>
          <w:tab w:leader="none" w:pos="360"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(a) 1,335,113 ordinary shares and (b) 93,333 ordinary shares issuable upon the exercise of stock options that are exercisable within 60 days of of February 27, 2026.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13. Certain Relationships and Related Transactions, and Director Independence.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Review and Approval of Related Person Transactions</w:t>
      </w:r>
    </w:p>
    <w:p>
      <w:pPr>
        <w:spacing w:after="0" w:line="203"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20"/>
          <w:szCs w:val="20"/>
          <w:color w:val="auto"/>
        </w:rPr>
        <w:t>We have adopted written procedures concerning the review, approval or ratification of transactions with our directors, executive officers and holders of more than 5% of our outstanding voting securities and their affiliates, which we refer to as our related persons. Under SEC rules, a related person is a director, executive officer, nominee for director, a holder of more than 5% of our outstanding voting securities, an immediate family member (as defined under applicable SEC rules) of any of the foregoing, or any person who was in such role at any time since the beginning of the last fiscal year. A related person transaction is any transaction, arrangement or relationship (or any series of similar transactions, arrangements or relationships) in which the Company or a subsidiary is a participant, where the amount involved exceeds $120,000 and a related person had, has or will have a direct or indirect material interest.</w:t>
      </w:r>
    </w:p>
    <w:p>
      <w:pPr>
        <w:spacing w:after="0" w:line="164"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color w:val="auto"/>
        </w:rPr>
        <w:t>Directors, executive officers and nominees must complete an annual questionnaire and disclose all potential related person transactions involving themselves and their immediate family members that are known to them. Throughout the year, directors and executive officers must notify our Chief Financial Officer or General Counsel of any potential related person transactions as soon as they become aware of any such transaction. Our Chief Financial Officer or General Counsel informs the audit committee and the Board of Directors of any related person transaction of which they are aware. The Board of Directors must approve or ratify any related person transactions. The audit committee or the Board of Directors may, in its discretion, engage outside counsel to review certain related person transactions.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Related Person Transactions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During 2025, we were party to the following related person transactions:</w:t>
      </w:r>
    </w:p>
    <w:p>
      <w:pPr>
        <w:spacing w:after="0" w:line="200"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0"/>
          <w:szCs w:val="20"/>
          <w:color w:val="auto"/>
        </w:rPr>
        <w:t>On August 19, 2019, EDAP Technomed Co. Ltd. (Japan) contracted a loan for 80,000,000 JPY (approximately $500 thousand). As a current practice in Japan, this loan required a personal guarantee from the representative director, president and CEO of the subsidiary, Mr. Jean-François Bachelard. EDAP TMS S.A., as the parent company, counter-guaranteed this personal loan and agreed to indemnify Mr. Bachelard in an indemnification letter dated September 12, 2019, expiring upon loan maturity date of August 26, 2026.</w:t>
      </w:r>
    </w:p>
    <w:p>
      <w:pPr>
        <w:spacing w:after="0" w:line="156"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20"/>
          <w:szCs w:val="20"/>
          <w:color w:val="auto"/>
        </w:rPr>
        <w:t>On April 22, 2020, EDAP Technomed Co. Ltd (Japan) contracted another loan for 50,000,000 JPY (approximately $300 thousand). As a current practice in Japan, this loan required a personal guarantee from the representative director, president and CEO of the subsidiary, Mr. Jean-François Bachelard. EDAP TMS S.A., as the parent company, counter-guaranteed this personal loan and agreed to indemnify Mr. Bachelard, in an indemnification letter dated June 2, 2020, expiring upon loan maturity date of April 2, 2025.</w:t>
      </w:r>
    </w:p>
    <w:p>
      <w:pPr>
        <w:sectPr>
          <w:pgSz w:w="11900" w:h="16838" w:orient="portrait"/>
          <w:cols w:equalWidth="0" w:num="1">
            <w:col w:w="9380"/>
          </w:cols>
          <w:pgMar w:left="1260" w:top="1251" w:right="1266" w:bottom="72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71</w:t>
      </w:r>
    </w:p>
    <w:p>
      <w:pPr>
        <w:sectPr>
          <w:pgSz w:w="11900" w:h="16838" w:orient="portrait"/>
          <w:cols w:equalWidth="0" w:num="1">
            <w:col w:w="9380"/>
          </w:cols>
          <w:pgMar w:left="1260" w:top="1251" w:right="1266" w:bottom="723" w:gutter="0" w:footer="0" w:header="0"/>
          <w:type w:val="continuous"/>
        </w:sectPr>
      </w:pPr>
    </w:p>
    <w:bookmarkStart w:id="125" w:name="page126"/>
    <w:bookmarkEnd w:id="125"/>
    <w:p>
      <w:pPr>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795655</wp:posOffset>
            </wp:positionH>
            <wp:positionV relativeFrom="page">
              <wp:posOffset>292735</wp:posOffset>
            </wp:positionV>
            <wp:extent cx="929005" cy="1149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166">
                      <a:extLst>
                        <a:ext uri="{28A0092B-C50C-407E-A947-70E740481C1C}"/>
                      </a:extLst>
                    </a:blip>
                    <a:srcRect/>
                    <a:stretch>
                      <a:fillRect/>
                    </a:stretch>
                  </pic:blipFill>
                  <pic:spPr bwMode="auto">
                    <a:xfrm>
                      <a:off x="0" y="0"/>
                      <a:ext cx="929005" cy="114935"/>
                    </a:xfrm>
                    <a:prstGeom prst="rect">
                      <a:avLst/>
                    </a:prstGeom>
                    <a:noFill/>
                  </pic:spPr>
                </pic:pic>
              </a:graphicData>
            </a:graphic>
          </wp:anchor>
        </w:drawing>
        <w:t>Item 14. Principal Accountant Fees and Services.</w:t>
      </w:r>
    </w:p>
    <w:p>
      <w:pPr>
        <w:spacing w:after="0" w:line="203" w:lineRule="exact"/>
        <w:rPr>
          <w:sz w:val="20"/>
          <w:szCs w:val="20"/>
          <w:color w:val="auto"/>
        </w:rPr>
      </w:pPr>
    </w:p>
    <w:p>
      <w:pPr>
        <w:ind w:right="340"/>
        <w:spacing w:after="0" w:line="279" w:lineRule="auto"/>
        <w:rPr>
          <w:sz w:val="20"/>
          <w:szCs w:val="20"/>
          <w:color w:val="auto"/>
        </w:rPr>
      </w:pPr>
      <w:r>
        <w:rPr>
          <w:rFonts w:ascii="Times New Roman" w:cs="Times New Roman" w:eastAsia="Times New Roman" w:hAnsi="Times New Roman"/>
          <w:sz w:val="20"/>
          <w:szCs w:val="20"/>
          <w:color w:val="auto"/>
        </w:rPr>
        <w:t>Our independent registered public accounting firm, KPMG has audited the accounts and records of the Company and its subsidiaries since 2018.</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fees for professional services rendered by KPMG and joint statutory auditors in each of 2024 and 2025 were: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9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gridSpan w:val="5"/>
          </w:tcPr>
          <w:p>
            <w:pPr>
              <w:jc w:val="right"/>
              <w:ind w:right="244"/>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174"/>
        </w:trPr>
        <w:tc>
          <w:tcPr>
            <w:tcW w:w="69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08"/>
              <w:spacing w:after="0" w:line="175" w:lineRule="exact"/>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04"/>
              <w:spacing w:after="0" w:line="175" w:lineRule="exact"/>
              <w:rPr>
                <w:sz w:val="20"/>
                <w:szCs w:val="20"/>
                <w:color w:val="auto"/>
              </w:rPr>
            </w:pPr>
            <w:r>
              <w:rPr>
                <w:rFonts w:ascii="Times New Roman" w:cs="Times New Roman" w:eastAsia="Times New Roman" w:hAnsi="Times New Roman"/>
                <w:sz w:val="16"/>
                <w:szCs w:val="16"/>
                <w:b w:val="1"/>
                <w:bCs w:val="1"/>
                <w:color w:val="auto"/>
              </w:rPr>
              <w:t>2024</w:t>
            </w:r>
          </w:p>
        </w:tc>
      </w:tr>
      <w:tr>
        <w:trPr>
          <w:trHeight w:val="174"/>
        </w:trPr>
        <w:tc>
          <w:tcPr>
            <w:tcW w:w="6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ind w:right="88"/>
              <w:spacing w:after="0" w:line="175" w:lineRule="exact"/>
              <w:rPr>
                <w:sz w:val="20"/>
                <w:szCs w:val="20"/>
                <w:color w:val="auto"/>
              </w:rPr>
            </w:pPr>
            <w:r>
              <w:rPr>
                <w:rFonts w:ascii="Times New Roman" w:cs="Times New Roman" w:eastAsia="Times New Roman" w:hAnsi="Times New Roman"/>
                <w:sz w:val="16"/>
                <w:szCs w:val="16"/>
                <w:color w:val="auto"/>
              </w:rPr>
              <w:t>(in</w:t>
            </w:r>
          </w:p>
        </w:tc>
        <w:tc>
          <w:tcPr>
            <w:tcW w:w="580" w:type="dxa"/>
            <w:vAlign w:val="bottom"/>
            <w:gridSpan w:val="3"/>
          </w:tcPr>
          <w:p>
            <w:pPr>
              <w:jc w:val="center"/>
              <w:ind w:right="20"/>
              <w:spacing w:after="0" w:line="175" w:lineRule="exact"/>
              <w:rPr>
                <w:sz w:val="20"/>
                <w:szCs w:val="20"/>
                <w:color w:val="auto"/>
              </w:rPr>
            </w:pPr>
            <w:r>
              <w:rPr>
                <w:rFonts w:ascii="Times New Roman" w:cs="Times New Roman" w:eastAsia="Times New Roman" w:hAnsi="Times New Roman"/>
                <w:sz w:val="16"/>
                <w:szCs w:val="16"/>
                <w:color w:val="auto"/>
                <w:w w:val="80"/>
              </w:rPr>
              <w:t>thousands)</w:t>
            </w:r>
          </w:p>
        </w:tc>
        <w:tc>
          <w:tcPr>
            <w:tcW w:w="760" w:type="dxa"/>
            <w:vAlign w:val="bottom"/>
          </w:tcPr>
          <w:p>
            <w:pPr>
              <w:spacing w:after="0"/>
              <w:rPr>
                <w:sz w:val="15"/>
                <w:szCs w:val="15"/>
                <w:color w:val="auto"/>
              </w:rPr>
            </w:pPr>
          </w:p>
        </w:tc>
      </w:tr>
      <w:tr>
        <w:trPr>
          <w:trHeight w:val="230"/>
        </w:trPr>
        <w:tc>
          <w:tcPr>
            <w:tcW w:w="6920" w:type="dxa"/>
            <w:vAlign w:val="bottom"/>
            <w:shd w:val="clear" w:color="auto" w:fill="CCEEFF"/>
          </w:tcPr>
          <w:p>
            <w:pPr>
              <w:spacing w:after="0" w:line="230" w:lineRule="exact"/>
              <w:rPr>
                <w:sz w:val="20"/>
                <w:szCs w:val="20"/>
                <w:color w:val="auto"/>
              </w:rPr>
            </w:pPr>
            <w:r>
              <w:rPr>
                <w:rFonts w:ascii="Times New Roman" w:cs="Times New Roman" w:eastAsia="Times New Roman" w:hAnsi="Times New Roman"/>
                <w:sz w:val="20"/>
                <w:szCs w:val="20"/>
                <w:color w:val="auto"/>
              </w:rPr>
              <w:t>Audit Fees</w:t>
            </w:r>
            <w:r>
              <w:rPr>
                <w:rFonts w:ascii="Times New Roman" w:cs="Times New Roman" w:eastAsia="Times New Roman" w:hAnsi="Times New Roman"/>
                <w:sz w:val="25"/>
                <w:szCs w:val="25"/>
                <w:color w:val="auto"/>
                <w:vertAlign w:val="superscript"/>
              </w:rPr>
              <w:t>(1)(2)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1,323</w:t>
            </w:r>
          </w:p>
        </w:tc>
        <w:tc>
          <w:tcPr>
            <w:tcW w:w="340" w:type="dxa"/>
            <w:vAlign w:val="bottom"/>
            <w:gridSpan w:val="2"/>
            <w:shd w:val="clear" w:color="auto" w:fill="CCEEFF"/>
          </w:tcPr>
          <w:p>
            <w:pPr>
              <w:jc w:val="center"/>
              <w:ind w:left="104"/>
              <w:spacing w:after="0"/>
              <w:rPr>
                <w:sz w:val="20"/>
                <w:szCs w:val="20"/>
                <w:color w:val="auto"/>
              </w:rPr>
            </w:pPr>
            <w:r>
              <w:rPr>
                <w:rFonts w:ascii="Times New Roman" w:cs="Times New Roman" w:eastAsia="Times New Roman" w:hAnsi="Times New Roman"/>
                <w:sz w:val="20"/>
                <w:szCs w:val="20"/>
                <w:color w:val="auto"/>
                <w:w w:val="99"/>
              </w:rPr>
              <w:t>$</w:t>
            </w:r>
          </w:p>
        </w:tc>
        <w:tc>
          <w:tcPr>
            <w:tcW w:w="2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1,210</w:t>
            </w:r>
          </w:p>
        </w:tc>
      </w:tr>
      <w:tr>
        <w:trPr>
          <w:trHeight w:val="230"/>
        </w:trPr>
        <w:tc>
          <w:tcPr>
            <w:tcW w:w="6920" w:type="dxa"/>
            <w:vAlign w:val="bottom"/>
          </w:tcPr>
          <w:p>
            <w:pPr>
              <w:spacing w:after="0" w:line="230" w:lineRule="exact"/>
              <w:rPr>
                <w:sz w:val="20"/>
                <w:szCs w:val="20"/>
                <w:color w:val="auto"/>
              </w:rPr>
            </w:pPr>
            <w:r>
              <w:rPr>
                <w:rFonts w:ascii="Times New Roman" w:cs="Times New Roman" w:eastAsia="Times New Roman" w:hAnsi="Times New Roman"/>
                <w:sz w:val="20"/>
                <w:szCs w:val="20"/>
                <w:color w:val="auto"/>
              </w:rPr>
              <w:t>Audit-Related Fees</w:t>
            </w:r>
            <w:r>
              <w:rPr>
                <w:rFonts w:ascii="Times New Roman" w:cs="Times New Roman" w:eastAsia="Times New Roman" w:hAnsi="Times New Roman"/>
                <w:sz w:val="25"/>
                <w:szCs w:val="25"/>
                <w:color w:val="auto"/>
                <w:vertAlign w:val="superscript"/>
              </w:rPr>
              <w:t>(3)</w:t>
            </w: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w:t>
            </w:r>
          </w:p>
        </w:tc>
        <w:tc>
          <w:tcPr>
            <w:tcW w:w="340" w:type="dxa"/>
            <w:vAlign w:val="bottom"/>
            <w:gridSpan w:val="2"/>
          </w:tcPr>
          <w:p>
            <w:pPr>
              <w:jc w:val="center"/>
              <w:ind w:left="104"/>
              <w:spacing w:after="0"/>
              <w:rPr>
                <w:sz w:val="20"/>
                <w:szCs w:val="20"/>
                <w:color w:val="auto"/>
              </w:rPr>
            </w:pPr>
            <w:r>
              <w:rPr>
                <w:rFonts w:ascii="Times New Roman" w:cs="Times New Roman" w:eastAsia="Times New Roman" w:hAnsi="Times New Roman"/>
                <w:sz w:val="20"/>
                <w:szCs w:val="20"/>
                <w:color w:val="auto"/>
                <w:w w:val="99"/>
              </w:rPr>
              <w:t>$</w:t>
            </w: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28"/>
        </w:trPr>
        <w:tc>
          <w:tcPr>
            <w:tcW w:w="6920" w:type="dxa"/>
            <w:vAlign w:val="bottom"/>
            <w:shd w:val="clear" w:color="auto" w:fill="CCEEFF"/>
          </w:tcPr>
          <w:p>
            <w:pPr>
              <w:spacing w:after="0" w:line="228" w:lineRule="exact"/>
              <w:rPr>
                <w:sz w:val="20"/>
                <w:szCs w:val="20"/>
                <w:color w:val="auto"/>
              </w:rPr>
            </w:pPr>
            <w:r>
              <w:rPr>
                <w:rFonts w:ascii="Times New Roman" w:cs="Times New Roman" w:eastAsia="Times New Roman" w:hAnsi="Times New Roman"/>
                <w:sz w:val="20"/>
                <w:szCs w:val="20"/>
                <w:color w:val="auto"/>
              </w:rPr>
              <w:t>Tax Fees</w:t>
            </w:r>
            <w:r>
              <w:rPr>
                <w:rFonts w:ascii="Times New Roman" w:cs="Times New Roman" w:eastAsia="Times New Roman" w:hAnsi="Times New Roman"/>
                <w:sz w:val="25"/>
                <w:szCs w:val="25"/>
                <w:color w:val="auto"/>
                <w:vertAlign w:val="superscript"/>
              </w:rPr>
              <w:t>(4)</w:t>
            </w:r>
          </w:p>
        </w:tc>
        <w:tc>
          <w:tcPr>
            <w:tcW w:w="120" w:type="dxa"/>
            <w:vAlign w:val="bottom"/>
            <w:shd w:val="clear" w:color="auto" w:fill="CCEEFF"/>
          </w:tcPr>
          <w:p>
            <w:pPr>
              <w:jc w:val="right"/>
              <w:spacing w:after="0" w:line="228" w:lineRule="exact"/>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shd w:val="clear" w:color="auto" w:fill="CCEEFF"/>
          </w:tcPr>
          <w:p>
            <w:pPr>
              <w:jc w:val="right"/>
              <w:spacing w:after="0" w:line="228" w:lineRule="exact"/>
              <w:rPr>
                <w:sz w:val="20"/>
                <w:szCs w:val="20"/>
                <w:color w:val="auto"/>
              </w:rPr>
            </w:pPr>
            <w:r>
              <w:rPr>
                <w:rFonts w:ascii="Times New Roman" w:cs="Times New Roman" w:eastAsia="Times New Roman" w:hAnsi="Times New Roman"/>
                <w:sz w:val="20"/>
                <w:szCs w:val="20"/>
                <w:color w:val="auto"/>
              </w:rPr>
              <w:t>—</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jc w:val="center"/>
              <w:spacing w:after="0" w:line="228" w:lineRule="exact"/>
              <w:rPr>
                <w:sz w:val="20"/>
                <w:szCs w:val="20"/>
                <w:color w:val="auto"/>
              </w:rPr>
            </w:pPr>
            <w:r>
              <w:rPr>
                <w:rFonts w:ascii="Times New Roman" w:cs="Times New Roman" w:eastAsia="Times New Roman" w:hAnsi="Times New Roman"/>
                <w:sz w:val="20"/>
                <w:szCs w:val="20"/>
                <w:color w:val="auto"/>
                <w:w w:val="99"/>
                <w:shd w:val="clear" w:color="auto" w:fill="CCEEFF"/>
              </w:rPr>
              <w:t>$</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line="228" w:lineRule="exact"/>
              <w:rPr>
                <w:sz w:val="20"/>
                <w:szCs w:val="20"/>
                <w:color w:val="auto"/>
              </w:rPr>
            </w:pPr>
            <w:r>
              <w:rPr>
                <w:rFonts w:ascii="Times New Roman" w:cs="Times New Roman" w:eastAsia="Times New Roman" w:hAnsi="Times New Roman"/>
                <w:sz w:val="20"/>
                <w:szCs w:val="20"/>
                <w:color w:val="auto"/>
              </w:rPr>
              <w:t>—</w:t>
            </w:r>
          </w:p>
        </w:tc>
      </w:tr>
      <w:tr>
        <w:trPr>
          <w:trHeight w:val="230"/>
        </w:trPr>
        <w:tc>
          <w:tcPr>
            <w:tcW w:w="6920" w:type="dxa"/>
            <w:vAlign w:val="bottom"/>
            <w:tcBorders>
              <w:bottom w:val="single" w:sz="8" w:color="CCEEFF"/>
            </w:tcBorders>
          </w:tcPr>
          <w:p>
            <w:pPr>
              <w:spacing w:after="0" w:line="230" w:lineRule="exact"/>
              <w:rPr>
                <w:sz w:val="20"/>
                <w:szCs w:val="20"/>
                <w:color w:val="auto"/>
              </w:rPr>
            </w:pPr>
            <w:r>
              <w:rPr>
                <w:rFonts w:ascii="Times New Roman" w:cs="Times New Roman" w:eastAsia="Times New Roman" w:hAnsi="Times New Roman"/>
                <w:sz w:val="20"/>
                <w:szCs w:val="20"/>
                <w:color w:val="auto"/>
              </w:rPr>
              <w:t>All Other Fees</w:t>
            </w:r>
            <w:r>
              <w:rPr>
                <w:rFonts w:ascii="Times New Roman" w:cs="Times New Roman" w:eastAsia="Times New Roman" w:hAnsi="Times New Roman"/>
                <w:sz w:val="25"/>
                <w:szCs w:val="25"/>
                <w:color w:val="auto"/>
                <w:vertAlign w:val="superscript"/>
              </w:rPr>
              <w:t>(5)</w:t>
            </w:r>
          </w:p>
        </w:tc>
        <w:tc>
          <w:tcPr>
            <w:tcW w:w="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40" w:type="dxa"/>
            <w:vAlign w:val="bottom"/>
            <w:tcBorders>
              <w:bottom w:val="single" w:sz="8" w:color="CCEEFF"/>
            </w:tcBorders>
            <w:gridSpan w:val="2"/>
          </w:tcPr>
          <w:p>
            <w:pPr>
              <w:jc w:val="center"/>
              <w:ind w:left="104"/>
              <w:spacing w:after="0"/>
              <w:rPr>
                <w:sz w:val="20"/>
                <w:szCs w:val="20"/>
                <w:color w:val="auto"/>
              </w:rPr>
            </w:pPr>
            <w:r>
              <w:rPr>
                <w:rFonts w:ascii="Times New Roman" w:cs="Times New Roman" w:eastAsia="Times New Roman" w:hAnsi="Times New Roman"/>
                <w:sz w:val="20"/>
                <w:szCs w:val="20"/>
                <w:color w:val="auto"/>
                <w:w w:val="99"/>
              </w:rPr>
              <w:t>$</w:t>
            </w: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31"/>
        </w:trPr>
        <w:tc>
          <w:tcPr>
            <w:tcW w:w="6920" w:type="dxa"/>
            <w:vAlign w:val="bottom"/>
            <w:shd w:val="clear" w:color="auto" w:fill="CCEEFF"/>
          </w:tcPr>
          <w:p>
            <w:pPr>
              <w:spacing w:after="0" w:line="220" w:lineRule="exact"/>
              <w:rPr>
                <w:sz w:val="20"/>
                <w:szCs w:val="20"/>
                <w:color w:val="auto"/>
              </w:rPr>
            </w:pPr>
            <w:r>
              <w:rPr>
                <w:rFonts w:ascii="Times New Roman" w:cs="Times New Roman" w:eastAsia="Times New Roman" w:hAnsi="Times New Roman"/>
                <w:sz w:val="20"/>
                <w:szCs w:val="20"/>
                <w:color w:val="auto"/>
              </w:rPr>
              <w:t>Total</w:t>
            </w:r>
          </w:p>
        </w:tc>
        <w:tc>
          <w:tcPr>
            <w:tcW w:w="120" w:type="dxa"/>
            <w:vAlign w:val="bottom"/>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tcBorders>
              <w:bottom w:val="single" w:sz="8" w:color="auto"/>
            </w:tcBorders>
            <w:shd w:val="clear" w:color="auto" w:fill="CCEEFF"/>
          </w:tcPr>
          <w:p>
            <w:pPr>
              <w:jc w:val="right"/>
              <w:spacing w:after="0" w:line="221" w:lineRule="exact"/>
              <w:rPr>
                <w:sz w:val="20"/>
                <w:szCs w:val="20"/>
                <w:color w:val="auto"/>
              </w:rPr>
            </w:pPr>
            <w:r>
              <w:rPr>
                <w:rFonts w:ascii="Times New Roman" w:cs="Times New Roman" w:eastAsia="Times New Roman" w:hAnsi="Times New Roman"/>
                <w:sz w:val="20"/>
                <w:szCs w:val="20"/>
                <w:b w:val="1"/>
                <w:bCs w:val="1"/>
                <w:color w:val="auto"/>
              </w:rPr>
              <w:t>1,346</w:t>
            </w:r>
          </w:p>
        </w:tc>
        <w:tc>
          <w:tcPr>
            <w:tcW w:w="340" w:type="dxa"/>
            <w:vAlign w:val="bottom"/>
            <w:gridSpan w:val="2"/>
            <w:shd w:val="clear" w:color="auto" w:fill="CCEEFF"/>
          </w:tcPr>
          <w:p>
            <w:pPr>
              <w:jc w:val="center"/>
              <w:ind w:left="104"/>
              <w:spacing w:after="0" w:line="220" w:lineRule="exact"/>
              <w:rPr>
                <w:sz w:val="20"/>
                <w:szCs w:val="20"/>
                <w:color w:val="auto"/>
              </w:rPr>
            </w:pPr>
            <w:r>
              <w:rPr>
                <w:rFonts w:ascii="Times New Roman" w:cs="Times New Roman" w:eastAsia="Times New Roman" w:hAnsi="Times New Roman"/>
                <w:sz w:val="20"/>
                <w:szCs w:val="20"/>
                <w:color w:val="auto"/>
                <w:w w:val="99"/>
              </w:rPr>
              <w:t>$</w:t>
            </w:r>
          </w:p>
        </w:tc>
        <w:tc>
          <w:tcPr>
            <w:tcW w:w="24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line="221" w:lineRule="exact"/>
              <w:rPr>
                <w:sz w:val="20"/>
                <w:szCs w:val="20"/>
                <w:color w:val="auto"/>
              </w:rPr>
            </w:pPr>
            <w:r>
              <w:rPr>
                <w:rFonts w:ascii="Times New Roman" w:cs="Times New Roman" w:eastAsia="Times New Roman" w:hAnsi="Times New Roman"/>
                <w:sz w:val="20"/>
                <w:szCs w:val="20"/>
                <w:b w:val="1"/>
                <w:bCs w:val="1"/>
                <w:color w:val="auto"/>
              </w:rPr>
              <w:t>1,210</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106045</wp:posOffset>
                </wp:positionV>
                <wp:extent cx="1488440" cy="0"/>
                <wp:wrapNone/>
                <wp:docPr id="271" name="Shape 2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88440" cy="4763"/>
                        </a:xfrm>
                        <a:prstGeom prst="line">
                          <a:avLst/>
                        </a:prstGeom>
                        <a:solidFill>
                          <a:srgbClr val="FFFFFF"/>
                        </a:solidFill>
                        <a:ln w="12065">
                          <a:solidFill>
                            <a:srgbClr val="000000"/>
                          </a:solidFill>
                          <a:miter lim="800000"/>
                          <a:headEnd/>
                          <a:tailEnd/>
                        </a:ln>
                      </wps:spPr>
                      <wps:bodyPr/>
                    </wps:wsp>
                  </a:graphicData>
                </a:graphic>
              </wp:anchor>
            </w:drawing>
          </mc:Choice>
          <mc:Fallback>
            <w:pict>
              <v:line id="Shape 271" o:spid="_x0000_s12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8.35pt" to="117.5pt,8.35pt" o:allowincell="f" strokecolor="#000000" strokeweight="0.95pt"/>
            </w:pict>
          </mc:Fallback>
        </mc:AlternateContent>
      </w:r>
    </w:p>
    <w:p>
      <w:pPr>
        <w:spacing w:after="0" w:line="192" w:lineRule="exact"/>
        <w:rPr>
          <w:sz w:val="20"/>
          <w:szCs w:val="20"/>
          <w:color w:val="auto"/>
        </w:rPr>
      </w:pPr>
    </w:p>
    <w:p>
      <w:pPr>
        <w:ind w:left="360" w:right="260" w:hanging="353"/>
        <w:spacing w:after="0" w:line="239" w:lineRule="auto"/>
        <w:tabs>
          <w:tab w:leader="none" w:pos="360"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EDAP TMS S.A. is a company incorporated in France, a substantial portion of the audit fees are denominated in euros and have been translated into U.S. dollars using the average exchange rate for the period.</w:t>
      </w:r>
    </w:p>
    <w:p>
      <w:pPr>
        <w:ind w:left="360" w:right="40" w:hanging="353"/>
        <w:spacing w:after="0"/>
        <w:tabs>
          <w:tab w:leader="none" w:pos="360"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“Audit Fees” are the aggregate fees for the audit of our consolidated financial statements (including statutory financial statements for EDAP TMS S.A. and other consolidated entities, both French and foreign). This category also includes services relating to (i) procedures performed on internal controls in accordance with Section 404 of the Sarbanes-Oxley Act for FY2024 and (ii) other services that are generally provided by the independent accountant, such as consents and assistance with and review of documents filed with the SEC.</w:t>
      </w:r>
    </w:p>
    <w:p>
      <w:pPr>
        <w:ind w:left="360" w:right="260" w:hanging="353"/>
        <w:spacing w:after="0" w:line="239" w:lineRule="auto"/>
        <w:tabs>
          <w:tab w:leader="none" w:pos="360"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“Audit-Related Fees” are the aggregate fees for assurance and related services reasonably related to the performance of the audit and not reported under Audit Fees. This includes fees related to assurance services on corporate social responsibility reporting requirement, as required under the French Commercial Code, and assurance services for the issuance of a report on compliance with bank covenants.</w:t>
      </w:r>
    </w:p>
    <w:p>
      <w:pPr>
        <w:spacing w:after="0" w:line="2" w:lineRule="exact"/>
        <w:rPr>
          <w:rFonts w:ascii="Times New Roman" w:cs="Times New Roman" w:eastAsia="Times New Roman" w:hAnsi="Times New Roman"/>
          <w:sz w:val="16"/>
          <w:szCs w:val="16"/>
          <w:color w:val="auto"/>
        </w:rPr>
      </w:pPr>
    </w:p>
    <w:p>
      <w:pPr>
        <w:ind w:left="360" w:right="400" w:hanging="353"/>
        <w:spacing w:after="0" w:line="241" w:lineRule="auto"/>
        <w:tabs>
          <w:tab w:leader="none" w:pos="360"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“Tax Fees” are the aggregate fees for professional services rendered by the principal accountant for tax compliance, tax advice and tax planning related services.</w:t>
      </w:r>
    </w:p>
    <w:p>
      <w:pPr>
        <w:ind w:left="360" w:hanging="353"/>
        <w:spacing w:after="0"/>
        <w:tabs>
          <w:tab w:leader="none" w:pos="360"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Other Fees” are any additional amounts for products and services provided by the principal accountant.</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audit committee approved all audit and non-audit services provided by our independent accountant.</w:t>
      </w:r>
    </w:p>
    <w:p>
      <w:pPr>
        <w:sectPr>
          <w:pgSz w:w="11900" w:h="16838" w:orient="portrait"/>
          <w:cols w:equalWidth="0" w:num="1">
            <w:col w:w="9380"/>
          </w:cols>
          <w:pgMar w:left="1260" w:top="1243" w:right="1266" w:bottom="72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72</w:t>
      </w:r>
    </w:p>
    <w:p>
      <w:pPr>
        <w:sectPr>
          <w:pgSz w:w="11900" w:h="16838" w:orient="portrait"/>
          <w:cols w:equalWidth="0" w:num="1">
            <w:col w:w="9380"/>
          </w:cols>
          <w:pgMar w:left="1260" w:top="1243" w:right="1266" w:bottom="723" w:gutter="0" w:footer="0" w:header="0"/>
          <w:type w:val="continuous"/>
        </w:sectPr>
      </w:pPr>
    </w:p>
    <w:bookmarkStart w:id="126" w:name="page127"/>
    <w:bookmarkEnd w:id="126"/>
    <w:p>
      <w:pPr>
        <w:jc w:val="center"/>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795655</wp:posOffset>
            </wp:positionH>
            <wp:positionV relativeFrom="page">
              <wp:posOffset>292735</wp:posOffset>
            </wp:positionV>
            <wp:extent cx="929005" cy="1149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167">
                      <a:extLst>
                        <a:ext uri="{28A0092B-C50C-407E-A947-70E740481C1C}"/>
                      </a:extLst>
                    </a:blip>
                    <a:srcRect/>
                    <a:stretch>
                      <a:fillRect/>
                    </a:stretch>
                  </pic:blipFill>
                  <pic:spPr bwMode="auto">
                    <a:xfrm>
                      <a:off x="0" y="0"/>
                      <a:ext cx="929005" cy="114935"/>
                    </a:xfrm>
                    <a:prstGeom prst="rect">
                      <a:avLst/>
                    </a:prstGeom>
                    <a:noFill/>
                  </pic:spPr>
                </pic:pic>
              </a:graphicData>
            </a:graphic>
          </wp:anchor>
        </w:drawing>
        <w:t>PART IV</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15. Exhibits, Financial Statement Schedules.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documents are filed as part of this report:</w:t>
      </w:r>
    </w:p>
    <w:p>
      <w:pPr>
        <w:spacing w:after="0" w:line="197" w:lineRule="exact"/>
        <w:rPr>
          <w:sz w:val="20"/>
          <w:szCs w:val="20"/>
          <w:color w:val="auto"/>
        </w:rPr>
      </w:pPr>
    </w:p>
    <w:p>
      <w:pPr>
        <w:ind w:left="1440" w:hanging="713"/>
        <w:spacing w:after="0"/>
        <w:tabs>
          <w:tab w:leader="none" w:pos="1440" w:val="left"/>
        </w:tabs>
        <w:numPr>
          <w:ilvl w:val="0"/>
          <w:numId w:val="7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Financial Statements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Reference is made to the financial statements included in Item 8 of Part II hereof.</w:t>
      </w:r>
    </w:p>
    <w:p>
      <w:pPr>
        <w:spacing w:after="0" w:line="197" w:lineRule="exact"/>
        <w:rPr>
          <w:sz w:val="20"/>
          <w:szCs w:val="20"/>
          <w:color w:val="auto"/>
        </w:rPr>
      </w:pPr>
    </w:p>
    <w:p>
      <w:pPr>
        <w:ind w:left="1440" w:hanging="713"/>
        <w:spacing w:after="0"/>
        <w:tabs>
          <w:tab w:leader="none" w:pos="1440" w:val="left"/>
        </w:tabs>
        <w:numPr>
          <w:ilvl w:val="0"/>
          <w:numId w:val="7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Financial Statement Schedules</w:t>
      </w:r>
    </w:p>
    <w:p>
      <w:pPr>
        <w:spacing w:after="0" w:line="203" w:lineRule="exact"/>
        <w:rPr>
          <w:sz w:val="20"/>
          <w:szCs w:val="20"/>
          <w:color w:val="auto"/>
        </w:rPr>
      </w:pPr>
    </w:p>
    <w:p>
      <w:pPr>
        <w:ind w:right="740" w:firstLine="50"/>
        <w:spacing w:after="0" w:line="279" w:lineRule="auto"/>
        <w:rPr>
          <w:sz w:val="20"/>
          <w:szCs w:val="20"/>
          <w:color w:val="auto"/>
        </w:rPr>
      </w:pPr>
      <w:r>
        <w:rPr>
          <w:rFonts w:ascii="Times New Roman" w:cs="Times New Roman" w:eastAsia="Times New Roman" w:hAnsi="Times New Roman"/>
          <w:sz w:val="20"/>
          <w:szCs w:val="20"/>
          <w:color w:val="auto"/>
        </w:rPr>
        <w:t>All of the schedules are omitted because they are not required or the required information is included in the financial statements or notes thereto.</w:t>
      </w:r>
    </w:p>
    <w:p>
      <w:pPr>
        <w:spacing w:after="0" w:line="122" w:lineRule="exact"/>
        <w:rPr>
          <w:sz w:val="20"/>
          <w:szCs w:val="20"/>
          <w:color w:val="auto"/>
        </w:rPr>
      </w:pPr>
    </w:p>
    <w:p>
      <w:pPr>
        <w:ind w:left="1440" w:hanging="713"/>
        <w:spacing w:after="0"/>
        <w:tabs>
          <w:tab w:leader="none" w:pos="1440" w:val="left"/>
        </w:tabs>
        <w:numPr>
          <w:ilvl w:val="0"/>
          <w:numId w:val="8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Exhibits</w:t>
      </w:r>
    </w:p>
    <w:p>
      <w:pPr>
        <w:spacing w:after="0" w:line="203" w:lineRule="exact"/>
        <w:rPr>
          <w:sz w:val="20"/>
          <w:szCs w:val="20"/>
          <w:color w:val="auto"/>
        </w:rPr>
      </w:pPr>
    </w:p>
    <w:p>
      <w:pPr>
        <w:ind w:right="800"/>
        <w:spacing w:after="0" w:line="279" w:lineRule="auto"/>
        <w:rPr>
          <w:sz w:val="20"/>
          <w:szCs w:val="20"/>
          <w:color w:val="auto"/>
        </w:rPr>
      </w:pPr>
      <w:r>
        <w:rPr>
          <w:rFonts w:ascii="Times New Roman" w:cs="Times New Roman" w:eastAsia="Times New Roman" w:hAnsi="Times New Roman"/>
          <w:sz w:val="20"/>
          <w:szCs w:val="20"/>
          <w:color w:val="auto"/>
        </w:rPr>
        <w:t>The exhibits filed or furnished as part of this Annual Report on Form 10-K are those listed in the following Exhibit Index.</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EXHIBIT INDEX</w:t>
      </w:r>
    </w:p>
    <w:p>
      <w:pPr>
        <w:sectPr>
          <w:pgSz w:w="11900" w:h="16838" w:orient="portrait"/>
          <w:cols w:equalWidth="0" w:num="1">
            <w:col w:w="9380"/>
          </w:cols>
          <w:pgMar w:left="1260" w:top="1243" w:right="1266" w:bottom="723" w:gutter="0" w:footer="0" w:header="0"/>
        </w:sectPr>
      </w:pP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Exhibit No.</w:t>
            </w:r>
          </w:p>
        </w:tc>
        <w:tc>
          <w:tcPr>
            <w:tcW w:w="14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4320" w:type="dxa"/>
            <w:vAlign w:val="bottom"/>
            <w:tcBorders>
              <w:bottom w:val="single" w:sz="8" w:color="auto"/>
            </w:tcBorders>
          </w:tcPr>
          <w:p>
            <w:pPr>
              <w:ind w:left="1280"/>
              <w:spacing w:after="0"/>
              <w:rPr>
                <w:sz w:val="20"/>
                <w:szCs w:val="20"/>
                <w:color w:val="auto"/>
              </w:rPr>
            </w:pPr>
            <w:r>
              <w:rPr>
                <w:rFonts w:ascii="Times New Roman" w:cs="Times New Roman" w:eastAsia="Times New Roman" w:hAnsi="Times New Roman"/>
                <w:sz w:val="16"/>
                <w:szCs w:val="16"/>
                <w:b w:val="1"/>
                <w:bCs w:val="1"/>
                <w:color w:val="auto"/>
              </w:rPr>
              <w:t>Exhibit Description</w:t>
            </w:r>
          </w:p>
        </w:tc>
      </w:tr>
      <w:tr>
        <w:trPr>
          <w:trHeight w:val="210"/>
        </w:trPr>
        <w:tc>
          <w:tcPr>
            <w:tcW w:w="820" w:type="dxa"/>
            <w:vAlign w:val="bottom"/>
          </w:tcPr>
          <w:p>
            <w:pPr>
              <w:spacing w:after="0" w:line="209" w:lineRule="exact"/>
              <w:rPr>
                <w:sz w:val="20"/>
                <w:szCs w:val="20"/>
                <w:color w:val="auto"/>
              </w:rPr>
            </w:pPr>
            <w:r>
              <w:rPr>
                <w:rFonts w:ascii="Times New Roman" w:cs="Times New Roman" w:eastAsia="Times New Roman" w:hAnsi="Times New Roman"/>
                <w:sz w:val="20"/>
                <w:szCs w:val="20"/>
                <w:color w:val="auto"/>
              </w:rPr>
              <w:t>3.1</w:t>
            </w:r>
          </w:p>
        </w:tc>
        <w:tc>
          <w:tcPr>
            <w:tcW w:w="140" w:type="dxa"/>
            <w:vAlign w:val="bottom"/>
          </w:tcPr>
          <w:p>
            <w:pPr>
              <w:spacing w:after="0"/>
              <w:rPr>
                <w:sz w:val="18"/>
                <w:szCs w:val="18"/>
                <w:color w:val="auto"/>
              </w:rPr>
            </w:pPr>
          </w:p>
        </w:tc>
        <w:tc>
          <w:tcPr>
            <w:tcW w:w="4760" w:type="dxa"/>
            <w:vAlign w:val="bottom"/>
            <w:gridSpan w:val="2"/>
          </w:tcPr>
          <w:p>
            <w:pPr>
              <w:spacing w:after="0" w:line="209" w:lineRule="exact"/>
              <w:rPr>
                <w:sz w:val="20"/>
                <w:szCs w:val="20"/>
                <w:color w:val="auto"/>
              </w:rPr>
            </w:pPr>
            <w:r>
              <w:rPr>
                <w:rFonts w:ascii="Times New Roman" w:cs="Times New Roman" w:eastAsia="Times New Roman" w:hAnsi="Times New Roman"/>
                <w:sz w:val="20"/>
                <w:szCs w:val="20"/>
                <w:color w:val="auto"/>
              </w:rPr>
              <w:t>By-laws (statuts) of EDAP TMS S.A. (English translation)</w:t>
            </w:r>
          </w:p>
        </w:tc>
      </w:tr>
      <w:tr>
        <w:trPr>
          <w:trHeight w:val="267"/>
        </w:trPr>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7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as amended as of December 18, 2025.</w:t>
            </w:r>
          </w:p>
        </w:tc>
      </w:tr>
      <w:tr>
        <w:trPr>
          <w:trHeight w:val="292"/>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auto"/>
              </w:rPr>
              <w:t>4.1</w:t>
            </w:r>
          </w:p>
        </w:tc>
        <w:tc>
          <w:tcPr>
            <w:tcW w:w="140" w:type="dxa"/>
            <w:vAlign w:val="bottom"/>
          </w:tcPr>
          <w:p>
            <w:pPr>
              <w:spacing w:after="0"/>
              <w:rPr>
                <w:sz w:val="24"/>
                <w:szCs w:val="24"/>
                <w:color w:val="auto"/>
              </w:rPr>
            </w:pPr>
          </w:p>
        </w:tc>
        <w:tc>
          <w:tcPr>
            <w:tcW w:w="47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Form of Amended and Restated Depositary Agreement</w:t>
            </w:r>
          </w:p>
        </w:tc>
      </w:tr>
      <w:tr>
        <w:trPr>
          <w:trHeight w:val="230"/>
        </w:trPr>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7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between EDAP TMS S.A. and The Bank of New York</w:t>
            </w:r>
          </w:p>
        </w:tc>
      </w:tr>
      <w:tr>
        <w:trPr>
          <w:trHeight w:val="267"/>
        </w:trPr>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7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Mellon, as depositary.</w:t>
            </w:r>
          </w:p>
        </w:tc>
      </w:tr>
      <w:tr>
        <w:trPr>
          <w:trHeight w:val="294"/>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auto"/>
              </w:rPr>
              <w:t>4.2</w:t>
            </w:r>
          </w:p>
        </w:tc>
        <w:tc>
          <w:tcPr>
            <w:tcW w:w="140" w:type="dxa"/>
            <w:vAlign w:val="bottom"/>
          </w:tcPr>
          <w:p>
            <w:pPr>
              <w:spacing w:after="0"/>
              <w:rPr>
                <w:sz w:val="24"/>
                <w:szCs w:val="24"/>
                <w:color w:val="auto"/>
              </w:rPr>
            </w:pPr>
          </w:p>
        </w:tc>
        <w:tc>
          <w:tcPr>
            <w:tcW w:w="47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Form of  American  Depositary  Receipt  (included  in</w:t>
            </w:r>
          </w:p>
        </w:tc>
      </w:tr>
      <w:tr>
        <w:trPr>
          <w:trHeight w:val="267"/>
        </w:trPr>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7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Exhibit 4.1).</w:t>
            </w:r>
          </w:p>
        </w:tc>
      </w:tr>
      <w:tr>
        <w:trPr>
          <w:trHeight w:val="329"/>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auto"/>
              </w:rPr>
              <w:t>4.3</w:t>
            </w:r>
          </w:p>
        </w:tc>
        <w:tc>
          <w:tcPr>
            <w:tcW w:w="140" w:type="dxa"/>
            <w:vAlign w:val="bottom"/>
          </w:tcPr>
          <w:p>
            <w:pPr>
              <w:spacing w:after="0"/>
              <w:rPr>
                <w:sz w:val="24"/>
                <w:szCs w:val="24"/>
                <w:color w:val="auto"/>
              </w:rPr>
            </w:pPr>
          </w:p>
        </w:tc>
        <w:tc>
          <w:tcPr>
            <w:tcW w:w="47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Description of Securities.</w:t>
            </w:r>
          </w:p>
        </w:tc>
      </w:tr>
      <w:tr>
        <w:trPr>
          <w:trHeight w:val="292"/>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auto"/>
              </w:rPr>
              <w:t>10.1</w:t>
            </w:r>
          </w:p>
        </w:tc>
        <w:tc>
          <w:tcPr>
            <w:tcW w:w="140" w:type="dxa"/>
            <w:vAlign w:val="bottom"/>
          </w:tcPr>
          <w:p>
            <w:pPr>
              <w:spacing w:after="0"/>
              <w:rPr>
                <w:sz w:val="24"/>
                <w:szCs w:val="24"/>
                <w:color w:val="auto"/>
              </w:rPr>
            </w:pPr>
          </w:p>
        </w:tc>
        <w:tc>
          <w:tcPr>
            <w:tcW w:w="47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English version of Commercial Lease dated November 26,</w:t>
            </w:r>
          </w:p>
        </w:tc>
      </w:tr>
      <w:tr>
        <w:trPr>
          <w:trHeight w:val="230"/>
        </w:trPr>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7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2024, between Maison Antoine Baud and EDAP TMS</w:t>
            </w:r>
          </w:p>
        </w:tc>
      </w:tr>
      <w:tr>
        <w:trPr>
          <w:trHeight w:val="267"/>
        </w:trPr>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7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France, effective July 1, 2025.</w:t>
            </w:r>
          </w:p>
        </w:tc>
      </w:tr>
      <w:tr>
        <w:trPr>
          <w:trHeight w:val="331"/>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auto"/>
              </w:rPr>
              <w:t>10.2†</w:t>
            </w:r>
          </w:p>
        </w:tc>
        <w:tc>
          <w:tcPr>
            <w:tcW w:w="58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2016</w:t>
            </w:r>
          </w:p>
        </w:tc>
        <w:tc>
          <w:tcPr>
            <w:tcW w:w="43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Form of Stock Option Plan.</w:t>
            </w:r>
          </w:p>
        </w:tc>
      </w:tr>
      <w:tr>
        <w:trPr>
          <w:trHeight w:val="329"/>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auto"/>
              </w:rPr>
              <w:t>10.3†</w:t>
            </w:r>
          </w:p>
        </w:tc>
        <w:tc>
          <w:tcPr>
            <w:tcW w:w="58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2019</w:t>
            </w:r>
          </w:p>
        </w:tc>
        <w:tc>
          <w:tcPr>
            <w:tcW w:w="43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Form of Stock-Option Subscription Plan.</w:t>
            </w:r>
          </w:p>
        </w:tc>
      </w:tr>
      <w:tr>
        <w:trPr>
          <w:trHeight w:val="331"/>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auto"/>
              </w:rPr>
              <w:t>10.4†</w:t>
            </w:r>
          </w:p>
        </w:tc>
        <w:tc>
          <w:tcPr>
            <w:tcW w:w="58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2019</w:t>
            </w:r>
          </w:p>
        </w:tc>
        <w:tc>
          <w:tcPr>
            <w:tcW w:w="43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Form of Stock-Option Purchase Plan.</w:t>
            </w:r>
          </w:p>
        </w:tc>
      </w:tr>
      <w:tr>
        <w:trPr>
          <w:trHeight w:val="329"/>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auto"/>
              </w:rPr>
              <w:t>10.5†</w:t>
            </w:r>
          </w:p>
        </w:tc>
        <w:tc>
          <w:tcPr>
            <w:tcW w:w="58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2021</w:t>
            </w:r>
          </w:p>
        </w:tc>
        <w:tc>
          <w:tcPr>
            <w:tcW w:w="43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Form of Free Share Plan.</w:t>
            </w:r>
          </w:p>
        </w:tc>
      </w:tr>
      <w:tr>
        <w:trPr>
          <w:trHeight w:val="331"/>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auto"/>
              </w:rPr>
              <w:t>10.6†</w:t>
            </w:r>
          </w:p>
        </w:tc>
        <w:tc>
          <w:tcPr>
            <w:tcW w:w="58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2021</w:t>
            </w:r>
          </w:p>
        </w:tc>
        <w:tc>
          <w:tcPr>
            <w:tcW w:w="43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Form of Share Subscription Option Plan.</w:t>
            </w:r>
          </w:p>
        </w:tc>
      </w:tr>
      <w:tr>
        <w:trPr>
          <w:trHeight w:val="329"/>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auto"/>
              </w:rPr>
              <w:t>10.7†</w:t>
            </w:r>
          </w:p>
        </w:tc>
        <w:tc>
          <w:tcPr>
            <w:tcW w:w="58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2022</w:t>
            </w:r>
          </w:p>
        </w:tc>
        <w:tc>
          <w:tcPr>
            <w:tcW w:w="43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Form of Free Share Plan.</w:t>
            </w:r>
          </w:p>
        </w:tc>
      </w:tr>
      <w:tr>
        <w:trPr>
          <w:trHeight w:val="331"/>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auto"/>
              </w:rPr>
              <w:t>10.8†</w:t>
            </w:r>
          </w:p>
        </w:tc>
        <w:tc>
          <w:tcPr>
            <w:tcW w:w="58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2024</w:t>
            </w:r>
          </w:p>
        </w:tc>
        <w:tc>
          <w:tcPr>
            <w:tcW w:w="43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Form of Share Subscription Option Plan.</w:t>
            </w:r>
          </w:p>
        </w:tc>
      </w:tr>
      <w:tr>
        <w:trPr>
          <w:trHeight w:val="329"/>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auto"/>
              </w:rPr>
              <w:t>10.9†</w:t>
            </w:r>
          </w:p>
        </w:tc>
        <w:tc>
          <w:tcPr>
            <w:tcW w:w="58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2025</w:t>
            </w:r>
          </w:p>
        </w:tc>
        <w:tc>
          <w:tcPr>
            <w:tcW w:w="43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Restricted Stock Unit (Free Share) Plan.</w:t>
            </w:r>
          </w:p>
        </w:tc>
      </w:tr>
      <w:tr>
        <w:trPr>
          <w:trHeight w:val="331"/>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auto"/>
              </w:rPr>
              <w:t>10.10†</w:t>
            </w:r>
          </w:p>
        </w:tc>
        <w:tc>
          <w:tcPr>
            <w:tcW w:w="140" w:type="dxa"/>
            <w:vAlign w:val="bottom"/>
          </w:tcPr>
          <w:p>
            <w:pPr>
              <w:spacing w:after="0"/>
              <w:rPr>
                <w:sz w:val="24"/>
                <w:szCs w:val="24"/>
                <w:color w:val="auto"/>
              </w:rPr>
            </w:pPr>
          </w:p>
        </w:tc>
        <w:tc>
          <w:tcPr>
            <w:tcW w:w="47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2025-2 Restricted Stock Unit (Free Share) Plan.</w:t>
            </w:r>
          </w:p>
        </w:tc>
      </w:tr>
      <w:tr>
        <w:trPr>
          <w:trHeight w:val="329"/>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auto"/>
              </w:rPr>
              <w:t>10.11†</w:t>
            </w:r>
          </w:p>
        </w:tc>
        <w:tc>
          <w:tcPr>
            <w:tcW w:w="58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2025</w:t>
            </w:r>
          </w:p>
        </w:tc>
        <w:tc>
          <w:tcPr>
            <w:tcW w:w="43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Share Subscription Option Plan.</w:t>
            </w:r>
          </w:p>
        </w:tc>
      </w:tr>
      <w:tr>
        <w:trPr>
          <w:trHeight w:val="294"/>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auto"/>
              </w:rPr>
              <w:t>10.12</w:t>
            </w:r>
          </w:p>
        </w:tc>
        <w:tc>
          <w:tcPr>
            <w:tcW w:w="140" w:type="dxa"/>
            <w:vAlign w:val="bottom"/>
          </w:tcPr>
          <w:p>
            <w:pPr>
              <w:spacing w:after="0"/>
              <w:rPr>
                <w:sz w:val="24"/>
                <w:szCs w:val="24"/>
                <w:color w:val="auto"/>
              </w:rPr>
            </w:pPr>
          </w:p>
        </w:tc>
        <w:tc>
          <w:tcPr>
            <w:tcW w:w="476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7"/>
              </w:rPr>
              <w:t>Finance Contract, dated as of October 17, 2025, between the</w:t>
            </w:r>
          </w:p>
        </w:tc>
      </w:tr>
      <w:tr>
        <w:trPr>
          <w:trHeight w:val="267"/>
        </w:trPr>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7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Company and the European Investment Bank</w:t>
            </w:r>
          </w:p>
        </w:tc>
      </w:tr>
      <w:tr>
        <w:trPr>
          <w:trHeight w:val="292"/>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auto"/>
              </w:rPr>
              <w:t>10.13</w:t>
            </w:r>
          </w:p>
        </w:tc>
        <w:tc>
          <w:tcPr>
            <w:tcW w:w="140" w:type="dxa"/>
            <w:vAlign w:val="bottom"/>
          </w:tcPr>
          <w:p>
            <w:pPr>
              <w:spacing w:after="0"/>
              <w:rPr>
                <w:sz w:val="24"/>
                <w:szCs w:val="24"/>
                <w:color w:val="auto"/>
              </w:rPr>
            </w:pPr>
          </w:p>
        </w:tc>
        <w:tc>
          <w:tcPr>
            <w:tcW w:w="476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9"/>
              </w:rPr>
              <w:t>Warrant Agreement, dated as of October 17, 2025, between</w:t>
            </w:r>
          </w:p>
        </w:tc>
      </w:tr>
      <w:tr>
        <w:trPr>
          <w:trHeight w:val="267"/>
        </w:trPr>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7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the Company and the European Investment Bank</w:t>
            </w:r>
          </w:p>
        </w:tc>
      </w:tr>
      <w:tr>
        <w:trPr>
          <w:trHeight w:val="292"/>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auto"/>
              </w:rPr>
              <w:t>10.14</w:t>
            </w:r>
          </w:p>
        </w:tc>
        <w:tc>
          <w:tcPr>
            <w:tcW w:w="140" w:type="dxa"/>
            <w:vAlign w:val="bottom"/>
          </w:tcPr>
          <w:p>
            <w:pPr>
              <w:spacing w:after="0"/>
              <w:rPr>
                <w:sz w:val="24"/>
                <w:szCs w:val="24"/>
                <w:color w:val="auto"/>
              </w:rPr>
            </w:pPr>
          </w:p>
        </w:tc>
        <w:tc>
          <w:tcPr>
            <w:tcW w:w="47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Amended and Restated Employment Agreement, dated</w:t>
            </w:r>
          </w:p>
        </w:tc>
      </w:tr>
      <w:tr>
        <w:trPr>
          <w:trHeight w:val="230"/>
        </w:trPr>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7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May 1, 2023, between EDAP Technomed Inc. and Ryan</w:t>
            </w:r>
          </w:p>
        </w:tc>
      </w:tr>
      <w:tr>
        <w:trPr>
          <w:trHeight w:val="267"/>
        </w:trPr>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7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Rhodes</w:t>
            </w:r>
          </w:p>
        </w:tc>
      </w:tr>
    </w:tbl>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Incorporated by Reference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-78740</wp:posOffset>
                </wp:positionH>
                <wp:positionV relativeFrom="paragraph">
                  <wp:posOffset>17780</wp:posOffset>
                </wp:positionV>
                <wp:extent cx="2225675" cy="0"/>
                <wp:wrapNone/>
                <wp:docPr id="273" name="Shape 2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25675" cy="4763"/>
                        </a:xfrm>
                        <a:prstGeom prst="line">
                          <a:avLst/>
                        </a:prstGeom>
                        <a:solidFill>
                          <a:srgbClr val="FFFFFF"/>
                        </a:solidFill>
                        <a:ln w="12179">
                          <a:solidFill>
                            <a:srgbClr val="000000"/>
                          </a:solidFill>
                          <a:miter lim="800000"/>
                          <a:headEnd/>
                          <a:tailEnd/>
                        </a:ln>
                      </wps:spPr>
                      <wps:bodyPr/>
                    </wps:wsp>
                  </a:graphicData>
                </a:graphic>
              </wp:anchor>
            </w:drawing>
          </mc:Choice>
          <mc:Fallback>
            <w:pict>
              <v:line id="Shape 273" o:spid="_x0000_s129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1999pt,1.4pt" to="169.05pt,1.4pt" o:allowincell="f" strokecolor="#000000" strokeweight="0.959pt"/>
            </w:pict>
          </mc:Fallback>
        </mc:AlternateContent>
      </w:r>
    </w:p>
    <w:p>
      <w:pPr>
        <w:spacing w:after="0" w:line="17" w:lineRule="exact"/>
        <w:rPr>
          <w:sz w:val="20"/>
          <w:szCs w:val="20"/>
          <w:color w:val="auto"/>
        </w:rPr>
      </w:pPr>
    </w:p>
    <w:p>
      <w:pPr>
        <w:spacing w:after="0"/>
        <w:tabs>
          <w:tab w:leader="none" w:pos="860" w:val="left"/>
          <w:tab w:leader="none" w:pos="1780" w:val="left"/>
          <w:tab w:leader="none" w:pos="2520" w:val="left"/>
        </w:tabs>
        <w:rPr>
          <w:sz w:val="20"/>
          <w:szCs w:val="20"/>
          <w:color w:val="auto"/>
        </w:rPr>
      </w:pPr>
      <w:r>
        <w:rPr>
          <w:rFonts w:ascii="Times New Roman" w:cs="Times New Roman" w:eastAsia="Times New Roman" w:hAnsi="Times New Roman"/>
          <w:sz w:val="16"/>
          <w:szCs w:val="16"/>
          <w:b w:val="1"/>
          <w:bCs w:val="1"/>
          <w:color w:val="auto"/>
        </w:rPr>
        <w:t>Form</w:t>
      </w:r>
      <w:r>
        <w:rPr>
          <w:sz w:val="20"/>
          <w:szCs w:val="20"/>
          <w:color w:val="auto"/>
        </w:rPr>
        <w:tab/>
      </w:r>
      <w:r>
        <w:rPr>
          <w:rFonts w:ascii="Times New Roman" w:cs="Times New Roman" w:eastAsia="Times New Roman" w:hAnsi="Times New Roman"/>
          <w:sz w:val="16"/>
          <w:szCs w:val="16"/>
          <w:b w:val="1"/>
          <w:bCs w:val="1"/>
          <w:color w:val="auto"/>
        </w:rPr>
        <w:t>File No.</w:t>
      </w:r>
      <w:r>
        <w:rPr>
          <w:sz w:val="20"/>
          <w:szCs w:val="20"/>
          <w:color w:val="auto"/>
        </w:rPr>
        <w:tab/>
      </w:r>
      <w:r>
        <w:rPr>
          <w:rFonts w:ascii="Times New Roman" w:cs="Times New Roman" w:eastAsia="Times New Roman" w:hAnsi="Times New Roman"/>
          <w:sz w:val="16"/>
          <w:szCs w:val="16"/>
          <w:b w:val="1"/>
          <w:bCs w:val="1"/>
          <w:u w:val="single" w:color="auto"/>
          <w:color w:val="auto"/>
        </w:rPr>
        <w:t>Exhibit</w:t>
      </w:r>
      <w:r>
        <w:rPr>
          <w:sz w:val="20"/>
          <w:szCs w:val="20"/>
          <w:color w:val="auto"/>
        </w:rPr>
        <w:tab/>
      </w:r>
      <w:r>
        <w:rPr>
          <w:rFonts w:ascii="Times New Roman" w:cs="Times New Roman" w:eastAsia="Times New Roman" w:hAnsi="Times New Roman"/>
          <w:sz w:val="15"/>
          <w:szCs w:val="15"/>
          <w:b w:val="1"/>
          <w:bCs w:val="1"/>
          <w:color w:val="auto"/>
        </w:rPr>
        <w:t>Filing Date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-78740</wp:posOffset>
                </wp:positionH>
                <wp:positionV relativeFrom="paragraph">
                  <wp:posOffset>6985</wp:posOffset>
                </wp:positionV>
                <wp:extent cx="403225" cy="0"/>
                <wp:wrapNone/>
                <wp:docPr id="274" name="Shape 2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3225" cy="4763"/>
                        </a:xfrm>
                        <a:prstGeom prst="line">
                          <a:avLst/>
                        </a:prstGeom>
                        <a:solidFill>
                          <a:srgbClr val="FFFFFF"/>
                        </a:solidFill>
                        <a:ln w="12192">
                          <a:solidFill>
                            <a:srgbClr val="000000"/>
                          </a:solidFill>
                          <a:miter lim="800000"/>
                          <a:headEnd/>
                          <a:tailEnd/>
                        </a:ln>
                      </wps:spPr>
                      <wps:bodyPr/>
                    </wps:wsp>
                  </a:graphicData>
                </a:graphic>
              </wp:anchor>
            </w:drawing>
          </mc:Choice>
          <mc:Fallback>
            <w:pict>
              <v:line id="Shape 274" o:spid="_x0000_s129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1999pt,0.55pt" to="25.55pt,0.55pt" o:allowincell="f" strokecolor="#000000" strokeweight="0.96pt"/>
            </w:pict>
          </mc:Fallback>
        </mc:AlternateContent>
        <mc:AlternateContent>
          <mc:Choice Requires="wps">
            <w:drawing>
              <wp:anchor simplePos="0" relativeHeight="251657728" behindDoc="1" locked="0" layoutInCell="0" allowOverlap="1">
                <wp:simplePos x="0" y="0"/>
                <wp:positionH relativeFrom="column">
                  <wp:posOffset>426720</wp:posOffset>
                </wp:positionH>
                <wp:positionV relativeFrom="paragraph">
                  <wp:posOffset>6985</wp:posOffset>
                </wp:positionV>
                <wp:extent cx="614045" cy="0"/>
                <wp:wrapNone/>
                <wp:docPr id="275" name="Shape 2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4045" cy="4763"/>
                        </a:xfrm>
                        <a:prstGeom prst="line">
                          <a:avLst/>
                        </a:prstGeom>
                        <a:solidFill>
                          <a:srgbClr val="FFFFFF"/>
                        </a:solidFill>
                        <a:ln w="12192">
                          <a:solidFill>
                            <a:srgbClr val="000000"/>
                          </a:solidFill>
                          <a:miter lim="800000"/>
                          <a:headEnd/>
                          <a:tailEnd/>
                        </a:ln>
                      </wps:spPr>
                      <wps:bodyPr/>
                    </wps:wsp>
                  </a:graphicData>
                </a:graphic>
              </wp:anchor>
            </w:drawing>
          </mc:Choice>
          <mc:Fallback>
            <w:pict>
              <v:line id="Shape 275" o:spid="_x0000_s130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6pt,0.55pt" to="81.95pt,0.55pt" o:allowincell="f" strokecolor="#000000" strokeweight="0.96pt"/>
            </w:pict>
          </mc:Fallback>
        </mc:AlternateContent>
        <mc:AlternateContent>
          <mc:Choice Requires="wps">
            <w:drawing>
              <wp:anchor simplePos="0" relativeHeight="251657728" behindDoc="1" locked="0" layoutInCell="0" allowOverlap="1">
                <wp:simplePos x="0" y="0"/>
                <wp:positionH relativeFrom="column">
                  <wp:posOffset>1566545</wp:posOffset>
                </wp:positionH>
                <wp:positionV relativeFrom="paragraph">
                  <wp:posOffset>6985</wp:posOffset>
                </wp:positionV>
                <wp:extent cx="580390" cy="0"/>
                <wp:wrapNone/>
                <wp:docPr id="276" name="Shape 2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0390" cy="4763"/>
                        </a:xfrm>
                        <a:prstGeom prst="line">
                          <a:avLst/>
                        </a:prstGeom>
                        <a:solidFill>
                          <a:srgbClr val="FFFFFF"/>
                        </a:solidFill>
                        <a:ln w="12192">
                          <a:solidFill>
                            <a:srgbClr val="000000"/>
                          </a:solidFill>
                          <a:miter lim="800000"/>
                          <a:headEnd/>
                          <a:tailEnd/>
                        </a:ln>
                      </wps:spPr>
                      <wps:bodyPr/>
                    </wps:wsp>
                  </a:graphicData>
                </a:graphic>
              </wp:anchor>
            </w:drawing>
          </mc:Choice>
          <mc:Fallback>
            <w:pict>
              <v:line id="Shape 276" o:spid="_x0000_s130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3.35pt,0.55pt" to="169.05pt,0.55pt" o:allowincell="f" strokecolor="#000000" strokeweight="0.96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60"/>
        <w:spacing w:after="0"/>
        <w:tabs>
          <w:tab w:leader="none" w:pos="660" w:val="left"/>
          <w:tab w:leader="none" w:pos="1900" w:val="left"/>
          <w:tab w:leader="none" w:pos="2440" w:val="left"/>
        </w:tabs>
        <w:rPr>
          <w:sz w:val="20"/>
          <w:szCs w:val="20"/>
          <w:color w:val="auto"/>
        </w:rPr>
      </w:pPr>
      <w:r>
        <w:rPr>
          <w:rFonts w:ascii="Times New Roman" w:cs="Times New Roman" w:eastAsia="Times New Roman" w:hAnsi="Times New Roman"/>
          <w:sz w:val="20"/>
          <w:szCs w:val="20"/>
          <w:color w:val="auto"/>
        </w:rPr>
        <w:t>F-6</w:t>
      </w:r>
      <w:r>
        <w:rPr>
          <w:sz w:val="20"/>
          <w:szCs w:val="20"/>
          <w:color w:val="auto"/>
        </w:rPr>
        <w:tab/>
      </w:r>
      <w:r>
        <w:rPr>
          <w:rFonts w:ascii="Times New Roman" w:cs="Times New Roman" w:eastAsia="Times New Roman" w:hAnsi="Times New Roman"/>
          <w:sz w:val="20"/>
          <w:szCs w:val="20"/>
          <w:color w:val="auto"/>
        </w:rPr>
        <w:t>333-176843</w:t>
        <w:tab/>
        <w:t>1.2</w:t>
        <w:tab/>
        <w:t>09/15/2011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520" w:type="dxa"/>
            <w:vAlign w:val="bottom"/>
          </w:tcPr>
          <w:p>
            <w:pPr>
              <w:jc w:val="center"/>
              <w:ind w:right="40"/>
              <w:spacing w:after="0"/>
              <w:rPr>
                <w:sz w:val="20"/>
                <w:szCs w:val="20"/>
                <w:color w:val="auto"/>
              </w:rPr>
            </w:pPr>
            <w:r>
              <w:rPr>
                <w:rFonts w:ascii="Times New Roman" w:cs="Times New Roman" w:eastAsia="Times New Roman" w:hAnsi="Times New Roman"/>
                <w:sz w:val="20"/>
                <w:szCs w:val="20"/>
                <w:color w:val="auto"/>
              </w:rPr>
              <w:t>20-F</w:t>
            </w:r>
          </w:p>
        </w:tc>
        <w:tc>
          <w:tcPr>
            <w:tcW w:w="12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000-29374</w:t>
            </w:r>
          </w:p>
        </w:tc>
        <w:tc>
          <w:tcPr>
            <w:tcW w:w="5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4.1</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03/27/2025</w:t>
            </w:r>
          </w:p>
        </w:tc>
      </w:tr>
      <w:tr>
        <w:trPr>
          <w:trHeight w:val="559"/>
        </w:trPr>
        <w:tc>
          <w:tcPr>
            <w:tcW w:w="520" w:type="dxa"/>
            <w:vAlign w:val="bottom"/>
          </w:tcPr>
          <w:p>
            <w:pPr>
              <w:jc w:val="center"/>
              <w:ind w:right="20"/>
              <w:spacing w:after="0"/>
              <w:rPr>
                <w:sz w:val="20"/>
                <w:szCs w:val="20"/>
                <w:color w:val="auto"/>
              </w:rPr>
            </w:pPr>
            <w:r>
              <w:rPr>
                <w:rFonts w:ascii="Times New Roman" w:cs="Times New Roman" w:eastAsia="Times New Roman" w:hAnsi="Times New Roman"/>
                <w:sz w:val="20"/>
                <w:szCs w:val="20"/>
                <w:color w:val="auto"/>
              </w:rPr>
              <w:t>S-8</w:t>
            </w:r>
          </w:p>
        </w:tc>
        <w:tc>
          <w:tcPr>
            <w:tcW w:w="12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333-217160</w:t>
            </w:r>
          </w:p>
        </w:tc>
        <w:tc>
          <w:tcPr>
            <w:tcW w:w="5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4.2</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04/05/2017</w:t>
            </w:r>
          </w:p>
        </w:tc>
      </w:tr>
      <w:tr>
        <w:trPr>
          <w:trHeight w:val="329"/>
        </w:trPr>
        <w:tc>
          <w:tcPr>
            <w:tcW w:w="520" w:type="dxa"/>
            <w:vAlign w:val="bottom"/>
          </w:tcPr>
          <w:p>
            <w:pPr>
              <w:jc w:val="center"/>
              <w:ind w:right="20"/>
              <w:spacing w:after="0"/>
              <w:rPr>
                <w:sz w:val="20"/>
                <w:szCs w:val="20"/>
                <w:color w:val="auto"/>
              </w:rPr>
            </w:pPr>
            <w:r>
              <w:rPr>
                <w:rFonts w:ascii="Times New Roman" w:cs="Times New Roman" w:eastAsia="Times New Roman" w:hAnsi="Times New Roman"/>
                <w:sz w:val="20"/>
                <w:szCs w:val="20"/>
                <w:color w:val="auto"/>
              </w:rPr>
              <w:t>S-8</w:t>
            </w:r>
          </w:p>
        </w:tc>
        <w:tc>
          <w:tcPr>
            <w:tcW w:w="12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333-257142</w:t>
            </w:r>
          </w:p>
        </w:tc>
        <w:tc>
          <w:tcPr>
            <w:tcW w:w="5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4.2</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06/16/2021</w:t>
            </w:r>
          </w:p>
        </w:tc>
      </w:tr>
      <w:tr>
        <w:trPr>
          <w:trHeight w:val="331"/>
        </w:trPr>
        <w:tc>
          <w:tcPr>
            <w:tcW w:w="520" w:type="dxa"/>
            <w:vAlign w:val="bottom"/>
          </w:tcPr>
          <w:p>
            <w:pPr>
              <w:jc w:val="center"/>
              <w:ind w:right="20"/>
              <w:spacing w:after="0"/>
              <w:rPr>
                <w:sz w:val="20"/>
                <w:szCs w:val="20"/>
                <w:color w:val="auto"/>
              </w:rPr>
            </w:pPr>
            <w:r>
              <w:rPr>
                <w:rFonts w:ascii="Times New Roman" w:cs="Times New Roman" w:eastAsia="Times New Roman" w:hAnsi="Times New Roman"/>
                <w:sz w:val="20"/>
                <w:szCs w:val="20"/>
                <w:color w:val="auto"/>
              </w:rPr>
              <w:t>S-8</w:t>
            </w:r>
          </w:p>
        </w:tc>
        <w:tc>
          <w:tcPr>
            <w:tcW w:w="12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333-257142</w:t>
            </w:r>
          </w:p>
        </w:tc>
        <w:tc>
          <w:tcPr>
            <w:tcW w:w="5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4.3</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06/16/2021</w:t>
            </w:r>
          </w:p>
        </w:tc>
      </w:tr>
      <w:tr>
        <w:trPr>
          <w:trHeight w:val="329"/>
        </w:trPr>
        <w:tc>
          <w:tcPr>
            <w:tcW w:w="520" w:type="dxa"/>
            <w:vAlign w:val="bottom"/>
          </w:tcPr>
          <w:p>
            <w:pPr>
              <w:jc w:val="center"/>
              <w:ind w:right="20"/>
              <w:spacing w:after="0"/>
              <w:rPr>
                <w:sz w:val="20"/>
                <w:szCs w:val="20"/>
                <w:color w:val="auto"/>
              </w:rPr>
            </w:pPr>
            <w:r>
              <w:rPr>
                <w:rFonts w:ascii="Times New Roman" w:cs="Times New Roman" w:eastAsia="Times New Roman" w:hAnsi="Times New Roman"/>
                <w:sz w:val="20"/>
                <w:szCs w:val="20"/>
                <w:color w:val="auto"/>
              </w:rPr>
              <w:t>S-8</w:t>
            </w:r>
          </w:p>
        </w:tc>
        <w:tc>
          <w:tcPr>
            <w:tcW w:w="12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333-259857</w:t>
            </w:r>
          </w:p>
        </w:tc>
        <w:tc>
          <w:tcPr>
            <w:tcW w:w="5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4.2</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09/28/2021</w:t>
            </w:r>
          </w:p>
        </w:tc>
      </w:tr>
      <w:tr>
        <w:trPr>
          <w:trHeight w:val="331"/>
        </w:trPr>
        <w:tc>
          <w:tcPr>
            <w:tcW w:w="520" w:type="dxa"/>
            <w:vAlign w:val="bottom"/>
          </w:tcPr>
          <w:p>
            <w:pPr>
              <w:jc w:val="center"/>
              <w:ind w:right="20"/>
              <w:spacing w:after="0"/>
              <w:rPr>
                <w:sz w:val="20"/>
                <w:szCs w:val="20"/>
                <w:color w:val="auto"/>
              </w:rPr>
            </w:pPr>
            <w:r>
              <w:rPr>
                <w:rFonts w:ascii="Times New Roman" w:cs="Times New Roman" w:eastAsia="Times New Roman" w:hAnsi="Times New Roman"/>
                <w:sz w:val="20"/>
                <w:szCs w:val="20"/>
                <w:color w:val="auto"/>
              </w:rPr>
              <w:t>S-8</w:t>
            </w:r>
          </w:p>
        </w:tc>
        <w:tc>
          <w:tcPr>
            <w:tcW w:w="12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333-261182</w:t>
            </w:r>
          </w:p>
        </w:tc>
        <w:tc>
          <w:tcPr>
            <w:tcW w:w="5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4.2</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11/18/2021</w:t>
            </w:r>
          </w:p>
        </w:tc>
      </w:tr>
      <w:tr>
        <w:trPr>
          <w:trHeight w:val="329"/>
        </w:trPr>
        <w:tc>
          <w:tcPr>
            <w:tcW w:w="520" w:type="dxa"/>
            <w:vAlign w:val="bottom"/>
          </w:tcPr>
          <w:p>
            <w:pPr>
              <w:jc w:val="center"/>
              <w:ind w:right="20"/>
              <w:spacing w:after="0"/>
              <w:rPr>
                <w:sz w:val="20"/>
                <w:szCs w:val="20"/>
                <w:color w:val="auto"/>
              </w:rPr>
            </w:pPr>
            <w:r>
              <w:rPr>
                <w:rFonts w:ascii="Times New Roman" w:cs="Times New Roman" w:eastAsia="Times New Roman" w:hAnsi="Times New Roman"/>
                <w:sz w:val="20"/>
                <w:szCs w:val="20"/>
                <w:color w:val="auto"/>
              </w:rPr>
              <w:t>S-8</w:t>
            </w:r>
          </w:p>
        </w:tc>
        <w:tc>
          <w:tcPr>
            <w:tcW w:w="12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333-268265</w:t>
            </w:r>
          </w:p>
        </w:tc>
        <w:tc>
          <w:tcPr>
            <w:tcW w:w="5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4.2</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11/09/2022</w:t>
            </w:r>
          </w:p>
        </w:tc>
      </w:tr>
      <w:tr>
        <w:trPr>
          <w:trHeight w:val="331"/>
        </w:trPr>
        <w:tc>
          <w:tcPr>
            <w:tcW w:w="520" w:type="dxa"/>
            <w:vAlign w:val="bottom"/>
          </w:tcPr>
          <w:p>
            <w:pPr>
              <w:jc w:val="center"/>
              <w:ind w:right="20"/>
              <w:spacing w:after="0"/>
              <w:rPr>
                <w:sz w:val="20"/>
                <w:szCs w:val="20"/>
                <w:color w:val="auto"/>
              </w:rPr>
            </w:pPr>
            <w:r>
              <w:rPr>
                <w:rFonts w:ascii="Times New Roman" w:cs="Times New Roman" w:eastAsia="Times New Roman" w:hAnsi="Times New Roman"/>
                <w:sz w:val="20"/>
                <w:szCs w:val="20"/>
                <w:color w:val="auto"/>
              </w:rPr>
              <w:t>S-8</w:t>
            </w:r>
          </w:p>
        </w:tc>
        <w:tc>
          <w:tcPr>
            <w:tcW w:w="12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333-281720</w:t>
            </w:r>
          </w:p>
        </w:tc>
        <w:tc>
          <w:tcPr>
            <w:tcW w:w="5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4.2</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08/22/2024</w:t>
            </w:r>
          </w:p>
        </w:tc>
      </w:tr>
      <w:tr>
        <w:trPr>
          <w:trHeight w:val="329"/>
        </w:trPr>
        <w:tc>
          <w:tcPr>
            <w:tcW w:w="520" w:type="dxa"/>
            <w:vAlign w:val="bottom"/>
          </w:tcPr>
          <w:p>
            <w:pPr>
              <w:jc w:val="center"/>
              <w:ind w:right="20"/>
              <w:spacing w:after="0"/>
              <w:rPr>
                <w:sz w:val="20"/>
                <w:szCs w:val="20"/>
                <w:color w:val="auto"/>
              </w:rPr>
            </w:pPr>
            <w:r>
              <w:rPr>
                <w:rFonts w:ascii="Times New Roman" w:cs="Times New Roman" w:eastAsia="Times New Roman" w:hAnsi="Times New Roman"/>
                <w:sz w:val="20"/>
                <w:szCs w:val="20"/>
                <w:color w:val="auto"/>
              </w:rPr>
              <w:t>S-8</w:t>
            </w:r>
          </w:p>
        </w:tc>
        <w:tc>
          <w:tcPr>
            <w:tcW w:w="12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333-287270</w:t>
            </w:r>
          </w:p>
        </w:tc>
        <w:tc>
          <w:tcPr>
            <w:tcW w:w="5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4.2</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05/14/2025</w:t>
            </w:r>
          </w:p>
        </w:tc>
      </w:tr>
      <w:tr>
        <w:trPr>
          <w:trHeight w:val="331"/>
        </w:trPr>
        <w:tc>
          <w:tcPr>
            <w:tcW w:w="520" w:type="dxa"/>
            <w:vAlign w:val="bottom"/>
          </w:tcPr>
          <w:p>
            <w:pPr>
              <w:jc w:val="center"/>
              <w:ind w:right="20"/>
              <w:spacing w:after="0"/>
              <w:rPr>
                <w:sz w:val="20"/>
                <w:szCs w:val="20"/>
                <w:color w:val="auto"/>
              </w:rPr>
            </w:pPr>
            <w:r>
              <w:rPr>
                <w:rFonts w:ascii="Times New Roman" w:cs="Times New Roman" w:eastAsia="Times New Roman" w:hAnsi="Times New Roman"/>
                <w:sz w:val="20"/>
                <w:szCs w:val="20"/>
                <w:color w:val="auto"/>
              </w:rPr>
              <w:t>S-8</w:t>
            </w:r>
          </w:p>
        </w:tc>
        <w:tc>
          <w:tcPr>
            <w:tcW w:w="12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333-290632</w:t>
            </w:r>
          </w:p>
        </w:tc>
        <w:tc>
          <w:tcPr>
            <w:tcW w:w="5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4.2</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09/30/2025</w:t>
            </w:r>
          </w:p>
        </w:tc>
      </w:tr>
      <w:tr>
        <w:trPr>
          <w:trHeight w:val="329"/>
        </w:trPr>
        <w:tc>
          <w:tcPr>
            <w:tcW w:w="520" w:type="dxa"/>
            <w:vAlign w:val="bottom"/>
          </w:tcPr>
          <w:p>
            <w:pPr>
              <w:jc w:val="center"/>
              <w:ind w:right="20"/>
              <w:spacing w:after="0"/>
              <w:rPr>
                <w:sz w:val="20"/>
                <w:szCs w:val="20"/>
                <w:color w:val="auto"/>
              </w:rPr>
            </w:pPr>
            <w:r>
              <w:rPr>
                <w:rFonts w:ascii="Times New Roman" w:cs="Times New Roman" w:eastAsia="Times New Roman" w:hAnsi="Times New Roman"/>
                <w:sz w:val="20"/>
                <w:szCs w:val="20"/>
                <w:color w:val="auto"/>
              </w:rPr>
              <w:t>S-8</w:t>
            </w:r>
          </w:p>
        </w:tc>
        <w:tc>
          <w:tcPr>
            <w:tcW w:w="12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333-290632</w:t>
            </w:r>
          </w:p>
        </w:tc>
        <w:tc>
          <w:tcPr>
            <w:tcW w:w="5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4.3</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09/30/2025</w:t>
            </w:r>
          </w:p>
        </w:tc>
      </w:tr>
      <w:tr>
        <w:trPr>
          <w:trHeight w:val="446"/>
        </w:trPr>
        <w:tc>
          <w:tcPr>
            <w:tcW w:w="520" w:type="dxa"/>
            <w:vAlign w:val="bottom"/>
          </w:tcPr>
          <w:p>
            <w:pPr>
              <w:jc w:val="center"/>
              <w:ind w:right="20"/>
              <w:spacing w:after="0"/>
              <w:rPr>
                <w:sz w:val="20"/>
                <w:szCs w:val="20"/>
                <w:color w:val="auto"/>
              </w:rPr>
            </w:pPr>
            <w:r>
              <w:rPr>
                <w:rFonts w:ascii="Times New Roman" w:cs="Times New Roman" w:eastAsia="Times New Roman" w:hAnsi="Times New Roman"/>
                <w:sz w:val="20"/>
                <w:szCs w:val="20"/>
                <w:color w:val="auto"/>
              </w:rPr>
              <w:t>6-K</w:t>
            </w:r>
          </w:p>
        </w:tc>
        <w:tc>
          <w:tcPr>
            <w:tcW w:w="12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000-29374</w:t>
            </w:r>
          </w:p>
        </w:tc>
        <w:tc>
          <w:tcPr>
            <w:tcW w:w="5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99.1</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10/20/2025</w:t>
            </w:r>
          </w:p>
        </w:tc>
      </w:tr>
      <w:tr>
        <w:trPr>
          <w:trHeight w:val="559"/>
        </w:trPr>
        <w:tc>
          <w:tcPr>
            <w:tcW w:w="520" w:type="dxa"/>
            <w:vAlign w:val="bottom"/>
          </w:tcPr>
          <w:p>
            <w:pPr>
              <w:jc w:val="center"/>
              <w:ind w:right="20"/>
              <w:spacing w:after="0"/>
              <w:rPr>
                <w:sz w:val="20"/>
                <w:szCs w:val="20"/>
                <w:color w:val="auto"/>
              </w:rPr>
            </w:pPr>
            <w:r>
              <w:rPr>
                <w:rFonts w:ascii="Times New Roman" w:cs="Times New Roman" w:eastAsia="Times New Roman" w:hAnsi="Times New Roman"/>
                <w:sz w:val="20"/>
                <w:szCs w:val="20"/>
                <w:color w:val="auto"/>
              </w:rPr>
              <w:t>6-K</w:t>
            </w:r>
          </w:p>
        </w:tc>
        <w:tc>
          <w:tcPr>
            <w:tcW w:w="12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000-29374</w:t>
            </w:r>
          </w:p>
        </w:tc>
        <w:tc>
          <w:tcPr>
            <w:tcW w:w="5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99.2</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10/20/2025</w:t>
            </w:r>
          </w:p>
        </w:tc>
      </w:tr>
    </w:tbl>
    <w:p>
      <w:pPr>
        <w:spacing w:after="0" w:line="1104" w:lineRule="exact"/>
        <w:rPr>
          <w:sz w:val="20"/>
          <w:szCs w:val="20"/>
          <w:color w:val="auto"/>
        </w:rPr>
      </w:pPr>
    </w:p>
    <w:p>
      <w:pPr>
        <w:sectPr>
          <w:pgSz w:w="11900" w:h="16838" w:orient="portrait"/>
          <w:cols w:equalWidth="0" w:num="2">
            <w:col w:w="5720" w:space="280"/>
            <w:col w:w="3380"/>
          </w:cols>
          <w:pgMar w:left="1260" w:top="1243" w:right="1266" w:bottom="723" w:gutter="0" w:footer="0" w:header="0"/>
          <w:type w:val="continuous"/>
        </w:sect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73</w:t>
      </w:r>
    </w:p>
    <w:p>
      <w:pPr>
        <w:sectPr>
          <w:pgSz w:w="11900" w:h="16838" w:orient="portrait"/>
          <w:cols w:equalWidth="0" w:num="1">
            <w:col w:w="9380"/>
          </w:cols>
          <w:pgMar w:left="1260" w:top="1243" w:right="1266" w:bottom="723" w:gutter="0" w:footer="0" w:header="0"/>
          <w:type w:val="continuous"/>
        </w:sectPr>
      </w:pPr>
    </w:p>
    <w:bookmarkStart w:id="127" w:name="page128"/>
    <w:bookmarkEnd w:id="127"/>
    <w:tbl>
      <w:tblPr>
        <w:tblLayout w:type="fixed"/>
        <w:tblInd w:w="0" w:type="dxa"/>
        <w:tblCellMar>
          <w:top w:w="0" w:type="dxa"/>
          <w:left w:w="0" w:type="dxa"/>
          <w:bottom w:w="0" w:type="dxa"/>
          <w:right w:w="0" w:type="dxa"/>
        </w:tblCellMar>
      </w:tblPr>
      <w:tr>
        <w:trPr>
          <w:trHeight w:val="203"/>
        </w:trPr>
        <w:tc>
          <w:tcPr>
            <w:tcW w:w="8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Exhibit No.</w:t>
            </w:r>
          </w:p>
        </w:tc>
        <w:tc>
          <w:tcPr>
            <w:tcW w:w="140" w:type="dxa"/>
            <w:vAlign w:val="bottom"/>
          </w:tcPr>
          <w:p>
            <w:pPr>
              <w:spacing w:after="0"/>
              <w:rPr>
                <w:sz w:val="17"/>
                <w:szCs w:val="17"/>
                <w:color w:val="auto"/>
              </w:rPr>
            </w:pPr>
          </w:p>
        </w:tc>
        <w:tc>
          <w:tcPr>
            <w:tcW w:w="4920" w:type="dxa"/>
            <w:vAlign w:val="bottom"/>
            <w:gridSpan w:val="2"/>
            <w:vMerge w:val="restart"/>
          </w:tcPr>
          <w:p>
            <w:pPr>
              <w:ind w:left="1720"/>
              <w:spacing w:after="0"/>
              <w:rPr>
                <w:sz w:val="20"/>
                <w:szCs w:val="20"/>
                <w:color w:val="auto"/>
              </w:rPr>
            </w:pPr>
            <w:r>
              <w:rPr>
                <w:rFonts w:ascii="Times New Roman" w:cs="Times New Roman" w:eastAsia="Times New Roman" w:hAnsi="Times New Roman"/>
                <w:sz w:val="16"/>
                <w:szCs w:val="16"/>
                <w:b w:val="1"/>
                <w:bCs w:val="1"/>
                <w:color w:val="auto"/>
              </w:rPr>
              <w:t>Exhibit Description</w:t>
            </w:r>
          </w:p>
        </w:tc>
        <w:tc>
          <w:tcPr>
            <w:tcW w:w="6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70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Incorporated by Reference</w:t>
            </w:r>
          </w:p>
        </w:tc>
        <w:tc>
          <w:tcPr>
            <w:tcW w:w="0" w:type="dxa"/>
            <w:vAlign w:val="bottom"/>
          </w:tcPr>
          <w:p>
            <w:pPr>
              <w:spacing w:after="0"/>
              <w:rPr>
                <w:sz w:val="1"/>
                <w:szCs w:val="1"/>
                <w:color w:val="auto"/>
              </w:rPr>
            </w:pPr>
          </w:p>
        </w:tc>
      </w:tr>
      <w:tr>
        <w:trPr>
          <w:trHeight w:val="184"/>
        </w:trPr>
        <w:tc>
          <w:tcPr>
            <w:tcW w:w="8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4920" w:type="dxa"/>
            <w:vAlign w:val="bottom"/>
            <w:gridSpan w:val="2"/>
            <w:vMerge w:val="continue"/>
          </w:tcPr>
          <w:p>
            <w:pPr>
              <w:spacing w:after="0"/>
              <w:rPr>
                <w:sz w:val="15"/>
                <w:szCs w:val="15"/>
                <w:color w:val="auto"/>
              </w:rPr>
            </w:pPr>
          </w:p>
        </w:tc>
        <w:tc>
          <w:tcPr>
            <w:tcW w:w="64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Form</w:t>
            </w:r>
          </w:p>
        </w:tc>
        <w:tc>
          <w:tcPr>
            <w:tcW w:w="160" w:type="dxa"/>
            <w:vAlign w:val="bottom"/>
          </w:tcPr>
          <w:p>
            <w:pPr>
              <w:spacing w:after="0"/>
              <w:rPr>
                <w:sz w:val="15"/>
                <w:szCs w:val="15"/>
                <w:color w:val="auto"/>
              </w:rPr>
            </w:pPr>
          </w:p>
        </w:tc>
        <w:tc>
          <w:tcPr>
            <w:tcW w:w="96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File No.</w:t>
            </w:r>
          </w:p>
        </w:tc>
        <w:tc>
          <w:tcPr>
            <w:tcW w:w="160" w:type="dxa"/>
            <w:vAlign w:val="bottom"/>
          </w:tcPr>
          <w:p>
            <w:pPr>
              <w:spacing w:after="0"/>
              <w:rPr>
                <w:sz w:val="15"/>
                <w:szCs w:val="15"/>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Exhibit</w:t>
            </w:r>
          </w:p>
        </w:tc>
        <w:tc>
          <w:tcPr>
            <w:tcW w:w="16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Filing Date</w:t>
            </w:r>
          </w:p>
        </w:tc>
        <w:tc>
          <w:tcPr>
            <w:tcW w:w="0" w:type="dxa"/>
            <w:vAlign w:val="bottom"/>
          </w:tcPr>
          <w:p>
            <w:pPr>
              <w:spacing w:after="0"/>
              <w:rPr>
                <w:sz w:val="1"/>
                <w:szCs w:val="1"/>
                <w:color w:val="auto"/>
              </w:rPr>
            </w:pPr>
          </w:p>
        </w:tc>
      </w:tr>
      <w:tr>
        <w:trPr>
          <w:trHeight w:val="190"/>
        </w:trPr>
        <w:tc>
          <w:tcPr>
            <w:tcW w:w="820" w:type="dxa"/>
            <w:vAlign w:val="bottom"/>
            <w:tcBorders>
              <w:top w:val="single" w:sz="8" w:color="auto"/>
            </w:tcBorders>
          </w:tcPr>
          <w:p>
            <w:pPr>
              <w:spacing w:after="0" w:line="190" w:lineRule="exact"/>
              <w:rPr>
                <w:sz w:val="20"/>
                <w:szCs w:val="20"/>
                <w:color w:val="auto"/>
              </w:rPr>
            </w:pPr>
            <w:r>
              <w:rPr>
                <w:rFonts w:ascii="Times New Roman" w:cs="Times New Roman" w:eastAsia="Times New Roman" w:hAnsi="Times New Roman"/>
                <w:sz w:val="20"/>
                <w:szCs w:val="20"/>
                <w:color w:val="auto"/>
              </w:rPr>
              <w:t>10.15</w:t>
            </w:r>
          </w:p>
        </w:tc>
        <w:tc>
          <w:tcPr>
            <w:tcW w:w="140" w:type="dxa"/>
            <w:vAlign w:val="bottom"/>
          </w:tcPr>
          <w:p>
            <w:pPr>
              <w:spacing w:after="0"/>
              <w:rPr>
                <w:sz w:val="16"/>
                <w:szCs w:val="16"/>
                <w:color w:val="auto"/>
              </w:rPr>
            </w:pPr>
          </w:p>
        </w:tc>
        <w:tc>
          <w:tcPr>
            <w:tcW w:w="4760" w:type="dxa"/>
            <w:vAlign w:val="bottom"/>
            <w:tcBorders>
              <w:top w:val="single" w:sz="8" w:color="auto"/>
            </w:tcBorders>
          </w:tcPr>
          <w:p>
            <w:pPr>
              <w:spacing w:after="0" w:line="190" w:lineRule="exact"/>
              <w:rPr>
                <w:sz w:val="20"/>
                <w:szCs w:val="20"/>
                <w:color w:val="auto"/>
              </w:rPr>
            </w:pPr>
            <w:r>
              <w:rPr>
                <w:rFonts w:ascii="Times New Roman" w:cs="Times New Roman" w:eastAsia="Times New Roman" w:hAnsi="Times New Roman"/>
                <w:sz w:val="20"/>
                <w:szCs w:val="20"/>
                <w:color w:val="auto"/>
              </w:rPr>
              <w:t>Employment Agreement, dated October 31, 2022, between</w:t>
            </w:r>
          </w:p>
        </w:tc>
        <w:tc>
          <w:tcPr>
            <w:tcW w:w="160" w:type="dxa"/>
            <w:vAlign w:val="bottom"/>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7"/>
        </w:trPr>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9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EDAP Technomed Inc. and Kenneth S. Mobeck.</w:t>
            </w:r>
          </w:p>
        </w:tc>
        <w:tc>
          <w:tcPr>
            <w:tcW w:w="6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2"/>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auto"/>
              </w:rPr>
              <w:t>10.16</w:t>
            </w:r>
          </w:p>
        </w:tc>
        <w:tc>
          <w:tcPr>
            <w:tcW w:w="140" w:type="dxa"/>
            <w:vAlign w:val="bottom"/>
          </w:tcPr>
          <w:p>
            <w:pPr>
              <w:spacing w:after="0"/>
              <w:rPr>
                <w:sz w:val="24"/>
                <w:szCs w:val="24"/>
                <w:color w:val="auto"/>
              </w:rPr>
            </w:pPr>
          </w:p>
        </w:tc>
        <w:tc>
          <w:tcPr>
            <w:tcW w:w="49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Letter Agreement Regarding Employment of Kenneth S.</w:t>
            </w: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9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Mobeck dated January 1, 2024.</w:t>
            </w:r>
          </w:p>
        </w:tc>
        <w:tc>
          <w:tcPr>
            <w:tcW w:w="6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1"/>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auto"/>
              </w:rPr>
              <w:t>19.1</w:t>
            </w:r>
          </w:p>
        </w:tc>
        <w:tc>
          <w:tcPr>
            <w:tcW w:w="140" w:type="dxa"/>
            <w:vAlign w:val="bottom"/>
          </w:tcPr>
          <w:p>
            <w:pPr>
              <w:spacing w:after="0"/>
              <w:rPr>
                <w:sz w:val="24"/>
                <w:szCs w:val="24"/>
                <w:color w:val="auto"/>
              </w:rPr>
            </w:pPr>
          </w:p>
        </w:tc>
        <w:tc>
          <w:tcPr>
            <w:tcW w:w="49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Company’s Insider Trading Policy.</w:t>
            </w: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auto"/>
              </w:rPr>
              <w:t>21.1</w:t>
            </w:r>
          </w:p>
        </w:tc>
        <w:tc>
          <w:tcPr>
            <w:tcW w:w="140" w:type="dxa"/>
            <w:vAlign w:val="bottom"/>
          </w:tcPr>
          <w:p>
            <w:pPr>
              <w:spacing w:after="0"/>
              <w:rPr>
                <w:sz w:val="24"/>
                <w:szCs w:val="24"/>
                <w:color w:val="auto"/>
              </w:rPr>
            </w:pPr>
          </w:p>
        </w:tc>
        <w:tc>
          <w:tcPr>
            <w:tcW w:w="49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Subsidiaries of the Company.</w:t>
            </w: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auto"/>
              </w:rPr>
              <w:t>23.1</w:t>
            </w:r>
          </w:p>
        </w:tc>
        <w:tc>
          <w:tcPr>
            <w:tcW w:w="140" w:type="dxa"/>
            <w:vAlign w:val="bottom"/>
          </w:tcPr>
          <w:p>
            <w:pPr>
              <w:spacing w:after="0"/>
              <w:rPr>
                <w:sz w:val="24"/>
                <w:szCs w:val="24"/>
                <w:color w:val="auto"/>
              </w:rPr>
            </w:pPr>
          </w:p>
        </w:tc>
        <w:tc>
          <w:tcPr>
            <w:tcW w:w="49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Consent of KPMG.</w:t>
            </w: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auto"/>
              </w:rPr>
              <w:t>24.1</w:t>
            </w:r>
          </w:p>
        </w:tc>
        <w:tc>
          <w:tcPr>
            <w:tcW w:w="140" w:type="dxa"/>
            <w:vAlign w:val="bottom"/>
          </w:tcPr>
          <w:p>
            <w:pPr>
              <w:spacing w:after="0"/>
              <w:rPr>
                <w:sz w:val="24"/>
                <w:szCs w:val="24"/>
                <w:color w:val="auto"/>
              </w:rPr>
            </w:pPr>
          </w:p>
        </w:tc>
        <w:tc>
          <w:tcPr>
            <w:tcW w:w="49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Power of Attorney (included on signature page to this</w:t>
            </w: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9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Annual Report on Form 10-K).</w:t>
            </w:r>
          </w:p>
        </w:tc>
        <w:tc>
          <w:tcPr>
            <w:tcW w:w="6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2"/>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auto"/>
              </w:rPr>
              <w:t>31.1</w:t>
            </w:r>
          </w:p>
        </w:tc>
        <w:tc>
          <w:tcPr>
            <w:tcW w:w="140" w:type="dxa"/>
            <w:vAlign w:val="bottom"/>
          </w:tcPr>
          <w:p>
            <w:pPr>
              <w:spacing w:after="0"/>
              <w:rPr>
                <w:sz w:val="24"/>
                <w:szCs w:val="24"/>
                <w:color w:val="auto"/>
              </w:rPr>
            </w:pPr>
          </w:p>
        </w:tc>
        <w:tc>
          <w:tcPr>
            <w:tcW w:w="49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Certification of Chief Executive Officer of EDAP TMS</w:t>
            </w: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9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S.A. Pursuant to Section 302 of the Sarbanes-Oxley Act of</w:t>
            </w: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7"/>
        </w:trPr>
        <w:tc>
          <w:tcPr>
            <w:tcW w:w="820" w:type="dxa"/>
            <w:vAlign w:val="bottom"/>
          </w:tcPr>
          <w:p>
            <w:pPr>
              <w:spacing w:after="0"/>
              <w:rPr>
                <w:sz w:val="23"/>
                <w:szCs w:val="23"/>
                <w:color w:val="auto"/>
              </w:rPr>
            </w:pPr>
          </w:p>
        </w:tc>
        <w:tc>
          <w:tcPr>
            <w:tcW w:w="490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2002.</w:t>
            </w:r>
          </w:p>
        </w:tc>
        <w:tc>
          <w:tcPr>
            <w:tcW w:w="1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2"/>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auto"/>
              </w:rPr>
              <w:t>31.2</w:t>
            </w:r>
          </w:p>
        </w:tc>
        <w:tc>
          <w:tcPr>
            <w:tcW w:w="140" w:type="dxa"/>
            <w:vAlign w:val="bottom"/>
          </w:tcPr>
          <w:p>
            <w:pPr>
              <w:spacing w:after="0"/>
              <w:rPr>
                <w:sz w:val="24"/>
                <w:szCs w:val="24"/>
                <w:color w:val="auto"/>
              </w:rPr>
            </w:pPr>
          </w:p>
        </w:tc>
        <w:tc>
          <w:tcPr>
            <w:tcW w:w="49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Certification of Chief Financial Officer of EDAP TMS S.A.</w:t>
            </w: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9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Pursuant to Section 302 of the Sarbanes-Oxley Act of 2002.</w:t>
            </w:r>
          </w:p>
        </w:tc>
        <w:tc>
          <w:tcPr>
            <w:tcW w:w="6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2"/>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auto"/>
              </w:rPr>
              <w:t>32.1#</w:t>
            </w:r>
          </w:p>
        </w:tc>
        <w:tc>
          <w:tcPr>
            <w:tcW w:w="140" w:type="dxa"/>
            <w:vAlign w:val="bottom"/>
          </w:tcPr>
          <w:p>
            <w:pPr>
              <w:spacing w:after="0"/>
              <w:rPr>
                <w:sz w:val="24"/>
                <w:szCs w:val="24"/>
                <w:color w:val="auto"/>
              </w:rPr>
            </w:pPr>
          </w:p>
        </w:tc>
        <w:tc>
          <w:tcPr>
            <w:tcW w:w="49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Certification of Chief Executive Officer and Chief Financial</w:t>
            </w: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9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Officer  of  EDAP  TMS  S.A.  Pursuant  to  18  U.S.C.</w:t>
            </w: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9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Section 1350, as adopted pursuant to Section 906 of the</w:t>
            </w: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7"/>
        </w:trPr>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9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Sarbanes-Oxley Act of 2002.</w:t>
            </w:r>
          </w:p>
        </w:tc>
        <w:tc>
          <w:tcPr>
            <w:tcW w:w="6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1"/>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auto"/>
              </w:rPr>
              <w:t>97.1</w:t>
            </w:r>
          </w:p>
        </w:tc>
        <w:tc>
          <w:tcPr>
            <w:tcW w:w="140" w:type="dxa"/>
            <w:vAlign w:val="bottom"/>
          </w:tcPr>
          <w:p>
            <w:pPr>
              <w:spacing w:after="0"/>
              <w:rPr>
                <w:sz w:val="24"/>
                <w:szCs w:val="24"/>
                <w:color w:val="auto"/>
              </w:rPr>
            </w:pPr>
          </w:p>
        </w:tc>
        <w:tc>
          <w:tcPr>
            <w:tcW w:w="49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Clawback Policy of EDAP TMS S.A.</w:t>
            </w:r>
          </w:p>
        </w:tc>
        <w:tc>
          <w:tcPr>
            <w:tcW w:w="6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20-F</w:t>
            </w:r>
          </w:p>
        </w:tc>
        <w:tc>
          <w:tcPr>
            <w:tcW w:w="112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000-29374</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97.1</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03/28/2024</w:t>
            </w:r>
          </w:p>
        </w:tc>
        <w:tc>
          <w:tcPr>
            <w:tcW w:w="0" w:type="dxa"/>
            <w:vAlign w:val="bottom"/>
          </w:tcPr>
          <w:p>
            <w:pPr>
              <w:spacing w:after="0"/>
              <w:rPr>
                <w:sz w:val="1"/>
                <w:szCs w:val="1"/>
                <w:color w:val="auto"/>
              </w:rPr>
            </w:pPr>
          </w:p>
        </w:tc>
      </w:tr>
      <w:tr>
        <w:trPr>
          <w:trHeight w:val="329"/>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auto"/>
              </w:rPr>
              <w:t>101.INS</w:t>
            </w:r>
          </w:p>
        </w:tc>
        <w:tc>
          <w:tcPr>
            <w:tcW w:w="140" w:type="dxa"/>
            <w:vAlign w:val="bottom"/>
          </w:tcPr>
          <w:p>
            <w:pPr>
              <w:spacing w:after="0"/>
              <w:rPr>
                <w:sz w:val="24"/>
                <w:szCs w:val="24"/>
                <w:color w:val="auto"/>
              </w:rPr>
            </w:pPr>
          </w:p>
        </w:tc>
        <w:tc>
          <w:tcPr>
            <w:tcW w:w="49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Inline XBRL Instance Document</w:t>
            </w: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auto"/>
              </w:rPr>
              <w:t>101.SCH</w:t>
            </w:r>
          </w:p>
        </w:tc>
        <w:tc>
          <w:tcPr>
            <w:tcW w:w="140" w:type="dxa"/>
            <w:vAlign w:val="bottom"/>
          </w:tcPr>
          <w:p>
            <w:pPr>
              <w:spacing w:after="0"/>
              <w:rPr>
                <w:sz w:val="24"/>
                <w:szCs w:val="24"/>
                <w:color w:val="auto"/>
              </w:rPr>
            </w:pPr>
          </w:p>
        </w:tc>
        <w:tc>
          <w:tcPr>
            <w:tcW w:w="49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Inline XBRL Taxonomy Extension Schema Document</w:t>
            </w: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auto"/>
              </w:rPr>
              <w:t>101.CAL</w:t>
            </w:r>
          </w:p>
        </w:tc>
        <w:tc>
          <w:tcPr>
            <w:tcW w:w="140" w:type="dxa"/>
            <w:vAlign w:val="bottom"/>
          </w:tcPr>
          <w:p>
            <w:pPr>
              <w:spacing w:after="0"/>
              <w:rPr>
                <w:sz w:val="24"/>
                <w:szCs w:val="24"/>
                <w:color w:val="auto"/>
              </w:rPr>
            </w:pPr>
          </w:p>
        </w:tc>
        <w:tc>
          <w:tcPr>
            <w:tcW w:w="49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Inline XBRL Taxonomy Extension Calculation Linkbase</w:t>
            </w: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9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Document</w:t>
            </w:r>
          </w:p>
        </w:tc>
        <w:tc>
          <w:tcPr>
            <w:tcW w:w="6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2"/>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auto"/>
              </w:rPr>
              <w:t>101.DEF</w:t>
            </w:r>
          </w:p>
        </w:tc>
        <w:tc>
          <w:tcPr>
            <w:tcW w:w="140" w:type="dxa"/>
            <w:vAlign w:val="bottom"/>
          </w:tcPr>
          <w:p>
            <w:pPr>
              <w:spacing w:after="0"/>
              <w:rPr>
                <w:sz w:val="24"/>
                <w:szCs w:val="24"/>
                <w:color w:val="auto"/>
              </w:rPr>
            </w:pPr>
          </w:p>
        </w:tc>
        <w:tc>
          <w:tcPr>
            <w:tcW w:w="49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Inline XBRL Taxonomy Extension Definition Linkbase</w:t>
            </w: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9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Document</w:t>
            </w:r>
          </w:p>
        </w:tc>
        <w:tc>
          <w:tcPr>
            <w:tcW w:w="6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4"/>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auto"/>
              </w:rPr>
              <w:t>101.LAB</w:t>
            </w:r>
          </w:p>
        </w:tc>
        <w:tc>
          <w:tcPr>
            <w:tcW w:w="140" w:type="dxa"/>
            <w:vAlign w:val="bottom"/>
          </w:tcPr>
          <w:p>
            <w:pPr>
              <w:spacing w:after="0"/>
              <w:rPr>
                <w:sz w:val="24"/>
                <w:szCs w:val="24"/>
                <w:color w:val="auto"/>
              </w:rPr>
            </w:pPr>
          </w:p>
        </w:tc>
        <w:tc>
          <w:tcPr>
            <w:tcW w:w="49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Inline XBRL Taxonomy Extension Label Linkbase</w:t>
            </w: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9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Document</w:t>
            </w:r>
          </w:p>
        </w:tc>
        <w:tc>
          <w:tcPr>
            <w:tcW w:w="6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2"/>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auto"/>
              </w:rPr>
              <w:t>101.PRE</w:t>
            </w:r>
          </w:p>
        </w:tc>
        <w:tc>
          <w:tcPr>
            <w:tcW w:w="140" w:type="dxa"/>
            <w:vAlign w:val="bottom"/>
          </w:tcPr>
          <w:p>
            <w:pPr>
              <w:spacing w:after="0"/>
              <w:rPr>
                <w:sz w:val="24"/>
                <w:szCs w:val="24"/>
                <w:color w:val="auto"/>
              </w:rPr>
            </w:pPr>
          </w:p>
        </w:tc>
        <w:tc>
          <w:tcPr>
            <w:tcW w:w="49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Inline XBRL Taxonomy Extension Presentation Linkbase</w:t>
            </w: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9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Document</w:t>
            </w:r>
          </w:p>
        </w:tc>
        <w:tc>
          <w:tcPr>
            <w:tcW w:w="6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795655</wp:posOffset>
            </wp:positionH>
            <wp:positionV relativeFrom="page">
              <wp:posOffset>292735</wp:posOffset>
            </wp:positionV>
            <wp:extent cx="929005" cy="1149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168">
                      <a:extLst>
                        <a:ext uri="{28A0092B-C50C-407E-A947-70E740481C1C}"/>
                      </a:extLst>
                    </a:blip>
                    <a:srcRect/>
                    <a:stretch>
                      <a:fillRect/>
                    </a:stretch>
                  </pic:blipFill>
                  <pic:spPr bwMode="auto">
                    <a:xfrm>
                      <a:off x="0" y="0"/>
                      <a:ext cx="929005" cy="114935"/>
                    </a:xfrm>
                    <a:prstGeom prst="rect">
                      <a:avLst/>
                    </a:prstGeom>
                    <a:noFill/>
                  </pic:spPr>
                </pic:pic>
              </a:graphicData>
            </a:graphic>
          </wp:anchor>
        </w:drawing>
      </w:r>
    </w:p>
    <w:p>
      <w:pPr>
        <w:ind w:left="960" w:right="4180" w:hanging="953"/>
        <w:spacing w:after="0" w:line="278" w:lineRule="auto"/>
        <w:tabs>
          <w:tab w:leader="none" w:pos="960"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Cover Page Interactive Data File (formatted as inline XBRL and contained in Exhibit 101)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139065</wp:posOffset>
                </wp:positionV>
                <wp:extent cx="1488440" cy="0"/>
                <wp:wrapNone/>
                <wp:docPr id="278" name="Shape 2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88440" cy="4763"/>
                        </a:xfrm>
                        <a:prstGeom prst="line">
                          <a:avLst/>
                        </a:prstGeom>
                        <a:solidFill>
                          <a:srgbClr val="FFFFFF"/>
                        </a:solidFill>
                        <a:ln w="12064">
                          <a:solidFill>
                            <a:srgbClr val="000000"/>
                          </a:solidFill>
                          <a:miter lim="800000"/>
                          <a:headEnd/>
                          <a:tailEnd/>
                        </a:ln>
                      </wps:spPr>
                      <wps:bodyPr/>
                    </wps:wsp>
                  </a:graphicData>
                </a:graphic>
              </wp:anchor>
            </w:drawing>
          </mc:Choice>
          <mc:Fallback>
            <w:pict>
              <v:line id="Shape 278" o:spid="_x0000_s130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10.95pt" to="117.5pt,10.95pt" o:allowincell="f" strokecolor="#000000" strokeweight="0.9499pt"/>
            </w:pict>
          </mc:Fallback>
        </mc:AlternateContent>
      </w:r>
    </w:p>
    <w:p>
      <w:pPr>
        <w:spacing w:after="0" w:line="236" w:lineRule="exact"/>
        <w:rPr>
          <w:sz w:val="20"/>
          <w:szCs w:val="20"/>
          <w:color w:val="auto"/>
        </w:rPr>
      </w:pPr>
    </w:p>
    <w:p>
      <w:pPr>
        <w:ind w:left="360" w:hanging="353"/>
        <w:spacing w:after="0"/>
        <w:tabs>
          <w:tab w:leader="none" w:pos="360"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Indicates a management contract or any compensatory plan, contract or arrangement.</w:t>
      </w:r>
    </w:p>
    <w:p>
      <w:pPr>
        <w:ind w:left="360" w:right="100" w:hanging="359"/>
        <w:spacing w:after="0" w:line="250" w:lineRule="auto"/>
        <w:tabs>
          <w:tab w:leader="none" w:pos="340" w:val="left"/>
        </w:tabs>
        <w:rPr>
          <w:sz w:val="20"/>
          <w:szCs w:val="20"/>
          <w:color w:val="auto"/>
        </w:rPr>
      </w:pPr>
      <w:r>
        <w:rPr>
          <w:rFonts w:ascii="Times New Roman" w:cs="Times New Roman" w:eastAsia="Times New Roman" w:hAnsi="Times New Roman"/>
          <w:sz w:val="20"/>
          <w:szCs w:val="20"/>
          <w:color w:val="auto"/>
        </w:rPr>
        <w:t>#</w:t>
        <w:tab/>
        <w:t>The certifications attached as Exhibit 32.1 that accompany this Annual Report on Form 10-K, are not deemed filed with the Securities and Exchange Commission and are not to be incorporated by reference into any filing of EDAP TMS S.A. under the Securities Act of 1933, as amended, or the Securities Exchange Act of 1934, as amended, whether made before or after the date of this Annual Report on Form 10-K, irrespective of any general incorporation language contained in such filing.</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16. Form 10-K Summary.</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ectPr>
          <w:pgSz w:w="11900" w:h="16838" w:orient="portrait"/>
          <w:cols w:equalWidth="0" w:num="1">
            <w:col w:w="9380"/>
          </w:cols>
          <w:pgMar w:left="1260" w:top="1268" w:right="1266" w:bottom="72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74</w:t>
      </w:r>
    </w:p>
    <w:p>
      <w:pPr>
        <w:sectPr>
          <w:pgSz w:w="11900" w:h="16838" w:orient="portrait"/>
          <w:cols w:equalWidth="0" w:num="1">
            <w:col w:w="9380"/>
          </w:cols>
          <w:pgMar w:left="1260" w:top="1268" w:right="1266" w:bottom="723" w:gutter="0" w:footer="0" w:header="0"/>
          <w:type w:val="continuous"/>
        </w:sectPr>
      </w:pPr>
    </w:p>
    <w:bookmarkStart w:id="128" w:name="page129"/>
    <w:bookmarkEnd w:id="128"/>
    <w:p>
      <w:pPr>
        <w:jc w:val="center"/>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795655</wp:posOffset>
            </wp:positionH>
            <wp:positionV relativeFrom="page">
              <wp:posOffset>292735</wp:posOffset>
            </wp:positionV>
            <wp:extent cx="929005" cy="1149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169">
                      <a:extLst>
                        <a:ext uri="{28A0092B-C50C-407E-A947-70E740481C1C}"/>
                      </a:extLst>
                    </a:blip>
                    <a:srcRect/>
                    <a:stretch>
                      <a:fillRect/>
                    </a:stretch>
                  </pic:blipFill>
                  <pic:spPr bwMode="auto">
                    <a:xfrm>
                      <a:off x="0" y="0"/>
                      <a:ext cx="929005" cy="114935"/>
                    </a:xfrm>
                    <a:prstGeom prst="rect">
                      <a:avLst/>
                    </a:prstGeom>
                    <a:noFill/>
                  </pic:spPr>
                </pic:pic>
              </a:graphicData>
            </a:graphic>
          </wp:anchor>
        </w:drawing>
        <w:t>SIGNATURES</w:t>
      </w:r>
    </w:p>
    <w:p>
      <w:pPr>
        <w:spacing w:after="0" w:line="203" w:lineRule="exact"/>
        <w:rPr>
          <w:sz w:val="20"/>
          <w:szCs w:val="20"/>
          <w:color w:val="auto"/>
        </w:rPr>
      </w:pPr>
    </w:p>
    <w:p>
      <w:pPr>
        <w:ind w:right="200" w:firstLine="720"/>
        <w:spacing w:after="0" w:line="279" w:lineRule="auto"/>
        <w:rPr>
          <w:sz w:val="20"/>
          <w:szCs w:val="20"/>
          <w:color w:val="auto"/>
        </w:rPr>
      </w:pPr>
      <w:r>
        <w:rPr>
          <w:rFonts w:ascii="Times New Roman" w:cs="Times New Roman" w:eastAsia="Times New Roman" w:hAnsi="Times New Roman"/>
          <w:sz w:val="20"/>
          <w:szCs w:val="20"/>
          <w:color w:val="auto"/>
        </w:rPr>
        <w:t>Pursuant to the requirements of Section 13 or 15(d) of the Securities Exchange Act of 1934, the registrant has duly caused this report to be signed on its behalf by the undersigned, thereunto duly authorized.</w:t>
      </w:r>
    </w:p>
    <w:p>
      <w:pPr>
        <w:spacing w:after="0" w:line="137"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0"/>
          <w:szCs w:val="20"/>
          <w:b w:val="1"/>
          <w:bCs w:val="1"/>
          <w:color w:val="auto"/>
        </w:rPr>
        <w:t>EDAP TMS S.A.</w:t>
      </w:r>
    </w:p>
    <w:p>
      <w:pPr>
        <w:spacing w:after="0" w:line="250" w:lineRule="exact"/>
        <w:rPr>
          <w:sz w:val="20"/>
          <w:szCs w:val="20"/>
          <w:color w:val="auto"/>
        </w:rPr>
      </w:pPr>
    </w:p>
    <w:p>
      <w:pPr>
        <w:ind w:left="4660"/>
        <w:spacing w:after="0"/>
        <w:tabs>
          <w:tab w:leader="none" w:pos="5180" w:val="left"/>
        </w:tabs>
        <w:rPr>
          <w:sz w:val="20"/>
          <w:szCs w:val="20"/>
          <w:color w:val="auto"/>
        </w:rPr>
      </w:pPr>
      <w:r>
        <w:rPr>
          <w:rFonts w:ascii="Times New Roman" w:cs="Times New Roman" w:eastAsia="Times New Roman" w:hAnsi="Times New Roman"/>
          <w:sz w:val="20"/>
          <w:szCs w:val="20"/>
          <w:color w:val="auto"/>
        </w:rPr>
        <w:t>By:</w:t>
        <w:tab/>
        <w:t>/s/ Ryan Rhodes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3296285</wp:posOffset>
                </wp:positionH>
                <wp:positionV relativeFrom="paragraph">
                  <wp:posOffset>14605</wp:posOffset>
                </wp:positionV>
                <wp:extent cx="2659380" cy="0"/>
                <wp:wrapNone/>
                <wp:docPr id="280" name="Shape 2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65938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280" o:spid="_x0000_s130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9.55pt,1.15pt" to="468.95pt,1.15pt" o:allowincell="f" strokecolor="#000000" strokeweight="0.48pt"/>
            </w:pict>
          </mc:Fallback>
        </mc:AlternateContent>
      </w:r>
    </w:p>
    <w:p>
      <w:pPr>
        <w:spacing w:after="0" w:line="8" w:lineRule="exact"/>
        <w:rPr>
          <w:sz w:val="20"/>
          <w:szCs w:val="20"/>
          <w:color w:val="auto"/>
        </w:rPr>
      </w:pPr>
    </w:p>
    <w:p>
      <w:pPr>
        <w:spacing w:after="0"/>
        <w:tabs>
          <w:tab w:leader="none" w:pos="4640" w:val="left"/>
        </w:tabs>
        <w:rPr>
          <w:sz w:val="20"/>
          <w:szCs w:val="20"/>
          <w:color w:val="auto"/>
        </w:rPr>
      </w:pPr>
      <w:r>
        <w:rPr>
          <w:rFonts w:ascii="Times New Roman" w:cs="Times New Roman" w:eastAsia="Times New Roman" w:hAnsi="Times New Roman"/>
          <w:sz w:val="20"/>
          <w:szCs w:val="20"/>
          <w:color w:val="auto"/>
        </w:rPr>
        <w:t>Date: March 25, 2026</w:t>
      </w:r>
      <w:r>
        <w:rPr>
          <w:sz w:val="20"/>
          <w:szCs w:val="20"/>
          <w:color w:val="auto"/>
        </w:rPr>
        <w:tab/>
      </w:r>
      <w:r>
        <w:rPr>
          <w:rFonts w:ascii="Times New Roman" w:cs="Times New Roman" w:eastAsia="Times New Roman" w:hAnsi="Times New Roman"/>
          <w:sz w:val="19"/>
          <w:szCs w:val="19"/>
          <w:color w:val="auto"/>
        </w:rPr>
        <w:t>Name:Ryan Rhodes</w:t>
      </w:r>
    </w:p>
    <w:p>
      <w:pPr>
        <w:ind w:left="4660"/>
        <w:spacing w:after="0"/>
        <w:rPr>
          <w:sz w:val="20"/>
          <w:szCs w:val="20"/>
          <w:color w:val="auto"/>
        </w:rPr>
      </w:pPr>
      <w:r>
        <w:rPr>
          <w:rFonts w:ascii="Times New Roman" w:cs="Times New Roman" w:eastAsia="Times New Roman" w:hAnsi="Times New Roman"/>
          <w:sz w:val="20"/>
          <w:szCs w:val="20"/>
          <w:color w:val="auto"/>
        </w:rPr>
        <w:t>Title: Chief Executive Officer</w:t>
      </w:r>
    </w:p>
    <w:p>
      <w:pPr>
        <w:spacing w:after="0" w:line="208"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03" w:lineRule="exact"/>
        <w:rPr>
          <w:sz w:val="20"/>
          <w:szCs w:val="20"/>
          <w:color w:val="auto"/>
        </w:rPr>
      </w:pPr>
    </w:p>
    <w:p>
      <w:pPr>
        <w:ind w:right="40" w:firstLine="721"/>
        <w:spacing w:after="0" w:line="244" w:lineRule="auto"/>
        <w:rPr>
          <w:sz w:val="20"/>
          <w:szCs w:val="20"/>
          <w:color w:val="auto"/>
        </w:rPr>
      </w:pPr>
      <w:r>
        <w:rPr>
          <w:rFonts w:ascii="Times New Roman" w:cs="Times New Roman" w:eastAsia="Times New Roman" w:hAnsi="Times New Roman"/>
          <w:sz w:val="20"/>
          <w:szCs w:val="20"/>
          <w:color w:val="auto"/>
        </w:rPr>
        <w:t>KNOW ALL PERSONS BY THESE PRESENTS, that each individual whose signature appears below constitutes and appoints Ryan Rhodes and Ken Mobeck, and each of them, severally, as his or her true and lawful attorneys-in-fact and agents with the power to act, with or without the other, with full power of substitution and resubstitution, for him or her and in his or her name, place and stead, in his or her capacity as a director or officer or both, as the case may be, of the Company, to sign any and all amendments to this Annual Report on Form 10-K, and to file the same, with exhibits thereto and other documents in connection therewith, with the Securities and Exchange Commission granting unto said attorneys-in -fact and agents, and each of them, full power and authority to do and perform each and every act and thing requisite and necessary to be done, as fully to all intents and purposes as he might or could do in person, hereby ratifying and confirming all that each of said attorneys-in-fact and agents, or his substitute or substitutes may lawfully do or cause to be done by virtue hereof.</w:t>
      </w:r>
    </w:p>
    <w:p>
      <w:pPr>
        <w:spacing w:after="0" w:line="161" w:lineRule="exact"/>
        <w:rPr>
          <w:sz w:val="20"/>
          <w:szCs w:val="20"/>
          <w:color w:val="auto"/>
        </w:rPr>
      </w:pPr>
    </w:p>
    <w:p>
      <w:pPr>
        <w:ind w:right="140" w:firstLine="720"/>
        <w:spacing w:after="0" w:line="27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this report has been signed below by the following persons on behalf of the registrant and in the capacities and on the dates indicated.</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3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Signature</w:t>
            </w:r>
          </w:p>
        </w:tc>
        <w:tc>
          <w:tcPr>
            <w:tcW w:w="200" w:type="dxa"/>
            <w:vAlign w:val="bottom"/>
          </w:tcPr>
          <w:p>
            <w:pPr>
              <w:spacing w:after="0"/>
              <w:rPr>
                <w:sz w:val="21"/>
                <w:szCs w:val="21"/>
                <w:color w:val="auto"/>
              </w:rPr>
            </w:pPr>
          </w:p>
        </w:tc>
        <w:tc>
          <w:tcPr>
            <w:tcW w:w="3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Title</w:t>
            </w:r>
          </w:p>
        </w:tc>
        <w:tc>
          <w:tcPr>
            <w:tcW w:w="200" w:type="dxa"/>
            <w:vAlign w:val="bottom"/>
          </w:tcPr>
          <w:p>
            <w:pPr>
              <w:spacing w:after="0"/>
              <w:rPr>
                <w:sz w:val="21"/>
                <w:szCs w:val="21"/>
                <w:color w:val="auto"/>
              </w:rPr>
            </w:pPr>
          </w:p>
        </w:tc>
        <w:tc>
          <w:tcPr>
            <w:tcW w:w="2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Date</w:t>
            </w:r>
          </w:p>
        </w:tc>
      </w:tr>
      <w:tr>
        <w:trPr>
          <w:trHeight w:val="450"/>
        </w:trPr>
        <w:tc>
          <w:tcPr>
            <w:tcW w:w="3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Ryan Rhodes</w:t>
            </w:r>
          </w:p>
        </w:tc>
        <w:tc>
          <w:tcPr>
            <w:tcW w:w="200" w:type="dxa"/>
            <w:vAlign w:val="bottom"/>
          </w:tcPr>
          <w:p>
            <w:pPr>
              <w:spacing w:after="0"/>
              <w:rPr>
                <w:sz w:val="24"/>
                <w:szCs w:val="24"/>
                <w:color w:val="auto"/>
              </w:rPr>
            </w:pPr>
          </w:p>
        </w:tc>
        <w:tc>
          <w:tcPr>
            <w:tcW w:w="30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Chief Executive Officer and Director</w:t>
            </w:r>
          </w:p>
        </w:tc>
        <w:tc>
          <w:tcPr>
            <w:tcW w:w="200" w:type="dxa"/>
            <w:vAlign w:val="bottom"/>
          </w:tcPr>
          <w:p>
            <w:pPr>
              <w:spacing w:after="0"/>
              <w:rPr>
                <w:sz w:val="24"/>
                <w:szCs w:val="24"/>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March 25, 2026</w:t>
            </w:r>
          </w:p>
        </w:tc>
      </w:tr>
      <w:tr>
        <w:trPr>
          <w:trHeight w:val="255"/>
        </w:trPr>
        <w:tc>
          <w:tcPr>
            <w:tcW w:w="31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Ryan Rhodes</w:t>
            </w:r>
          </w:p>
        </w:tc>
        <w:tc>
          <w:tcPr>
            <w:tcW w:w="200" w:type="dxa"/>
            <w:vAlign w:val="bottom"/>
          </w:tcPr>
          <w:p>
            <w:pPr>
              <w:spacing w:after="0"/>
              <w:rPr>
                <w:sz w:val="22"/>
                <w:szCs w:val="22"/>
                <w:color w:val="auto"/>
              </w:rPr>
            </w:pPr>
          </w:p>
        </w:tc>
        <w:tc>
          <w:tcPr>
            <w:tcW w:w="30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(Principal Executive Officer)</w:t>
            </w:r>
          </w:p>
        </w:tc>
        <w:tc>
          <w:tcPr>
            <w:tcW w:w="200" w:type="dxa"/>
            <w:vAlign w:val="bottom"/>
          </w:tcPr>
          <w:p>
            <w:pPr>
              <w:spacing w:after="0"/>
              <w:rPr>
                <w:sz w:val="22"/>
                <w:szCs w:val="22"/>
                <w:color w:val="auto"/>
              </w:rPr>
            </w:pPr>
          </w:p>
        </w:tc>
        <w:tc>
          <w:tcPr>
            <w:tcW w:w="2800" w:type="dxa"/>
            <w:vAlign w:val="bottom"/>
          </w:tcPr>
          <w:p>
            <w:pPr>
              <w:spacing w:after="0"/>
              <w:rPr>
                <w:sz w:val="22"/>
                <w:szCs w:val="22"/>
                <w:color w:val="auto"/>
              </w:rPr>
            </w:pPr>
          </w:p>
        </w:tc>
      </w:tr>
      <w:tr>
        <w:trPr>
          <w:trHeight w:val="426"/>
        </w:trPr>
        <w:tc>
          <w:tcPr>
            <w:tcW w:w="3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Kenneth Mobeck</w:t>
            </w:r>
          </w:p>
        </w:tc>
        <w:tc>
          <w:tcPr>
            <w:tcW w:w="200" w:type="dxa"/>
            <w:vAlign w:val="bottom"/>
          </w:tcPr>
          <w:p>
            <w:pPr>
              <w:spacing w:after="0"/>
              <w:rPr>
                <w:sz w:val="24"/>
                <w:szCs w:val="24"/>
                <w:color w:val="auto"/>
              </w:rPr>
            </w:pPr>
          </w:p>
        </w:tc>
        <w:tc>
          <w:tcPr>
            <w:tcW w:w="30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Chief Financial Officer</w:t>
            </w:r>
          </w:p>
        </w:tc>
        <w:tc>
          <w:tcPr>
            <w:tcW w:w="200" w:type="dxa"/>
            <w:vAlign w:val="bottom"/>
          </w:tcPr>
          <w:p>
            <w:pPr>
              <w:spacing w:after="0"/>
              <w:rPr>
                <w:sz w:val="24"/>
                <w:szCs w:val="24"/>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March 25, 2026</w:t>
            </w:r>
          </w:p>
        </w:tc>
      </w:tr>
      <w:tr>
        <w:trPr>
          <w:trHeight w:val="255"/>
        </w:trPr>
        <w:tc>
          <w:tcPr>
            <w:tcW w:w="31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Kenneth Mobeck</w:t>
            </w:r>
          </w:p>
        </w:tc>
        <w:tc>
          <w:tcPr>
            <w:tcW w:w="200" w:type="dxa"/>
            <w:vAlign w:val="bottom"/>
          </w:tcPr>
          <w:p>
            <w:pPr>
              <w:spacing w:after="0"/>
              <w:rPr>
                <w:sz w:val="22"/>
                <w:szCs w:val="22"/>
                <w:color w:val="auto"/>
              </w:rPr>
            </w:pPr>
          </w:p>
        </w:tc>
        <w:tc>
          <w:tcPr>
            <w:tcW w:w="30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(Principal Financial Officer)</w:t>
            </w:r>
          </w:p>
        </w:tc>
        <w:tc>
          <w:tcPr>
            <w:tcW w:w="200" w:type="dxa"/>
            <w:vAlign w:val="bottom"/>
          </w:tcPr>
          <w:p>
            <w:pPr>
              <w:spacing w:after="0"/>
              <w:rPr>
                <w:sz w:val="22"/>
                <w:szCs w:val="22"/>
                <w:color w:val="auto"/>
              </w:rPr>
            </w:pPr>
          </w:p>
        </w:tc>
        <w:tc>
          <w:tcPr>
            <w:tcW w:w="2800" w:type="dxa"/>
            <w:vAlign w:val="bottom"/>
          </w:tcPr>
          <w:p>
            <w:pPr>
              <w:spacing w:after="0"/>
              <w:rPr>
                <w:sz w:val="22"/>
                <w:szCs w:val="22"/>
                <w:color w:val="auto"/>
              </w:rPr>
            </w:pPr>
          </w:p>
        </w:tc>
      </w:tr>
      <w:tr>
        <w:trPr>
          <w:trHeight w:val="424"/>
        </w:trPr>
        <w:tc>
          <w:tcPr>
            <w:tcW w:w="3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François Dietsch</w:t>
            </w:r>
          </w:p>
        </w:tc>
        <w:tc>
          <w:tcPr>
            <w:tcW w:w="200" w:type="dxa"/>
            <w:vAlign w:val="bottom"/>
          </w:tcPr>
          <w:p>
            <w:pPr>
              <w:spacing w:after="0"/>
              <w:rPr>
                <w:sz w:val="24"/>
                <w:szCs w:val="24"/>
                <w:color w:val="auto"/>
              </w:rPr>
            </w:pPr>
          </w:p>
        </w:tc>
        <w:tc>
          <w:tcPr>
            <w:tcW w:w="30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Chief Accounting Officer</w:t>
            </w:r>
          </w:p>
        </w:tc>
        <w:tc>
          <w:tcPr>
            <w:tcW w:w="200" w:type="dxa"/>
            <w:vAlign w:val="bottom"/>
          </w:tcPr>
          <w:p>
            <w:pPr>
              <w:spacing w:after="0"/>
              <w:rPr>
                <w:sz w:val="24"/>
                <w:szCs w:val="24"/>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March 25, 2026</w:t>
            </w:r>
          </w:p>
        </w:tc>
      </w:tr>
      <w:tr>
        <w:trPr>
          <w:trHeight w:val="256"/>
        </w:trPr>
        <w:tc>
          <w:tcPr>
            <w:tcW w:w="31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François Dietsch</w:t>
            </w:r>
          </w:p>
        </w:tc>
        <w:tc>
          <w:tcPr>
            <w:tcW w:w="200" w:type="dxa"/>
            <w:vAlign w:val="bottom"/>
          </w:tcPr>
          <w:p>
            <w:pPr>
              <w:spacing w:after="0"/>
              <w:rPr>
                <w:sz w:val="22"/>
                <w:szCs w:val="22"/>
                <w:color w:val="auto"/>
              </w:rPr>
            </w:pPr>
          </w:p>
        </w:tc>
        <w:tc>
          <w:tcPr>
            <w:tcW w:w="30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(Principal Accounting Officer)</w:t>
            </w:r>
          </w:p>
        </w:tc>
        <w:tc>
          <w:tcPr>
            <w:tcW w:w="200" w:type="dxa"/>
            <w:vAlign w:val="bottom"/>
          </w:tcPr>
          <w:p>
            <w:pPr>
              <w:spacing w:after="0"/>
              <w:rPr>
                <w:sz w:val="22"/>
                <w:szCs w:val="22"/>
                <w:color w:val="auto"/>
              </w:rPr>
            </w:pPr>
          </w:p>
        </w:tc>
        <w:tc>
          <w:tcPr>
            <w:tcW w:w="2800" w:type="dxa"/>
            <w:vAlign w:val="bottom"/>
          </w:tcPr>
          <w:p>
            <w:pPr>
              <w:spacing w:after="0"/>
              <w:rPr>
                <w:sz w:val="22"/>
                <w:szCs w:val="22"/>
                <w:color w:val="auto"/>
              </w:rPr>
            </w:pPr>
          </w:p>
        </w:tc>
      </w:tr>
      <w:tr>
        <w:trPr>
          <w:trHeight w:val="424"/>
        </w:trPr>
        <w:tc>
          <w:tcPr>
            <w:tcW w:w="3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Lance Willsey</w:t>
            </w:r>
          </w:p>
        </w:tc>
        <w:tc>
          <w:tcPr>
            <w:tcW w:w="200" w:type="dxa"/>
            <w:vAlign w:val="bottom"/>
          </w:tcPr>
          <w:p>
            <w:pPr>
              <w:spacing w:after="0"/>
              <w:rPr>
                <w:sz w:val="24"/>
                <w:szCs w:val="24"/>
                <w:color w:val="auto"/>
              </w:rPr>
            </w:pPr>
          </w:p>
        </w:tc>
        <w:tc>
          <w:tcPr>
            <w:tcW w:w="30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Chairman of the Board of Directors</w:t>
            </w:r>
          </w:p>
        </w:tc>
        <w:tc>
          <w:tcPr>
            <w:tcW w:w="200" w:type="dxa"/>
            <w:vAlign w:val="bottom"/>
          </w:tcPr>
          <w:p>
            <w:pPr>
              <w:spacing w:after="0"/>
              <w:rPr>
                <w:sz w:val="24"/>
                <w:szCs w:val="24"/>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March 25, 2026</w:t>
            </w:r>
          </w:p>
        </w:tc>
      </w:tr>
      <w:tr>
        <w:trPr>
          <w:trHeight w:val="255"/>
        </w:trPr>
        <w:tc>
          <w:tcPr>
            <w:tcW w:w="31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Lance Willsey</w:t>
            </w:r>
          </w:p>
        </w:tc>
        <w:tc>
          <w:tcPr>
            <w:tcW w:w="200" w:type="dxa"/>
            <w:vAlign w:val="bottom"/>
          </w:tcPr>
          <w:p>
            <w:pPr>
              <w:spacing w:after="0"/>
              <w:rPr>
                <w:sz w:val="22"/>
                <w:szCs w:val="22"/>
                <w:color w:val="auto"/>
              </w:rPr>
            </w:pPr>
          </w:p>
        </w:tc>
        <w:tc>
          <w:tcPr>
            <w:tcW w:w="3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800" w:type="dxa"/>
            <w:vAlign w:val="bottom"/>
          </w:tcPr>
          <w:p>
            <w:pPr>
              <w:spacing w:after="0"/>
              <w:rPr>
                <w:sz w:val="22"/>
                <w:szCs w:val="22"/>
                <w:color w:val="auto"/>
              </w:rPr>
            </w:pPr>
          </w:p>
        </w:tc>
      </w:tr>
      <w:tr>
        <w:trPr>
          <w:trHeight w:val="426"/>
        </w:trPr>
        <w:tc>
          <w:tcPr>
            <w:tcW w:w="3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Fran Schulz</w:t>
            </w:r>
          </w:p>
        </w:tc>
        <w:tc>
          <w:tcPr>
            <w:tcW w:w="200" w:type="dxa"/>
            <w:vAlign w:val="bottom"/>
          </w:tcPr>
          <w:p>
            <w:pPr>
              <w:spacing w:after="0"/>
              <w:rPr>
                <w:sz w:val="24"/>
                <w:szCs w:val="24"/>
                <w:color w:val="auto"/>
              </w:rPr>
            </w:pPr>
          </w:p>
        </w:tc>
        <w:tc>
          <w:tcPr>
            <w:tcW w:w="30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Director</w:t>
            </w:r>
          </w:p>
        </w:tc>
        <w:tc>
          <w:tcPr>
            <w:tcW w:w="200" w:type="dxa"/>
            <w:vAlign w:val="bottom"/>
          </w:tcPr>
          <w:p>
            <w:pPr>
              <w:spacing w:after="0"/>
              <w:rPr>
                <w:sz w:val="24"/>
                <w:szCs w:val="24"/>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March 25, 2026</w:t>
            </w:r>
          </w:p>
        </w:tc>
      </w:tr>
      <w:tr>
        <w:trPr>
          <w:trHeight w:val="255"/>
        </w:trPr>
        <w:tc>
          <w:tcPr>
            <w:tcW w:w="31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Fran Schulz</w:t>
            </w:r>
          </w:p>
        </w:tc>
        <w:tc>
          <w:tcPr>
            <w:tcW w:w="200" w:type="dxa"/>
            <w:vAlign w:val="bottom"/>
          </w:tcPr>
          <w:p>
            <w:pPr>
              <w:spacing w:after="0"/>
              <w:rPr>
                <w:sz w:val="22"/>
                <w:szCs w:val="22"/>
                <w:color w:val="auto"/>
              </w:rPr>
            </w:pPr>
          </w:p>
        </w:tc>
        <w:tc>
          <w:tcPr>
            <w:tcW w:w="3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800" w:type="dxa"/>
            <w:vAlign w:val="bottom"/>
          </w:tcPr>
          <w:p>
            <w:pPr>
              <w:spacing w:after="0"/>
              <w:rPr>
                <w:sz w:val="22"/>
                <w:szCs w:val="22"/>
                <w:color w:val="auto"/>
              </w:rPr>
            </w:pPr>
          </w:p>
        </w:tc>
      </w:tr>
      <w:tr>
        <w:trPr>
          <w:trHeight w:val="424"/>
        </w:trPr>
        <w:tc>
          <w:tcPr>
            <w:tcW w:w="3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Josh Levine</w:t>
            </w:r>
          </w:p>
        </w:tc>
        <w:tc>
          <w:tcPr>
            <w:tcW w:w="200" w:type="dxa"/>
            <w:vAlign w:val="bottom"/>
          </w:tcPr>
          <w:p>
            <w:pPr>
              <w:spacing w:after="0"/>
              <w:rPr>
                <w:sz w:val="24"/>
                <w:szCs w:val="24"/>
                <w:color w:val="auto"/>
              </w:rPr>
            </w:pPr>
          </w:p>
        </w:tc>
        <w:tc>
          <w:tcPr>
            <w:tcW w:w="30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Director</w:t>
            </w:r>
          </w:p>
        </w:tc>
        <w:tc>
          <w:tcPr>
            <w:tcW w:w="200" w:type="dxa"/>
            <w:vAlign w:val="bottom"/>
          </w:tcPr>
          <w:p>
            <w:pPr>
              <w:spacing w:after="0"/>
              <w:rPr>
                <w:sz w:val="24"/>
                <w:szCs w:val="24"/>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March 25, 2026</w:t>
            </w:r>
          </w:p>
        </w:tc>
      </w:tr>
      <w:tr>
        <w:trPr>
          <w:trHeight w:val="255"/>
        </w:trPr>
        <w:tc>
          <w:tcPr>
            <w:tcW w:w="31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Josh Levine</w:t>
            </w:r>
          </w:p>
        </w:tc>
        <w:tc>
          <w:tcPr>
            <w:tcW w:w="200" w:type="dxa"/>
            <w:vAlign w:val="bottom"/>
          </w:tcPr>
          <w:p>
            <w:pPr>
              <w:spacing w:after="0"/>
              <w:rPr>
                <w:sz w:val="22"/>
                <w:szCs w:val="22"/>
                <w:color w:val="auto"/>
              </w:rPr>
            </w:pPr>
          </w:p>
        </w:tc>
        <w:tc>
          <w:tcPr>
            <w:tcW w:w="3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800" w:type="dxa"/>
            <w:vAlign w:val="bottom"/>
          </w:tcPr>
          <w:p>
            <w:pPr>
              <w:spacing w:after="0"/>
              <w:rPr>
                <w:sz w:val="22"/>
                <w:szCs w:val="22"/>
                <w:color w:val="auto"/>
              </w:rPr>
            </w:pPr>
          </w:p>
        </w:tc>
      </w:tr>
      <w:tr>
        <w:trPr>
          <w:trHeight w:val="426"/>
        </w:trPr>
        <w:tc>
          <w:tcPr>
            <w:tcW w:w="3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David Horn</w:t>
            </w:r>
          </w:p>
        </w:tc>
        <w:tc>
          <w:tcPr>
            <w:tcW w:w="200" w:type="dxa"/>
            <w:vAlign w:val="bottom"/>
          </w:tcPr>
          <w:p>
            <w:pPr>
              <w:spacing w:after="0"/>
              <w:rPr>
                <w:sz w:val="24"/>
                <w:szCs w:val="24"/>
                <w:color w:val="auto"/>
              </w:rPr>
            </w:pPr>
          </w:p>
        </w:tc>
        <w:tc>
          <w:tcPr>
            <w:tcW w:w="30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Director</w:t>
            </w:r>
          </w:p>
        </w:tc>
        <w:tc>
          <w:tcPr>
            <w:tcW w:w="200" w:type="dxa"/>
            <w:vAlign w:val="bottom"/>
          </w:tcPr>
          <w:p>
            <w:pPr>
              <w:spacing w:after="0"/>
              <w:rPr>
                <w:sz w:val="24"/>
                <w:szCs w:val="24"/>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March 25, 2026</w:t>
            </w:r>
          </w:p>
        </w:tc>
      </w:tr>
      <w:tr>
        <w:trPr>
          <w:trHeight w:val="255"/>
        </w:trPr>
        <w:tc>
          <w:tcPr>
            <w:tcW w:w="31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David Horn</w:t>
            </w:r>
          </w:p>
        </w:tc>
        <w:tc>
          <w:tcPr>
            <w:tcW w:w="200" w:type="dxa"/>
            <w:vAlign w:val="bottom"/>
          </w:tcPr>
          <w:p>
            <w:pPr>
              <w:spacing w:after="0"/>
              <w:rPr>
                <w:sz w:val="22"/>
                <w:szCs w:val="22"/>
                <w:color w:val="auto"/>
              </w:rPr>
            </w:pPr>
          </w:p>
        </w:tc>
        <w:tc>
          <w:tcPr>
            <w:tcW w:w="3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800" w:type="dxa"/>
            <w:vAlign w:val="bottom"/>
          </w:tcPr>
          <w:p>
            <w:pPr>
              <w:spacing w:after="0"/>
              <w:rPr>
                <w:sz w:val="22"/>
                <w:szCs w:val="22"/>
                <w:color w:val="auto"/>
              </w:rPr>
            </w:pPr>
          </w:p>
        </w:tc>
      </w:tr>
    </w:tbl>
    <w:p>
      <w:pPr>
        <w:spacing w:after="0" w:line="200" w:lineRule="exact"/>
        <w:rPr>
          <w:sz w:val="20"/>
          <w:szCs w:val="20"/>
          <w:color w:val="auto"/>
        </w:rPr>
      </w:pPr>
    </w:p>
    <w:p>
      <w:pPr>
        <w:sectPr>
          <w:pgSz w:w="11900" w:h="16838" w:orient="portrait"/>
          <w:cols w:equalWidth="0" w:num="1">
            <w:col w:w="9380"/>
          </w:cols>
          <w:pgMar w:left="1260" w:top="1243" w:right="1266" w:bottom="72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75</w:t>
      </w:r>
    </w:p>
    <w:p>
      <w:pPr>
        <w:sectPr>
          <w:pgSz w:w="11900" w:h="16838" w:orient="portrait"/>
          <w:cols w:equalWidth="0" w:num="1">
            <w:col w:w="9380"/>
          </w:cols>
          <w:pgMar w:left="1260" w:top="1243" w:right="1266" w:bottom="723" w:gutter="0" w:footer="0" w:header="0"/>
          <w:type w:val="continuous"/>
        </w:sectPr>
      </w:pPr>
    </w:p>
    <w:bookmarkStart w:id="129" w:name="page130"/>
    <w:bookmarkEnd w:id="129"/>
    <w:p>
      <w:pPr>
        <w:ind w:left="720"/>
        <w:spacing w:after="0"/>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795655</wp:posOffset>
            </wp:positionH>
            <wp:positionV relativeFrom="page">
              <wp:posOffset>292735</wp:posOffset>
            </wp:positionV>
            <wp:extent cx="929005" cy="1149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170">
                      <a:extLst>
                        <a:ext uri="{28A0092B-C50C-407E-A947-70E740481C1C}"/>
                      </a:extLst>
                    </a:blip>
                    <a:srcRect/>
                    <a:stretch>
                      <a:fillRect/>
                    </a:stretch>
                  </pic:blipFill>
                  <pic:spPr bwMode="auto">
                    <a:xfrm>
                      <a:off x="0" y="0"/>
                      <a:ext cx="929005" cy="114935"/>
                    </a:xfrm>
                    <a:prstGeom prst="rect">
                      <a:avLst/>
                    </a:prstGeom>
                    <a:noFill/>
                  </pic:spPr>
                </pic:pic>
              </a:graphicData>
            </a:graphic>
          </wp:anchor>
        </w:drawing>
        <w:t>XBRL-Only Content Section</w:t>
      </w:r>
    </w:p>
    <w:p>
      <w:pPr>
        <w:spacing w:after="0" w:line="224" w:lineRule="exact"/>
        <w:rPr>
          <w:sz w:val="20"/>
          <w:szCs w:val="20"/>
          <w:color w:val="auto"/>
        </w:rPr>
      </w:pPr>
    </w:p>
    <w:tbl>
      <w:tblPr>
        <w:tblLayout w:type="fixed"/>
        <w:tblInd w:w="10" w:type="dxa"/>
        <w:tblCellMar>
          <w:top w:w="0" w:type="dxa"/>
          <w:left w:w="0" w:type="dxa"/>
          <w:bottom w:w="0" w:type="dxa"/>
          <w:right w:w="0" w:type="dxa"/>
        </w:tblCellMar>
      </w:tblPr>
      <w:tr>
        <w:trPr>
          <w:trHeight w:val="240"/>
        </w:trPr>
        <w:tc>
          <w:tcPr>
            <w:tcW w:w="374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Element</w:t>
            </w:r>
          </w:p>
        </w:tc>
        <w:tc>
          <w:tcPr>
            <w:tcW w:w="284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Value</w:t>
            </w:r>
          </w:p>
        </w:tc>
        <w:tc>
          <w:tcPr>
            <w:tcW w:w="2820" w:type="dxa"/>
            <w:vAlign w:val="bottom"/>
            <w:tcBorders>
              <w:top w:val="single" w:sz="8" w:color="auto"/>
              <w:bottom w:val="single" w:sz="8" w:color="auto"/>
              <w:right w:val="single" w:sz="8" w:color="auto"/>
            </w:tcBorders>
          </w:tcPr>
          <w:p>
            <w:pPr>
              <w:spacing w:after="0"/>
              <w:rPr>
                <w:sz w:val="20"/>
                <w:szCs w:val="20"/>
                <w:color w:val="auto"/>
              </w:rPr>
            </w:pPr>
          </w:p>
        </w:tc>
      </w:tr>
      <w:tr>
        <w:trPr>
          <w:trHeight w:val="220"/>
        </w:trPr>
        <w:tc>
          <w:tcPr>
            <w:tcW w:w="3740" w:type="dxa"/>
            <w:vAlign w:val="bottom"/>
            <w:tcBorders>
              <w:left w:val="single" w:sz="8" w:color="auto"/>
              <w:bottom w:val="single" w:sz="8" w:color="auto"/>
              <w:right w:val="single" w:sz="8" w:color="auto"/>
            </w:tcBorders>
          </w:tcPr>
          <w:p>
            <w:pPr>
              <w:ind w:left="120"/>
              <w:spacing w:after="0" w:line="220" w:lineRule="exact"/>
              <w:rPr>
                <w:sz w:val="20"/>
                <w:szCs w:val="20"/>
                <w:color w:val="auto"/>
              </w:rPr>
            </w:pPr>
            <w:r>
              <w:rPr>
                <w:rFonts w:ascii="Times New Roman" w:cs="Times New Roman" w:eastAsia="Times New Roman" w:hAnsi="Times New Roman"/>
                <w:sz w:val="20"/>
                <w:szCs w:val="20"/>
                <w:color w:val="auto"/>
              </w:rPr>
              <w:t>dei:EntityCentralIndexKey#</w:t>
            </w:r>
          </w:p>
        </w:tc>
        <w:tc>
          <w:tcPr>
            <w:tcW w:w="2840" w:type="dxa"/>
            <w:vAlign w:val="bottom"/>
            <w:tcBorders>
              <w:bottom w:val="single" w:sz="8" w:color="auto"/>
              <w:right w:val="single" w:sz="8" w:color="auto"/>
            </w:tcBorders>
          </w:tcPr>
          <w:p>
            <w:pPr>
              <w:ind w:left="100"/>
              <w:spacing w:after="0" w:line="220" w:lineRule="exact"/>
              <w:rPr>
                <w:sz w:val="20"/>
                <w:szCs w:val="20"/>
                <w:color w:val="auto"/>
              </w:rPr>
            </w:pPr>
            <w:r>
              <w:rPr>
                <w:rFonts w:ascii="Times New Roman" w:cs="Times New Roman" w:eastAsia="Times New Roman" w:hAnsi="Times New Roman"/>
                <w:sz w:val="20"/>
                <w:szCs w:val="20"/>
                <w:color w:val="auto"/>
              </w:rPr>
              <w:t>0001041934</w:t>
            </w:r>
          </w:p>
        </w:tc>
        <w:tc>
          <w:tcPr>
            <w:tcW w:w="2820" w:type="dxa"/>
            <w:vAlign w:val="bottom"/>
            <w:tcBorders>
              <w:bottom w:val="single" w:sz="8" w:color="auto"/>
              <w:right w:val="single" w:sz="8" w:color="auto"/>
            </w:tcBorders>
          </w:tcPr>
          <w:p>
            <w:pPr>
              <w:spacing w:after="0"/>
              <w:rPr>
                <w:sz w:val="19"/>
                <w:szCs w:val="19"/>
                <w:color w:val="auto"/>
              </w:rPr>
            </w:pPr>
          </w:p>
        </w:tc>
      </w:tr>
      <w:tr>
        <w:trPr>
          <w:trHeight w:val="220"/>
        </w:trPr>
        <w:tc>
          <w:tcPr>
            <w:tcW w:w="3740" w:type="dxa"/>
            <w:vAlign w:val="bottom"/>
            <w:tcBorders>
              <w:left w:val="single" w:sz="8" w:color="auto"/>
              <w:bottom w:val="single" w:sz="8" w:color="auto"/>
              <w:right w:val="single" w:sz="8" w:color="auto"/>
            </w:tcBorders>
          </w:tcPr>
          <w:p>
            <w:pPr>
              <w:ind w:left="120"/>
              <w:spacing w:after="0" w:line="220" w:lineRule="exact"/>
              <w:rPr>
                <w:sz w:val="20"/>
                <w:szCs w:val="20"/>
                <w:color w:val="auto"/>
              </w:rPr>
            </w:pPr>
            <w:r>
              <w:rPr>
                <w:rFonts w:ascii="Times New Roman" w:cs="Times New Roman" w:eastAsia="Times New Roman" w:hAnsi="Times New Roman"/>
                <w:sz w:val="20"/>
                <w:szCs w:val="20"/>
                <w:color w:val="auto"/>
              </w:rPr>
              <w:t>dei:CurrentFiscalYearEndDate</w:t>
            </w:r>
          </w:p>
        </w:tc>
        <w:tc>
          <w:tcPr>
            <w:tcW w:w="2840" w:type="dxa"/>
            <w:vAlign w:val="bottom"/>
            <w:tcBorders>
              <w:bottom w:val="single" w:sz="8" w:color="auto"/>
              <w:right w:val="single" w:sz="8" w:color="auto"/>
            </w:tcBorders>
          </w:tcPr>
          <w:p>
            <w:pPr>
              <w:ind w:left="100"/>
              <w:spacing w:after="0" w:line="220" w:lineRule="exact"/>
              <w:rPr>
                <w:sz w:val="20"/>
                <w:szCs w:val="20"/>
                <w:color w:val="auto"/>
              </w:rPr>
            </w:pPr>
            <w:r>
              <w:rPr>
                <w:rFonts w:ascii="Times New Roman" w:cs="Times New Roman" w:eastAsia="Times New Roman" w:hAnsi="Times New Roman"/>
                <w:sz w:val="20"/>
                <w:szCs w:val="20"/>
                <w:color w:val="auto"/>
              </w:rPr>
              <w:t>--12-31</w:t>
            </w:r>
          </w:p>
        </w:tc>
        <w:tc>
          <w:tcPr>
            <w:tcW w:w="2820" w:type="dxa"/>
            <w:vAlign w:val="bottom"/>
            <w:tcBorders>
              <w:bottom w:val="single" w:sz="8" w:color="auto"/>
              <w:right w:val="single" w:sz="8" w:color="auto"/>
            </w:tcBorders>
          </w:tcPr>
          <w:p>
            <w:pPr>
              <w:spacing w:after="0"/>
              <w:rPr>
                <w:sz w:val="19"/>
                <w:szCs w:val="19"/>
                <w:color w:val="auto"/>
              </w:rPr>
            </w:pPr>
          </w:p>
        </w:tc>
      </w:tr>
      <w:tr>
        <w:trPr>
          <w:trHeight w:val="220"/>
        </w:trPr>
        <w:tc>
          <w:tcPr>
            <w:tcW w:w="3740" w:type="dxa"/>
            <w:vAlign w:val="bottom"/>
            <w:tcBorders>
              <w:left w:val="single" w:sz="8" w:color="auto"/>
              <w:bottom w:val="single" w:sz="8" w:color="auto"/>
              <w:right w:val="single" w:sz="8" w:color="auto"/>
            </w:tcBorders>
          </w:tcPr>
          <w:p>
            <w:pPr>
              <w:ind w:left="120"/>
              <w:spacing w:after="0" w:line="220" w:lineRule="exact"/>
              <w:rPr>
                <w:sz w:val="20"/>
                <w:szCs w:val="20"/>
                <w:color w:val="auto"/>
              </w:rPr>
            </w:pPr>
            <w:r>
              <w:rPr>
                <w:rFonts w:ascii="Times New Roman" w:cs="Times New Roman" w:eastAsia="Times New Roman" w:hAnsi="Times New Roman"/>
                <w:sz w:val="20"/>
                <w:szCs w:val="20"/>
                <w:color w:val="auto"/>
              </w:rPr>
              <w:t>dei:DocumentFiscalYearFocus</w:t>
            </w:r>
          </w:p>
        </w:tc>
        <w:tc>
          <w:tcPr>
            <w:tcW w:w="2840" w:type="dxa"/>
            <w:vAlign w:val="bottom"/>
            <w:tcBorders>
              <w:bottom w:val="single" w:sz="8" w:color="auto"/>
              <w:right w:val="single" w:sz="8" w:color="auto"/>
            </w:tcBorders>
          </w:tcPr>
          <w:p>
            <w:pPr>
              <w:ind w:left="100"/>
              <w:spacing w:after="0" w:line="220" w:lineRule="exact"/>
              <w:rPr>
                <w:sz w:val="20"/>
                <w:szCs w:val="20"/>
                <w:color w:val="auto"/>
              </w:rPr>
            </w:pPr>
            <w:r>
              <w:rPr>
                <w:rFonts w:ascii="Times New Roman" w:cs="Times New Roman" w:eastAsia="Times New Roman" w:hAnsi="Times New Roman"/>
                <w:sz w:val="20"/>
                <w:szCs w:val="20"/>
                <w:color w:val="auto"/>
              </w:rPr>
              <w:t>2025</w:t>
            </w:r>
          </w:p>
        </w:tc>
        <w:tc>
          <w:tcPr>
            <w:tcW w:w="2820" w:type="dxa"/>
            <w:vAlign w:val="bottom"/>
            <w:tcBorders>
              <w:bottom w:val="single" w:sz="8" w:color="auto"/>
              <w:right w:val="single" w:sz="8" w:color="auto"/>
            </w:tcBorders>
          </w:tcPr>
          <w:p>
            <w:pPr>
              <w:spacing w:after="0"/>
              <w:rPr>
                <w:sz w:val="19"/>
                <w:szCs w:val="19"/>
                <w:color w:val="auto"/>
              </w:rPr>
            </w:pPr>
          </w:p>
        </w:tc>
      </w:tr>
      <w:tr>
        <w:trPr>
          <w:trHeight w:val="220"/>
        </w:trPr>
        <w:tc>
          <w:tcPr>
            <w:tcW w:w="3740" w:type="dxa"/>
            <w:vAlign w:val="bottom"/>
            <w:tcBorders>
              <w:left w:val="single" w:sz="8" w:color="auto"/>
              <w:bottom w:val="single" w:sz="8" w:color="auto"/>
              <w:right w:val="single" w:sz="8" w:color="auto"/>
            </w:tcBorders>
          </w:tcPr>
          <w:p>
            <w:pPr>
              <w:ind w:left="120"/>
              <w:spacing w:after="0" w:line="220" w:lineRule="exact"/>
              <w:rPr>
                <w:sz w:val="20"/>
                <w:szCs w:val="20"/>
                <w:color w:val="auto"/>
              </w:rPr>
            </w:pPr>
            <w:r>
              <w:rPr>
                <w:rFonts w:ascii="Times New Roman" w:cs="Times New Roman" w:eastAsia="Times New Roman" w:hAnsi="Times New Roman"/>
                <w:sz w:val="20"/>
                <w:szCs w:val="20"/>
                <w:color w:val="auto"/>
              </w:rPr>
              <w:t>deiDocumentFiscalPeriodFocus</w:t>
            </w:r>
          </w:p>
        </w:tc>
        <w:tc>
          <w:tcPr>
            <w:tcW w:w="2840" w:type="dxa"/>
            <w:vAlign w:val="bottom"/>
            <w:tcBorders>
              <w:bottom w:val="single" w:sz="8" w:color="auto"/>
              <w:right w:val="single" w:sz="8" w:color="auto"/>
            </w:tcBorders>
          </w:tcPr>
          <w:p>
            <w:pPr>
              <w:ind w:left="100"/>
              <w:spacing w:after="0" w:line="220" w:lineRule="exact"/>
              <w:rPr>
                <w:sz w:val="20"/>
                <w:szCs w:val="20"/>
                <w:color w:val="auto"/>
              </w:rPr>
            </w:pPr>
            <w:r>
              <w:rPr>
                <w:rFonts w:ascii="Times New Roman" w:cs="Times New Roman" w:eastAsia="Times New Roman" w:hAnsi="Times New Roman"/>
                <w:sz w:val="20"/>
                <w:szCs w:val="20"/>
                <w:color w:val="auto"/>
              </w:rPr>
              <w:t>FY</w:t>
            </w:r>
          </w:p>
        </w:tc>
        <w:tc>
          <w:tcPr>
            <w:tcW w:w="2820" w:type="dxa"/>
            <w:vAlign w:val="bottom"/>
            <w:tcBorders>
              <w:bottom w:val="single" w:sz="8" w:color="auto"/>
              <w:right w:val="single" w:sz="8" w:color="auto"/>
            </w:tcBorders>
          </w:tcPr>
          <w:p>
            <w:pPr>
              <w:spacing w:after="0"/>
              <w:rPr>
                <w:sz w:val="19"/>
                <w:szCs w:val="19"/>
                <w:color w:val="auto"/>
              </w:rPr>
            </w:pPr>
          </w:p>
        </w:tc>
      </w:tr>
      <w:tr>
        <w:trPr>
          <w:trHeight w:val="220"/>
        </w:trPr>
        <w:tc>
          <w:tcPr>
            <w:tcW w:w="3740" w:type="dxa"/>
            <w:vAlign w:val="bottom"/>
            <w:tcBorders>
              <w:left w:val="single" w:sz="8" w:color="auto"/>
              <w:bottom w:val="single" w:sz="8" w:color="auto"/>
              <w:right w:val="single" w:sz="8" w:color="auto"/>
            </w:tcBorders>
          </w:tcPr>
          <w:p>
            <w:pPr>
              <w:ind w:left="120"/>
              <w:spacing w:after="0" w:line="220" w:lineRule="exact"/>
              <w:rPr>
                <w:sz w:val="20"/>
                <w:szCs w:val="20"/>
                <w:color w:val="auto"/>
              </w:rPr>
            </w:pPr>
            <w:r>
              <w:rPr>
                <w:rFonts w:ascii="Times New Roman" w:cs="Times New Roman" w:eastAsia="Times New Roman" w:hAnsi="Times New Roman"/>
                <w:sz w:val="20"/>
                <w:szCs w:val="20"/>
                <w:color w:val="auto"/>
              </w:rPr>
              <w:t>dei:AmendmentFlag</w:t>
            </w:r>
          </w:p>
        </w:tc>
        <w:tc>
          <w:tcPr>
            <w:tcW w:w="2840" w:type="dxa"/>
            <w:vAlign w:val="bottom"/>
            <w:tcBorders>
              <w:bottom w:val="single" w:sz="8" w:color="auto"/>
              <w:right w:val="single" w:sz="8" w:color="auto"/>
            </w:tcBorders>
          </w:tcPr>
          <w:p>
            <w:pPr>
              <w:ind w:left="100"/>
              <w:spacing w:after="0" w:line="220" w:lineRule="exact"/>
              <w:rPr>
                <w:sz w:val="20"/>
                <w:szCs w:val="20"/>
                <w:color w:val="auto"/>
              </w:rPr>
            </w:pPr>
            <w:r>
              <w:rPr>
                <w:rFonts w:ascii="Times New Roman" w:cs="Times New Roman" w:eastAsia="Times New Roman" w:hAnsi="Times New Roman"/>
                <w:sz w:val="20"/>
                <w:szCs w:val="20"/>
                <w:color w:val="auto"/>
              </w:rPr>
              <w:t>true/false</w:t>
            </w:r>
          </w:p>
        </w:tc>
        <w:tc>
          <w:tcPr>
            <w:tcW w:w="2820" w:type="dxa"/>
            <w:vAlign w:val="bottom"/>
            <w:tcBorders>
              <w:bottom w:val="single" w:sz="8" w:color="auto"/>
              <w:right w:val="single" w:sz="8" w:color="auto"/>
            </w:tcBorders>
          </w:tcPr>
          <w:p>
            <w:pPr>
              <w:spacing w:after="0"/>
              <w:rPr>
                <w:sz w:val="19"/>
                <w:szCs w:val="19"/>
                <w:color w:val="auto"/>
              </w:rPr>
            </w:pPr>
          </w:p>
        </w:tc>
      </w:tr>
      <w:tr>
        <w:trPr>
          <w:trHeight w:val="220"/>
        </w:trPr>
        <w:tc>
          <w:tcPr>
            <w:tcW w:w="3740" w:type="dxa"/>
            <w:vAlign w:val="bottom"/>
            <w:tcBorders>
              <w:left w:val="single" w:sz="8" w:color="auto"/>
              <w:bottom w:val="single" w:sz="8" w:color="auto"/>
              <w:right w:val="single" w:sz="8" w:color="auto"/>
            </w:tcBorders>
          </w:tcPr>
          <w:p>
            <w:pPr>
              <w:ind w:left="120"/>
              <w:spacing w:after="0" w:line="220" w:lineRule="exact"/>
              <w:rPr>
                <w:sz w:val="20"/>
                <w:szCs w:val="20"/>
                <w:color w:val="auto"/>
              </w:rPr>
            </w:pPr>
            <w:r>
              <w:rPr>
                <w:rFonts w:ascii="Times New Roman" w:cs="Times New Roman" w:eastAsia="Times New Roman" w:hAnsi="Times New Roman"/>
                <w:sz w:val="20"/>
                <w:szCs w:val="20"/>
                <w:color w:val="auto"/>
              </w:rPr>
              <w:t>dei:EntityRegistrantName</w:t>
            </w:r>
          </w:p>
        </w:tc>
        <w:tc>
          <w:tcPr>
            <w:tcW w:w="28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EDAP TMS SA</w:t>
            </w:r>
          </w:p>
        </w:tc>
        <w:tc>
          <w:tcPr>
            <w:tcW w:w="2820" w:type="dxa"/>
            <w:vAlign w:val="bottom"/>
            <w:tcBorders>
              <w:bottom w:val="single" w:sz="8" w:color="auto"/>
              <w:right w:val="single" w:sz="8" w:color="auto"/>
            </w:tcBorders>
          </w:tcPr>
          <w:p>
            <w:pPr>
              <w:spacing w:after="0"/>
              <w:rPr>
                <w:sz w:val="19"/>
                <w:szCs w:val="19"/>
                <w:color w:val="auto"/>
              </w:rPr>
            </w:pPr>
          </w:p>
        </w:tc>
      </w:tr>
      <w:tr>
        <w:trPr>
          <w:trHeight w:val="220"/>
        </w:trPr>
        <w:tc>
          <w:tcPr>
            <w:tcW w:w="3740" w:type="dxa"/>
            <w:vAlign w:val="bottom"/>
            <w:tcBorders>
              <w:left w:val="single" w:sz="8" w:color="auto"/>
              <w:bottom w:val="single" w:sz="8" w:color="auto"/>
              <w:right w:val="single" w:sz="8" w:color="auto"/>
            </w:tcBorders>
          </w:tcPr>
          <w:p>
            <w:pPr>
              <w:ind w:left="120"/>
              <w:spacing w:after="0" w:line="220" w:lineRule="exact"/>
              <w:rPr>
                <w:sz w:val="20"/>
                <w:szCs w:val="20"/>
                <w:color w:val="auto"/>
              </w:rPr>
            </w:pPr>
            <w:r>
              <w:rPr>
                <w:rFonts w:ascii="Times New Roman" w:cs="Times New Roman" w:eastAsia="Times New Roman" w:hAnsi="Times New Roman"/>
                <w:sz w:val="20"/>
                <w:szCs w:val="20"/>
                <w:color w:val="auto"/>
              </w:rPr>
              <w:t>dei:TradingSymbol</w:t>
            </w:r>
          </w:p>
        </w:tc>
        <w:tc>
          <w:tcPr>
            <w:tcW w:w="28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edap</w:t>
            </w:r>
          </w:p>
        </w:tc>
        <w:tc>
          <w:tcPr>
            <w:tcW w:w="2820" w:type="dxa"/>
            <w:vAlign w:val="bottom"/>
            <w:tcBorders>
              <w:bottom w:val="single" w:sz="8" w:color="auto"/>
              <w:right w:val="single" w:sz="8" w:color="auto"/>
            </w:tcBorders>
          </w:tcPr>
          <w:p>
            <w:pPr>
              <w:spacing w:after="0"/>
              <w:rPr>
                <w:sz w:val="19"/>
                <w:szCs w:val="19"/>
                <w:color w:val="auto"/>
              </w:rPr>
            </w:pPr>
          </w:p>
        </w:tc>
      </w:tr>
      <w:tr>
        <w:trPr>
          <w:trHeight w:val="220"/>
        </w:trPr>
        <w:tc>
          <w:tcPr>
            <w:tcW w:w="3740" w:type="dxa"/>
            <w:vAlign w:val="bottom"/>
            <w:tcBorders>
              <w:left w:val="single" w:sz="8" w:color="auto"/>
              <w:bottom w:val="single" w:sz="8" w:color="auto"/>
              <w:right w:val="single" w:sz="8" w:color="auto"/>
            </w:tcBorders>
          </w:tcPr>
          <w:p>
            <w:pPr>
              <w:ind w:left="120"/>
              <w:spacing w:after="0" w:line="220" w:lineRule="exact"/>
              <w:rPr>
                <w:sz w:val="20"/>
                <w:szCs w:val="20"/>
                <w:color w:val="auto"/>
              </w:rPr>
            </w:pPr>
            <w:r>
              <w:rPr>
                <w:rFonts w:ascii="Times New Roman" w:cs="Times New Roman" w:eastAsia="Times New Roman" w:hAnsi="Times New Roman"/>
                <w:sz w:val="20"/>
                <w:szCs w:val="20"/>
                <w:color w:val="auto"/>
              </w:rPr>
              <w:t>dei:EntityFilerCategory</w:t>
            </w:r>
          </w:p>
        </w:tc>
        <w:tc>
          <w:tcPr>
            <w:tcW w:w="28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Accelerated Filer</w:t>
            </w:r>
          </w:p>
        </w:tc>
        <w:tc>
          <w:tcPr>
            <w:tcW w:w="2820" w:type="dxa"/>
            <w:vAlign w:val="bottom"/>
            <w:tcBorders>
              <w:bottom w:val="single" w:sz="8" w:color="auto"/>
              <w:right w:val="single" w:sz="8" w:color="auto"/>
            </w:tcBorders>
          </w:tcPr>
          <w:p>
            <w:pPr>
              <w:spacing w:after="0"/>
              <w:rPr>
                <w:sz w:val="19"/>
                <w:szCs w:val="19"/>
                <w:color w:val="auto"/>
              </w:rPr>
            </w:pPr>
          </w:p>
        </w:tc>
      </w:tr>
      <w:tr>
        <w:trPr>
          <w:trHeight w:val="220"/>
        </w:trPr>
        <w:tc>
          <w:tcPr>
            <w:tcW w:w="3740" w:type="dxa"/>
            <w:vAlign w:val="bottom"/>
            <w:tcBorders>
              <w:left w:val="single" w:sz="8" w:color="auto"/>
              <w:bottom w:val="single" w:sz="8" w:color="auto"/>
              <w:right w:val="single" w:sz="8" w:color="auto"/>
            </w:tcBorders>
          </w:tcPr>
          <w:p>
            <w:pPr>
              <w:ind w:left="120"/>
              <w:spacing w:after="0" w:line="220" w:lineRule="exact"/>
              <w:rPr>
                <w:sz w:val="20"/>
                <w:szCs w:val="20"/>
                <w:color w:val="auto"/>
              </w:rPr>
            </w:pPr>
            <w:r>
              <w:rPr>
                <w:rFonts w:ascii="Times New Roman" w:cs="Times New Roman" w:eastAsia="Times New Roman" w:hAnsi="Times New Roman"/>
                <w:sz w:val="20"/>
                <w:szCs w:val="20"/>
                <w:color w:val="auto"/>
              </w:rPr>
              <w:t>dei:EntityCurrentReportingStatus</w:t>
            </w:r>
          </w:p>
        </w:tc>
        <w:tc>
          <w:tcPr>
            <w:tcW w:w="28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Yes</w:t>
            </w:r>
          </w:p>
        </w:tc>
        <w:tc>
          <w:tcPr>
            <w:tcW w:w="2820" w:type="dxa"/>
            <w:vAlign w:val="bottom"/>
            <w:tcBorders>
              <w:bottom w:val="single" w:sz="8" w:color="auto"/>
              <w:right w:val="single" w:sz="8" w:color="auto"/>
            </w:tcBorders>
          </w:tcPr>
          <w:p>
            <w:pPr>
              <w:spacing w:after="0"/>
              <w:rPr>
                <w:sz w:val="19"/>
                <w:szCs w:val="19"/>
                <w:color w:val="auto"/>
              </w:rPr>
            </w:pPr>
          </w:p>
        </w:tc>
      </w:tr>
      <w:tr>
        <w:trPr>
          <w:trHeight w:val="220"/>
        </w:trPr>
        <w:tc>
          <w:tcPr>
            <w:tcW w:w="3740" w:type="dxa"/>
            <w:vAlign w:val="bottom"/>
            <w:tcBorders>
              <w:left w:val="single" w:sz="8" w:color="auto"/>
              <w:bottom w:val="single" w:sz="8" w:color="auto"/>
              <w:right w:val="single" w:sz="8" w:color="auto"/>
            </w:tcBorders>
          </w:tcPr>
          <w:p>
            <w:pPr>
              <w:ind w:left="120"/>
              <w:spacing w:after="0" w:line="220" w:lineRule="exact"/>
              <w:rPr>
                <w:sz w:val="20"/>
                <w:szCs w:val="20"/>
                <w:color w:val="auto"/>
              </w:rPr>
            </w:pPr>
            <w:r>
              <w:rPr>
                <w:rFonts w:ascii="Times New Roman" w:cs="Times New Roman" w:eastAsia="Times New Roman" w:hAnsi="Times New Roman"/>
                <w:sz w:val="20"/>
                <w:szCs w:val="20"/>
                <w:color w:val="auto"/>
              </w:rPr>
              <w:t>dei:EntityVoluntaryFilers</w:t>
            </w:r>
          </w:p>
        </w:tc>
        <w:tc>
          <w:tcPr>
            <w:tcW w:w="28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No</w:t>
            </w:r>
          </w:p>
        </w:tc>
        <w:tc>
          <w:tcPr>
            <w:tcW w:w="2820" w:type="dxa"/>
            <w:vAlign w:val="bottom"/>
            <w:tcBorders>
              <w:bottom w:val="single" w:sz="8" w:color="auto"/>
              <w:right w:val="single" w:sz="8" w:color="auto"/>
            </w:tcBorders>
          </w:tcPr>
          <w:p>
            <w:pPr>
              <w:spacing w:after="0"/>
              <w:rPr>
                <w:sz w:val="19"/>
                <w:szCs w:val="19"/>
                <w:color w:val="auto"/>
              </w:rPr>
            </w:pPr>
          </w:p>
        </w:tc>
      </w:tr>
      <w:tr>
        <w:trPr>
          <w:trHeight w:val="220"/>
        </w:trPr>
        <w:tc>
          <w:tcPr>
            <w:tcW w:w="3740" w:type="dxa"/>
            <w:vAlign w:val="bottom"/>
            <w:tcBorders>
              <w:left w:val="single" w:sz="8" w:color="auto"/>
              <w:bottom w:val="single" w:sz="8" w:color="auto"/>
              <w:right w:val="single" w:sz="8" w:color="auto"/>
            </w:tcBorders>
          </w:tcPr>
          <w:p>
            <w:pPr>
              <w:ind w:left="120"/>
              <w:spacing w:after="0" w:line="220" w:lineRule="exact"/>
              <w:rPr>
                <w:sz w:val="20"/>
                <w:szCs w:val="20"/>
                <w:color w:val="auto"/>
              </w:rPr>
            </w:pPr>
            <w:r>
              <w:rPr>
                <w:rFonts w:ascii="Times New Roman" w:cs="Times New Roman" w:eastAsia="Times New Roman" w:hAnsi="Times New Roman"/>
                <w:sz w:val="20"/>
                <w:szCs w:val="20"/>
                <w:color w:val="auto"/>
              </w:rPr>
              <w:t>dei:EntityWellKnownSeasonedIssuer</w:t>
            </w:r>
          </w:p>
        </w:tc>
        <w:tc>
          <w:tcPr>
            <w:tcW w:w="28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No</w:t>
            </w:r>
          </w:p>
        </w:tc>
        <w:tc>
          <w:tcPr>
            <w:tcW w:w="2820" w:type="dxa"/>
            <w:vAlign w:val="bottom"/>
            <w:tcBorders>
              <w:bottom w:val="single" w:sz="8" w:color="auto"/>
              <w:right w:val="single" w:sz="8" w:color="auto"/>
            </w:tcBorders>
          </w:tcPr>
          <w:p>
            <w:pPr>
              <w:spacing w:after="0"/>
              <w:rPr>
                <w:sz w:val="19"/>
                <w:szCs w:val="19"/>
                <w:color w:val="auto"/>
              </w:rPr>
            </w:pPr>
          </w:p>
        </w:tc>
      </w:tr>
      <w:tr>
        <w:trPr>
          <w:trHeight w:val="220"/>
        </w:trPr>
        <w:tc>
          <w:tcPr>
            <w:tcW w:w="3740" w:type="dxa"/>
            <w:vAlign w:val="bottom"/>
            <w:tcBorders>
              <w:left w:val="single" w:sz="8" w:color="auto"/>
              <w:bottom w:val="single" w:sz="8" w:color="auto"/>
              <w:right w:val="single" w:sz="8" w:color="auto"/>
            </w:tcBorders>
          </w:tcPr>
          <w:p>
            <w:pPr>
              <w:ind w:left="120"/>
              <w:spacing w:after="0" w:line="220" w:lineRule="exact"/>
              <w:rPr>
                <w:sz w:val="20"/>
                <w:szCs w:val="20"/>
                <w:color w:val="auto"/>
              </w:rPr>
            </w:pPr>
            <w:r>
              <w:rPr>
                <w:rFonts w:ascii="Times New Roman" w:cs="Times New Roman" w:eastAsia="Times New Roman" w:hAnsi="Times New Roman"/>
                <w:sz w:val="20"/>
                <w:szCs w:val="20"/>
                <w:color w:val="auto"/>
              </w:rPr>
              <w:t>dei:EntityEmergingGrowthCompany</w:t>
            </w:r>
          </w:p>
        </w:tc>
        <w:tc>
          <w:tcPr>
            <w:tcW w:w="28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false</w:t>
            </w:r>
          </w:p>
        </w:tc>
        <w:tc>
          <w:tcPr>
            <w:tcW w:w="2820" w:type="dxa"/>
            <w:vAlign w:val="bottom"/>
            <w:tcBorders>
              <w:bottom w:val="single" w:sz="8" w:color="auto"/>
              <w:right w:val="single" w:sz="8" w:color="auto"/>
            </w:tcBorders>
          </w:tcPr>
          <w:p>
            <w:pPr>
              <w:spacing w:after="0"/>
              <w:rPr>
                <w:sz w:val="19"/>
                <w:szCs w:val="19"/>
                <w:color w:val="auto"/>
              </w:rPr>
            </w:pPr>
          </w:p>
        </w:tc>
      </w:tr>
      <w:tr>
        <w:trPr>
          <w:trHeight w:val="220"/>
        </w:trPr>
        <w:tc>
          <w:tcPr>
            <w:tcW w:w="3740" w:type="dxa"/>
            <w:vAlign w:val="bottom"/>
            <w:tcBorders>
              <w:left w:val="single" w:sz="8" w:color="auto"/>
              <w:bottom w:val="single" w:sz="8" w:color="auto"/>
              <w:right w:val="single" w:sz="8" w:color="auto"/>
            </w:tcBorders>
          </w:tcPr>
          <w:p>
            <w:pPr>
              <w:ind w:left="120"/>
              <w:spacing w:after="0" w:line="220" w:lineRule="exact"/>
              <w:rPr>
                <w:sz w:val="20"/>
                <w:szCs w:val="20"/>
                <w:color w:val="auto"/>
              </w:rPr>
            </w:pPr>
            <w:r>
              <w:rPr>
                <w:rFonts w:ascii="Times New Roman" w:cs="Times New Roman" w:eastAsia="Times New Roman" w:hAnsi="Times New Roman"/>
                <w:sz w:val="20"/>
                <w:szCs w:val="20"/>
                <w:color w:val="auto"/>
              </w:rPr>
              <w:t>dei:EntityInteractiveDataCurrent</w:t>
            </w:r>
          </w:p>
        </w:tc>
        <w:tc>
          <w:tcPr>
            <w:tcW w:w="28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Yes</w:t>
            </w:r>
          </w:p>
        </w:tc>
        <w:tc>
          <w:tcPr>
            <w:tcW w:w="2820" w:type="dxa"/>
            <w:vAlign w:val="bottom"/>
            <w:tcBorders>
              <w:bottom w:val="single" w:sz="8" w:color="auto"/>
              <w:right w:val="single" w:sz="8" w:color="auto"/>
            </w:tcBorders>
          </w:tcPr>
          <w:p>
            <w:pPr>
              <w:spacing w:after="0"/>
              <w:rPr>
                <w:sz w:val="19"/>
                <w:szCs w:val="19"/>
                <w:color w:val="auto"/>
              </w:rPr>
            </w:pPr>
          </w:p>
        </w:tc>
      </w:tr>
      <w:tr>
        <w:trPr>
          <w:trHeight w:val="220"/>
        </w:trPr>
        <w:tc>
          <w:tcPr>
            <w:tcW w:w="3740" w:type="dxa"/>
            <w:vAlign w:val="bottom"/>
            <w:tcBorders>
              <w:left w:val="single" w:sz="8" w:color="auto"/>
              <w:bottom w:val="single" w:sz="8" w:color="auto"/>
              <w:right w:val="single" w:sz="8" w:color="auto"/>
            </w:tcBorders>
          </w:tcPr>
          <w:p>
            <w:pPr>
              <w:ind w:left="120"/>
              <w:spacing w:after="0" w:line="220" w:lineRule="exact"/>
              <w:rPr>
                <w:sz w:val="20"/>
                <w:szCs w:val="20"/>
                <w:color w:val="auto"/>
              </w:rPr>
            </w:pPr>
            <w:r>
              <w:rPr>
                <w:rFonts w:ascii="Times New Roman" w:cs="Times New Roman" w:eastAsia="Times New Roman" w:hAnsi="Times New Roman"/>
                <w:sz w:val="20"/>
                <w:szCs w:val="20"/>
                <w:color w:val="auto"/>
              </w:rPr>
              <w:t>dei:EntityCommonStockSharesOutstanding</w:t>
            </w:r>
          </w:p>
        </w:tc>
        <w:tc>
          <w:tcPr>
            <w:tcW w:w="28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00</w:t>
            </w:r>
          </w:p>
        </w:tc>
        <w:tc>
          <w:tcPr>
            <w:tcW w:w="2820" w:type="dxa"/>
            <w:vAlign w:val="bottom"/>
            <w:tcBorders>
              <w:bottom w:val="single" w:sz="8" w:color="auto"/>
              <w:right w:val="single" w:sz="8" w:color="auto"/>
            </w:tcBorders>
          </w:tcPr>
          <w:p>
            <w:pPr>
              <w:spacing w:after="0"/>
              <w:rPr>
                <w:sz w:val="19"/>
                <w:szCs w:val="19"/>
                <w:color w:val="auto"/>
              </w:rPr>
            </w:pPr>
          </w:p>
        </w:tc>
      </w:tr>
      <w:tr>
        <w:trPr>
          <w:trHeight w:val="220"/>
        </w:trPr>
        <w:tc>
          <w:tcPr>
            <w:tcW w:w="3740" w:type="dxa"/>
            <w:vAlign w:val="bottom"/>
            <w:tcBorders>
              <w:left w:val="single" w:sz="8" w:color="auto"/>
              <w:bottom w:val="single" w:sz="8" w:color="auto"/>
              <w:right w:val="single" w:sz="8" w:color="auto"/>
            </w:tcBorders>
          </w:tcPr>
          <w:p>
            <w:pPr>
              <w:ind w:left="120"/>
              <w:spacing w:after="0" w:line="220" w:lineRule="exact"/>
              <w:rPr>
                <w:sz w:val="20"/>
                <w:szCs w:val="20"/>
                <w:color w:val="auto"/>
              </w:rPr>
            </w:pPr>
            <w:r>
              <w:rPr>
                <w:rFonts w:ascii="Times New Roman" w:cs="Times New Roman" w:eastAsia="Times New Roman" w:hAnsi="Times New Roman"/>
                <w:sz w:val="20"/>
                <w:szCs w:val="20"/>
                <w:color w:val="auto"/>
              </w:rPr>
              <w:t>dei:EntityShellCompany</w:t>
            </w:r>
          </w:p>
        </w:tc>
        <w:tc>
          <w:tcPr>
            <w:tcW w:w="28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False</w:t>
            </w:r>
          </w:p>
        </w:tc>
        <w:tc>
          <w:tcPr>
            <w:tcW w:w="2820" w:type="dxa"/>
            <w:vAlign w:val="bottom"/>
            <w:tcBorders>
              <w:bottom w:val="single" w:sz="8" w:color="auto"/>
              <w:right w:val="single" w:sz="8" w:color="auto"/>
            </w:tcBorders>
          </w:tcPr>
          <w:p>
            <w:pPr>
              <w:spacing w:after="0"/>
              <w:rPr>
                <w:sz w:val="19"/>
                <w:szCs w:val="19"/>
                <w:color w:val="auto"/>
              </w:rPr>
            </w:pPr>
          </w:p>
        </w:tc>
      </w:tr>
      <w:tr>
        <w:trPr>
          <w:trHeight w:val="220"/>
        </w:trPr>
        <w:tc>
          <w:tcPr>
            <w:tcW w:w="3740" w:type="dxa"/>
            <w:vAlign w:val="bottom"/>
            <w:tcBorders>
              <w:left w:val="single" w:sz="8" w:color="auto"/>
              <w:bottom w:val="single" w:sz="8" w:color="auto"/>
              <w:right w:val="single" w:sz="8" w:color="auto"/>
            </w:tcBorders>
          </w:tcPr>
          <w:p>
            <w:pPr>
              <w:ind w:left="120"/>
              <w:spacing w:after="0" w:line="220" w:lineRule="exact"/>
              <w:rPr>
                <w:sz w:val="20"/>
                <w:szCs w:val="20"/>
                <w:color w:val="auto"/>
              </w:rPr>
            </w:pPr>
            <w:r>
              <w:rPr>
                <w:rFonts w:ascii="Times New Roman" w:cs="Times New Roman" w:eastAsia="Times New Roman" w:hAnsi="Times New Roman"/>
                <w:sz w:val="20"/>
                <w:szCs w:val="20"/>
                <w:color w:val="auto"/>
              </w:rPr>
              <w:t>dei:DocumentType</w:t>
            </w:r>
          </w:p>
        </w:tc>
        <w:tc>
          <w:tcPr>
            <w:tcW w:w="28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20-F</w:t>
            </w:r>
          </w:p>
        </w:tc>
        <w:tc>
          <w:tcPr>
            <w:tcW w:w="2820" w:type="dxa"/>
            <w:vAlign w:val="bottom"/>
            <w:tcBorders>
              <w:bottom w:val="single" w:sz="8" w:color="auto"/>
              <w:right w:val="single" w:sz="8" w:color="auto"/>
            </w:tcBorders>
          </w:tcPr>
          <w:p>
            <w:pPr>
              <w:spacing w:after="0"/>
              <w:rPr>
                <w:sz w:val="19"/>
                <w:szCs w:val="19"/>
                <w:color w:val="auto"/>
              </w:rPr>
            </w:pPr>
          </w:p>
        </w:tc>
      </w:tr>
      <w:tr>
        <w:trPr>
          <w:trHeight w:val="220"/>
        </w:trPr>
        <w:tc>
          <w:tcPr>
            <w:tcW w:w="3740" w:type="dxa"/>
            <w:vAlign w:val="bottom"/>
            <w:tcBorders>
              <w:left w:val="single" w:sz="8" w:color="auto"/>
              <w:bottom w:val="single" w:sz="8" w:color="auto"/>
              <w:right w:val="single" w:sz="8" w:color="auto"/>
            </w:tcBorders>
          </w:tcPr>
          <w:p>
            <w:pPr>
              <w:ind w:left="120"/>
              <w:spacing w:after="0" w:line="220" w:lineRule="exact"/>
              <w:rPr>
                <w:sz w:val="20"/>
                <w:szCs w:val="20"/>
                <w:color w:val="auto"/>
              </w:rPr>
            </w:pPr>
            <w:r>
              <w:rPr>
                <w:rFonts w:ascii="Times New Roman" w:cs="Times New Roman" w:eastAsia="Times New Roman" w:hAnsi="Times New Roman"/>
                <w:sz w:val="20"/>
                <w:szCs w:val="20"/>
                <w:color w:val="auto"/>
              </w:rPr>
              <w:t>dei:DocumentPeriodEndDate</w:t>
            </w:r>
          </w:p>
        </w:tc>
        <w:tc>
          <w:tcPr>
            <w:tcW w:w="28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Dec.31,2025</w:t>
            </w:r>
          </w:p>
        </w:tc>
        <w:tc>
          <w:tcPr>
            <w:tcW w:w="2820" w:type="dxa"/>
            <w:vAlign w:val="bottom"/>
            <w:tcBorders>
              <w:bottom w:val="single" w:sz="8" w:color="auto"/>
              <w:right w:val="single" w:sz="8" w:color="auto"/>
            </w:tcBorders>
          </w:tcPr>
          <w:p>
            <w:pPr>
              <w:spacing w:after="0"/>
              <w:rPr>
                <w:sz w:val="19"/>
                <w:szCs w:val="19"/>
                <w:color w:val="auto"/>
              </w:rPr>
            </w:pPr>
          </w:p>
        </w:tc>
      </w:tr>
      <w:tr>
        <w:trPr>
          <w:trHeight w:val="220"/>
        </w:trPr>
        <w:tc>
          <w:tcPr>
            <w:tcW w:w="3740" w:type="dxa"/>
            <w:vAlign w:val="bottom"/>
            <w:tcBorders>
              <w:left w:val="single" w:sz="8" w:color="auto"/>
              <w:bottom w:val="single" w:sz="8" w:color="auto"/>
              <w:right w:val="single" w:sz="8" w:color="auto"/>
            </w:tcBorders>
          </w:tcPr>
          <w:p>
            <w:pPr>
              <w:ind w:left="120"/>
              <w:spacing w:after="0" w:line="220" w:lineRule="exact"/>
              <w:rPr>
                <w:sz w:val="20"/>
                <w:szCs w:val="20"/>
                <w:color w:val="auto"/>
              </w:rPr>
            </w:pPr>
            <w:r>
              <w:rPr>
                <w:rFonts w:ascii="Times New Roman" w:cs="Times New Roman" w:eastAsia="Times New Roman" w:hAnsi="Times New Roman"/>
                <w:sz w:val="20"/>
                <w:szCs w:val="20"/>
                <w:color w:val="auto"/>
              </w:rPr>
              <w:t>dei:Security12bTitle</w:t>
            </w:r>
          </w:p>
        </w:tc>
        <w:tc>
          <w:tcPr>
            <w:tcW w:w="28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American Depositary Shares</w:t>
            </w:r>
          </w:p>
        </w:tc>
        <w:tc>
          <w:tcPr>
            <w:tcW w:w="2820" w:type="dxa"/>
            <w:vAlign w:val="bottom"/>
            <w:tcBorders>
              <w:bottom w:val="single" w:sz="8" w:color="auto"/>
              <w:right w:val="single" w:sz="8" w:color="auto"/>
            </w:tcBorders>
          </w:tcPr>
          <w:p>
            <w:pPr>
              <w:spacing w:after="0"/>
              <w:rPr>
                <w:sz w:val="19"/>
                <w:szCs w:val="19"/>
                <w:color w:val="auto"/>
              </w:rPr>
            </w:pPr>
          </w:p>
        </w:tc>
      </w:tr>
      <w:tr>
        <w:trPr>
          <w:trHeight w:val="218"/>
        </w:trPr>
        <w:tc>
          <w:tcPr>
            <w:tcW w:w="3740" w:type="dxa"/>
            <w:vAlign w:val="bottom"/>
            <w:tcBorders>
              <w:left w:val="single" w:sz="8" w:color="auto"/>
              <w:bottom w:val="single" w:sz="8" w:color="auto"/>
              <w:right w:val="single" w:sz="8" w:color="auto"/>
            </w:tcBorders>
          </w:tcPr>
          <w:p>
            <w:pPr>
              <w:ind w:left="120"/>
              <w:spacing w:after="0" w:line="218" w:lineRule="exact"/>
              <w:rPr>
                <w:sz w:val="20"/>
                <w:szCs w:val="20"/>
                <w:color w:val="auto"/>
              </w:rPr>
            </w:pPr>
            <w:r>
              <w:rPr>
                <w:rFonts w:ascii="Times New Roman" w:cs="Times New Roman" w:eastAsia="Times New Roman" w:hAnsi="Times New Roman"/>
                <w:sz w:val="20"/>
                <w:szCs w:val="20"/>
                <w:color w:val="auto"/>
              </w:rPr>
              <w:t>dei:DocumentAnnualReport</w:t>
            </w:r>
          </w:p>
        </w:tc>
        <w:tc>
          <w:tcPr>
            <w:tcW w:w="28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True</w:t>
            </w:r>
          </w:p>
        </w:tc>
        <w:tc>
          <w:tcPr>
            <w:tcW w:w="2820" w:type="dxa"/>
            <w:vAlign w:val="bottom"/>
            <w:tcBorders>
              <w:bottom w:val="single" w:sz="8" w:color="auto"/>
              <w:right w:val="single" w:sz="8" w:color="auto"/>
            </w:tcBorders>
          </w:tcPr>
          <w:p>
            <w:pPr>
              <w:spacing w:after="0"/>
              <w:rPr>
                <w:sz w:val="18"/>
                <w:szCs w:val="18"/>
                <w:color w:val="auto"/>
              </w:rPr>
            </w:pPr>
          </w:p>
        </w:tc>
      </w:tr>
      <w:tr>
        <w:trPr>
          <w:trHeight w:val="220"/>
        </w:trPr>
        <w:tc>
          <w:tcPr>
            <w:tcW w:w="3740" w:type="dxa"/>
            <w:vAlign w:val="bottom"/>
            <w:tcBorders>
              <w:left w:val="single" w:sz="8" w:color="auto"/>
              <w:bottom w:val="single" w:sz="8" w:color="auto"/>
              <w:right w:val="single" w:sz="8" w:color="auto"/>
            </w:tcBorders>
          </w:tcPr>
          <w:p>
            <w:pPr>
              <w:ind w:left="120"/>
              <w:spacing w:after="0" w:line="220" w:lineRule="exact"/>
              <w:rPr>
                <w:sz w:val="20"/>
                <w:szCs w:val="20"/>
                <w:color w:val="auto"/>
              </w:rPr>
            </w:pPr>
            <w:r>
              <w:rPr>
                <w:rFonts w:ascii="Times New Roman" w:cs="Times New Roman" w:eastAsia="Times New Roman" w:hAnsi="Times New Roman"/>
                <w:sz w:val="20"/>
                <w:szCs w:val="20"/>
                <w:color w:val="auto"/>
              </w:rPr>
              <w:t>dei:DocumentTransitionReport</w:t>
            </w:r>
          </w:p>
        </w:tc>
        <w:tc>
          <w:tcPr>
            <w:tcW w:w="28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False</w:t>
            </w:r>
          </w:p>
        </w:tc>
        <w:tc>
          <w:tcPr>
            <w:tcW w:w="2820" w:type="dxa"/>
            <w:vAlign w:val="bottom"/>
            <w:tcBorders>
              <w:bottom w:val="single" w:sz="8" w:color="auto"/>
              <w:right w:val="single" w:sz="8" w:color="auto"/>
            </w:tcBorders>
          </w:tcPr>
          <w:p>
            <w:pPr>
              <w:spacing w:after="0"/>
              <w:rPr>
                <w:sz w:val="19"/>
                <w:szCs w:val="19"/>
                <w:color w:val="auto"/>
              </w:rPr>
            </w:pPr>
          </w:p>
        </w:tc>
      </w:tr>
      <w:tr>
        <w:trPr>
          <w:trHeight w:val="220"/>
        </w:trPr>
        <w:tc>
          <w:tcPr>
            <w:tcW w:w="3740" w:type="dxa"/>
            <w:vAlign w:val="bottom"/>
            <w:tcBorders>
              <w:left w:val="single" w:sz="8" w:color="auto"/>
              <w:bottom w:val="single" w:sz="8" w:color="auto"/>
              <w:right w:val="single" w:sz="8" w:color="auto"/>
            </w:tcBorders>
          </w:tcPr>
          <w:p>
            <w:pPr>
              <w:ind w:left="120"/>
              <w:spacing w:after="0" w:line="220" w:lineRule="exact"/>
              <w:rPr>
                <w:sz w:val="20"/>
                <w:szCs w:val="20"/>
                <w:color w:val="auto"/>
              </w:rPr>
            </w:pPr>
            <w:r>
              <w:rPr>
                <w:rFonts w:ascii="Times New Roman" w:cs="Times New Roman" w:eastAsia="Times New Roman" w:hAnsi="Times New Roman"/>
                <w:sz w:val="20"/>
                <w:szCs w:val="20"/>
                <w:color w:val="auto"/>
              </w:rPr>
              <w:t>dei:DocumentShellCompanyReport</w:t>
            </w:r>
          </w:p>
        </w:tc>
        <w:tc>
          <w:tcPr>
            <w:tcW w:w="28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False</w:t>
            </w:r>
          </w:p>
        </w:tc>
        <w:tc>
          <w:tcPr>
            <w:tcW w:w="2820" w:type="dxa"/>
            <w:vAlign w:val="bottom"/>
            <w:tcBorders>
              <w:bottom w:val="single" w:sz="8" w:color="auto"/>
              <w:right w:val="single" w:sz="8" w:color="auto"/>
            </w:tcBorders>
          </w:tcPr>
          <w:p>
            <w:pPr>
              <w:spacing w:after="0"/>
              <w:rPr>
                <w:sz w:val="19"/>
                <w:szCs w:val="19"/>
                <w:color w:val="auto"/>
              </w:rPr>
            </w:pPr>
          </w:p>
        </w:tc>
      </w:tr>
      <w:tr>
        <w:trPr>
          <w:trHeight w:val="220"/>
        </w:trPr>
        <w:tc>
          <w:tcPr>
            <w:tcW w:w="3740" w:type="dxa"/>
            <w:vAlign w:val="bottom"/>
            <w:tcBorders>
              <w:left w:val="single" w:sz="8" w:color="auto"/>
              <w:bottom w:val="single" w:sz="8" w:color="auto"/>
              <w:right w:val="single" w:sz="8" w:color="auto"/>
            </w:tcBorders>
          </w:tcPr>
          <w:p>
            <w:pPr>
              <w:ind w:left="120"/>
              <w:spacing w:after="0" w:line="220" w:lineRule="exact"/>
              <w:rPr>
                <w:sz w:val="20"/>
                <w:szCs w:val="20"/>
                <w:color w:val="auto"/>
              </w:rPr>
            </w:pPr>
            <w:r>
              <w:rPr>
                <w:rFonts w:ascii="Times New Roman" w:cs="Times New Roman" w:eastAsia="Times New Roman" w:hAnsi="Times New Roman"/>
                <w:sz w:val="20"/>
                <w:szCs w:val="20"/>
                <w:color w:val="auto"/>
              </w:rPr>
              <w:t>dei_DocumentRegistrationStatement</w:t>
            </w:r>
          </w:p>
        </w:tc>
        <w:tc>
          <w:tcPr>
            <w:tcW w:w="28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False</w:t>
            </w:r>
          </w:p>
        </w:tc>
        <w:tc>
          <w:tcPr>
            <w:tcW w:w="2820" w:type="dxa"/>
            <w:vAlign w:val="bottom"/>
            <w:tcBorders>
              <w:bottom w:val="single" w:sz="8" w:color="auto"/>
              <w:right w:val="single" w:sz="8" w:color="auto"/>
            </w:tcBorders>
          </w:tcPr>
          <w:p>
            <w:pPr>
              <w:spacing w:after="0"/>
              <w:rPr>
                <w:sz w:val="19"/>
                <w:szCs w:val="19"/>
                <w:color w:val="auto"/>
              </w:rPr>
            </w:pPr>
          </w:p>
        </w:tc>
      </w:tr>
      <w:tr>
        <w:trPr>
          <w:trHeight w:val="222"/>
        </w:trPr>
        <w:tc>
          <w:tcPr>
            <w:tcW w:w="3740" w:type="dxa"/>
            <w:vAlign w:val="bottom"/>
            <w:tcBorders>
              <w:left w:val="single" w:sz="8" w:color="auto"/>
              <w:bottom w:val="single" w:sz="8" w:color="auto"/>
              <w:right w:val="single" w:sz="8" w:color="auto"/>
            </w:tcBorders>
          </w:tcPr>
          <w:p>
            <w:pPr>
              <w:spacing w:after="0"/>
              <w:rPr>
                <w:sz w:val="19"/>
                <w:szCs w:val="19"/>
                <w:color w:val="auto"/>
              </w:rPr>
            </w:pPr>
          </w:p>
        </w:tc>
        <w:tc>
          <w:tcPr>
            <w:tcW w:w="2840" w:type="dxa"/>
            <w:vAlign w:val="bottom"/>
            <w:tcBorders>
              <w:bottom w:val="single" w:sz="8" w:color="auto"/>
              <w:right w:val="single" w:sz="8" w:color="auto"/>
            </w:tcBorders>
          </w:tcPr>
          <w:p>
            <w:pPr>
              <w:spacing w:after="0"/>
              <w:rPr>
                <w:sz w:val="19"/>
                <w:szCs w:val="19"/>
                <w:color w:val="auto"/>
              </w:rPr>
            </w:pPr>
          </w:p>
        </w:tc>
        <w:tc>
          <w:tcPr>
            <w:tcW w:w="2820" w:type="dxa"/>
            <w:vAlign w:val="bottom"/>
            <w:tcBorders>
              <w:bottom w:val="single" w:sz="8" w:color="auto"/>
              <w:right w:val="single" w:sz="8" w:color="auto"/>
            </w:tcBorders>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9380"/>
          </w:cols>
          <w:pgMar w:left="1260" w:top="1247" w:right="1266" w:bottom="72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76</w:t>
      </w:r>
    </w:p>
    <w:sectPr>
      <w:pgSz w:w="11900" w:h="16838" w:orient="portrait"/>
      <w:cols w:equalWidth="0" w:num="1">
        <w:col w:w="9380"/>
      </w:cols>
      <w:pgMar w:left="1260" w:top="1247" w:right="1266" w:bottom="72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MS PMincho">
    <w:panose1 w:val="02020600040205080304"/>
    <w:charset w:val="80"/>
    <w:family w:val="roman"/>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55585C"/>
    <w:multiLevelType w:val="hybridMultilevel"/>
    <w:lvl w:ilvl="0">
      <w:lvlJc w:val="left"/>
      <w:lvlText w:val="☒"/>
      <w:numFmt w:val="bullet"/>
      <w:start w:val="1"/>
    </w:lvl>
  </w:abstractNum>
  <w:abstractNum w:abstractNumId="1">
    <w:nsid w:val="70A64E2A"/>
    <w:multiLevelType w:val="hybridMultilevel"/>
    <w:lvl w:ilvl="0">
      <w:lvlJc w:val="left"/>
      <w:lvlText w:val="☐"/>
      <w:numFmt w:val="bullet"/>
      <w:start w:val="1"/>
    </w:lvl>
  </w:abstractNum>
  <w:abstractNum w:abstractNumId="2">
    <w:nsid w:val="6A2342EC"/>
    <w:multiLevelType w:val="hybridMultilevel"/>
    <w:lvl w:ilvl="0">
      <w:lvlJc w:val="left"/>
      <w:lvlText w:val="•"/>
      <w:numFmt w:val="bullet"/>
      <w:start w:val="1"/>
    </w:lvl>
  </w:abstractNum>
  <w:abstractNum w:abstractNumId="3">
    <w:nsid w:val="2A487CB0"/>
    <w:multiLevelType w:val="hybridMultilevel"/>
    <w:lvl w:ilvl="0">
      <w:lvlJc w:val="left"/>
      <w:lvlText w:val="•"/>
      <w:numFmt w:val="bullet"/>
      <w:start w:val="1"/>
    </w:lvl>
  </w:abstractNum>
  <w:abstractNum w:abstractNumId="4">
    <w:nsid w:val="1D4ED43B"/>
    <w:multiLevelType w:val="hybridMultilevel"/>
    <w:lvl w:ilvl="0">
      <w:lvlJc w:val="left"/>
      <w:lvlText w:val="•"/>
      <w:numFmt w:val="bullet"/>
      <w:start w:val="1"/>
    </w:lvl>
  </w:abstractNum>
  <w:abstractNum w:abstractNumId="5">
    <w:nsid w:val="725A06FB"/>
    <w:multiLevelType w:val="hybridMultilevel"/>
    <w:lvl w:ilvl="0">
      <w:lvlJc w:val="left"/>
      <w:lvlText w:val="•"/>
      <w:numFmt w:val="bullet"/>
      <w:start w:val="1"/>
    </w:lvl>
  </w:abstractNum>
  <w:abstractNum w:abstractNumId="6">
    <w:nsid w:val="2CD89A32"/>
    <w:multiLevelType w:val="hybridMultilevel"/>
    <w:lvl w:ilvl="0">
      <w:lvlJc w:val="left"/>
      <w:lvlText w:val="•"/>
      <w:numFmt w:val="bullet"/>
      <w:start w:val="1"/>
    </w:lvl>
  </w:abstractNum>
  <w:abstractNum w:abstractNumId="7">
    <w:nsid w:val="57E4CCAF"/>
    <w:multiLevelType w:val="hybridMultilevel"/>
    <w:lvl w:ilvl="0">
      <w:lvlJc w:val="left"/>
      <w:lvlText w:val="•"/>
      <w:numFmt w:val="bullet"/>
      <w:start w:val="1"/>
    </w:lvl>
  </w:abstractNum>
  <w:abstractNum w:abstractNumId="8">
    <w:nsid w:val="7A6D8D3C"/>
    <w:multiLevelType w:val="hybridMultilevel"/>
    <w:lvl w:ilvl="0">
      <w:lvlJc w:val="left"/>
      <w:lvlText w:val="•"/>
      <w:numFmt w:val="bullet"/>
      <w:start w:val="1"/>
    </w:lvl>
  </w:abstractNum>
  <w:abstractNum w:abstractNumId="9">
    <w:nsid w:val="4B588F54"/>
    <w:multiLevelType w:val="hybridMultilevel"/>
    <w:lvl w:ilvl="0">
      <w:lvlJc w:val="left"/>
      <w:lvlText w:val="•"/>
      <w:numFmt w:val="bullet"/>
      <w:start w:val="1"/>
    </w:lvl>
  </w:abstractNum>
  <w:abstractNum w:abstractNumId="10">
    <w:nsid w:val="542289EC"/>
    <w:multiLevelType w:val="hybridMultilevel"/>
    <w:lvl w:ilvl="0">
      <w:lvlJc w:val="left"/>
      <w:lvlText w:val="•"/>
      <w:numFmt w:val="bullet"/>
      <w:start w:val="1"/>
    </w:lvl>
  </w:abstractNum>
  <w:abstractNum w:abstractNumId="11">
    <w:nsid w:val="6DE91B18"/>
    <w:multiLevelType w:val="hybridMultilevel"/>
    <w:lvl w:ilvl="0">
      <w:lvlJc w:val="left"/>
      <w:lvlText w:val="•"/>
      <w:numFmt w:val="bullet"/>
      <w:start w:val="1"/>
    </w:lvl>
  </w:abstractNum>
  <w:abstractNum w:abstractNumId="12">
    <w:nsid w:val="38437FDB"/>
    <w:multiLevelType w:val="hybridMultilevel"/>
    <w:lvl w:ilvl="0">
      <w:lvlJc w:val="left"/>
      <w:lvlText w:val="•"/>
      <w:numFmt w:val="bullet"/>
      <w:start w:val="1"/>
    </w:lvl>
  </w:abstractNum>
  <w:abstractNum w:abstractNumId="13">
    <w:nsid w:val="7644A45C"/>
    <w:multiLevelType w:val="hybridMultilevel"/>
    <w:lvl w:ilvl="0">
      <w:lvlJc w:val="left"/>
      <w:lvlText w:val="•"/>
      <w:numFmt w:val="bullet"/>
      <w:start w:val="1"/>
    </w:lvl>
  </w:abstractNum>
  <w:abstractNum w:abstractNumId="14">
    <w:nsid w:val="32FFF902"/>
    <w:multiLevelType w:val="hybridMultilevel"/>
    <w:lvl w:ilvl="0">
      <w:lvlJc w:val="left"/>
      <w:lvlText w:val="•"/>
      <w:numFmt w:val="bullet"/>
      <w:start w:val="1"/>
    </w:lvl>
  </w:abstractNum>
  <w:abstractNum w:abstractNumId="15">
    <w:nsid w:val="684A481A"/>
    <w:multiLevelType w:val="hybridMultilevel"/>
    <w:lvl w:ilvl="0">
      <w:lvlJc w:val="left"/>
      <w:lvlText w:val="•"/>
      <w:numFmt w:val="bullet"/>
      <w:start w:val="1"/>
    </w:lvl>
  </w:abstractNum>
  <w:abstractNum w:abstractNumId="16">
    <w:nsid w:val="579478FE"/>
    <w:multiLevelType w:val="hybridMultilevel"/>
    <w:lvl w:ilvl="0">
      <w:lvlJc w:val="left"/>
      <w:lvlText w:val="•"/>
      <w:numFmt w:val="bullet"/>
      <w:start w:val="1"/>
    </w:lvl>
  </w:abstractNum>
  <w:abstractNum w:abstractNumId="17">
    <w:nsid w:val="749ABB43"/>
    <w:multiLevelType w:val="hybridMultilevel"/>
    <w:lvl w:ilvl="0">
      <w:lvlJc w:val="left"/>
      <w:lvlText w:val="•"/>
      <w:numFmt w:val="bullet"/>
      <w:start w:val="1"/>
    </w:lvl>
  </w:abstractNum>
  <w:abstractNum w:abstractNumId="18">
    <w:nsid w:val="3DC240FB"/>
    <w:multiLevelType w:val="hybridMultilevel"/>
    <w:lvl w:ilvl="0">
      <w:lvlJc w:val="left"/>
      <w:lvlText w:val="•"/>
      <w:numFmt w:val="bullet"/>
      <w:start w:val="1"/>
    </w:lvl>
  </w:abstractNum>
  <w:abstractNum w:abstractNumId="19">
    <w:nsid w:val="1BA026FA"/>
    <w:multiLevelType w:val="hybridMultilevel"/>
    <w:lvl w:ilvl="0">
      <w:lvlJc w:val="left"/>
      <w:lvlText w:val="•"/>
      <w:numFmt w:val="bullet"/>
      <w:start w:val="1"/>
    </w:lvl>
  </w:abstractNum>
  <w:abstractNum w:abstractNumId="20">
    <w:nsid w:val="79A1DEAA"/>
    <w:multiLevelType w:val="hybridMultilevel"/>
    <w:lvl w:ilvl="0">
      <w:lvlJc w:val="left"/>
      <w:lvlText w:val="•"/>
      <w:numFmt w:val="bullet"/>
      <w:start w:val="1"/>
    </w:lvl>
  </w:abstractNum>
  <w:abstractNum w:abstractNumId="21">
    <w:nsid w:val="75C6C33A"/>
    <w:multiLevelType w:val="hybridMultilevel"/>
    <w:lvl w:ilvl="0">
      <w:lvlJc w:val="left"/>
      <w:lvlText w:val="•"/>
      <w:numFmt w:val="bullet"/>
      <w:start w:val="1"/>
    </w:lvl>
  </w:abstractNum>
  <w:abstractNum w:abstractNumId="22">
    <w:nsid w:val="12E685FB"/>
    <w:multiLevelType w:val="hybridMultilevel"/>
    <w:lvl w:ilvl="0">
      <w:lvlJc w:val="left"/>
      <w:lvlText w:val="•"/>
      <w:numFmt w:val="bullet"/>
      <w:start w:val="1"/>
    </w:lvl>
  </w:abstractNum>
  <w:abstractNum w:abstractNumId="23">
    <w:nsid w:val="70C6A529"/>
    <w:multiLevelType w:val="hybridMultilevel"/>
    <w:lvl w:ilvl="0">
      <w:lvlJc w:val="left"/>
      <w:lvlText w:val="•"/>
      <w:numFmt w:val="bullet"/>
      <w:start w:val="1"/>
    </w:lvl>
  </w:abstractNum>
  <w:abstractNum w:abstractNumId="24">
    <w:nsid w:val="520EEDD1"/>
    <w:multiLevelType w:val="hybridMultilevel"/>
    <w:lvl w:ilvl="0">
      <w:lvlJc w:val="left"/>
      <w:lvlText w:val="•"/>
      <w:numFmt w:val="bullet"/>
      <w:start w:val="1"/>
    </w:lvl>
  </w:abstractNum>
  <w:abstractNum w:abstractNumId="25">
    <w:nsid w:val="374A3FE6"/>
    <w:multiLevelType w:val="hybridMultilevel"/>
    <w:lvl w:ilvl="0">
      <w:lvlJc w:val="left"/>
      <w:lvlText w:val="•"/>
      <w:numFmt w:val="bullet"/>
      <w:start w:val="1"/>
    </w:lvl>
  </w:abstractNum>
  <w:abstractNum w:abstractNumId="26">
    <w:nsid w:val="4F4EF005"/>
    <w:multiLevelType w:val="hybridMultilevel"/>
    <w:lvl w:ilvl="0">
      <w:lvlJc w:val="left"/>
      <w:lvlText w:val="•"/>
      <w:numFmt w:val="bullet"/>
      <w:start w:val="1"/>
    </w:lvl>
  </w:abstractNum>
  <w:abstractNum w:abstractNumId="27">
    <w:nsid w:val="23F9C13C"/>
    <w:multiLevelType w:val="hybridMultilevel"/>
    <w:lvl w:ilvl="0">
      <w:lvlJc w:val="left"/>
      <w:lvlText w:val="•"/>
      <w:numFmt w:val="bullet"/>
      <w:start w:val="1"/>
    </w:lvl>
  </w:abstractNum>
  <w:abstractNum w:abstractNumId="28">
    <w:nsid w:val="649BB77C"/>
    <w:multiLevelType w:val="hybridMultilevel"/>
    <w:lvl w:ilvl="0">
      <w:lvlJc w:val="left"/>
      <w:lvlText w:val="•"/>
      <w:numFmt w:val="bullet"/>
      <w:start w:val="1"/>
    </w:lvl>
  </w:abstractNum>
  <w:abstractNum w:abstractNumId="29">
    <w:nsid w:val="275AC794"/>
    <w:multiLevelType w:val="hybridMultilevel"/>
    <w:lvl w:ilvl="0">
      <w:lvlJc w:val="left"/>
      <w:lvlText w:val="•"/>
      <w:numFmt w:val="bullet"/>
      <w:start w:val="1"/>
    </w:lvl>
  </w:abstractNum>
  <w:abstractNum w:abstractNumId="30">
    <w:nsid w:val="39386575"/>
    <w:multiLevelType w:val="hybridMultilevel"/>
    <w:lvl w:ilvl="0">
      <w:lvlJc w:val="left"/>
      <w:lvlText w:val="•"/>
      <w:numFmt w:val="bullet"/>
      <w:start w:val="1"/>
    </w:lvl>
  </w:abstractNum>
  <w:abstractNum w:abstractNumId="31">
    <w:nsid w:val="1CF10FD8"/>
    <w:multiLevelType w:val="hybridMultilevel"/>
    <w:lvl w:ilvl="0">
      <w:lvlJc w:val="left"/>
      <w:lvlText w:val="•"/>
      <w:numFmt w:val="bullet"/>
      <w:start w:val="1"/>
    </w:lvl>
  </w:abstractNum>
  <w:abstractNum w:abstractNumId="32">
    <w:nsid w:val="180115BE"/>
    <w:multiLevelType w:val="hybridMultilevel"/>
    <w:lvl w:ilvl="0">
      <w:lvlJc w:val="left"/>
      <w:lvlText w:val="•"/>
      <w:numFmt w:val="bullet"/>
      <w:start w:val="1"/>
    </w:lvl>
  </w:abstractNum>
  <w:abstractNum w:abstractNumId="33">
    <w:nsid w:val="235BA861"/>
    <w:multiLevelType w:val="hybridMultilevel"/>
    <w:lvl w:ilvl="0">
      <w:lvlJc w:val="left"/>
      <w:lvlText w:val="•"/>
      <w:numFmt w:val="bullet"/>
      <w:start w:val="1"/>
    </w:lvl>
  </w:abstractNum>
  <w:abstractNum w:abstractNumId="34">
    <w:nsid w:val="47398C89"/>
    <w:multiLevelType w:val="hybridMultilevel"/>
    <w:lvl w:ilvl="0">
      <w:lvlJc w:val="left"/>
      <w:lvlText w:val="(%1)"/>
      <w:numFmt w:val="lowerLetter"/>
      <w:start w:val="1"/>
    </w:lvl>
  </w:abstractNum>
  <w:abstractNum w:abstractNumId="35">
    <w:nsid w:val="354FE9F9"/>
    <w:multiLevelType w:val="hybridMultilevel"/>
    <w:lvl w:ilvl="0">
      <w:lvlJc w:val="left"/>
      <w:lvlText w:val="(%1)"/>
      <w:numFmt w:val="lowerRoman"/>
      <w:start w:val="1"/>
    </w:lvl>
  </w:abstractNum>
  <w:abstractNum w:abstractNumId="36">
    <w:nsid w:val="15B5AF5C"/>
    <w:multiLevelType w:val="hybridMultilevel"/>
    <w:lvl w:ilvl="0">
      <w:lvlJc w:val="left"/>
      <w:lvlText w:val="(%1)"/>
      <w:numFmt w:val="lowerRoman"/>
      <w:start w:val="8"/>
    </w:lvl>
  </w:abstractNum>
  <w:abstractNum w:abstractNumId="37">
    <w:nsid w:val="741226BB"/>
    <w:multiLevelType w:val="hybridMultilevel"/>
    <w:lvl w:ilvl="0">
      <w:lvlJc w:val="left"/>
      <w:lvlText w:val="%1"/>
      <w:numFmt w:val="decimal"/>
      <w:start w:val="1"/>
    </w:lvl>
  </w:abstractNum>
  <w:abstractNum w:abstractNumId="38">
    <w:nsid w:val="D34B6A8"/>
    <w:multiLevelType w:val="hybridMultilevel"/>
    <w:lvl w:ilvl="0">
      <w:lvlJc w:val="left"/>
      <w:lvlText w:val="-"/>
      <w:numFmt w:val="bullet"/>
      <w:start w:val="1"/>
    </w:lvl>
  </w:abstractNum>
  <w:abstractNum w:abstractNumId="39">
    <w:nsid w:val="10233C99"/>
    <w:multiLevelType w:val="hybridMultilevel"/>
    <w:lvl w:ilvl="0">
      <w:lvlJc w:val="left"/>
      <w:lvlText w:val="•"/>
      <w:numFmt w:val="bullet"/>
      <w:start w:val="1"/>
    </w:lvl>
  </w:abstractNum>
  <w:abstractNum w:abstractNumId="40">
    <w:nsid w:val="3F6AB60F"/>
    <w:multiLevelType w:val="hybridMultilevel"/>
    <w:lvl w:ilvl="0">
      <w:lvlJc w:val="left"/>
      <w:lvlText w:val="(%1)"/>
      <w:numFmt w:val="decimal"/>
      <w:start w:val="1"/>
    </w:lvl>
  </w:abstractNum>
  <w:abstractNum w:abstractNumId="41">
    <w:nsid w:val="61574095"/>
    <w:multiLevelType w:val="hybridMultilevel"/>
    <w:lvl w:ilvl="0">
      <w:lvlJc w:val="left"/>
      <w:lvlText w:val="•"/>
      <w:numFmt w:val="bullet"/>
      <w:start w:val="1"/>
    </w:lvl>
  </w:abstractNum>
  <w:abstractNum w:abstractNumId="42">
    <w:nsid w:val="7E0C57B1"/>
    <w:multiLevelType w:val="hybridMultilevel"/>
    <w:lvl w:ilvl="0">
      <w:lvlJc w:val="left"/>
      <w:lvlText w:val="•"/>
      <w:numFmt w:val="bullet"/>
      <w:start w:val="1"/>
    </w:lvl>
  </w:abstractNum>
  <w:abstractNum w:abstractNumId="43">
    <w:nsid w:val="77AE35EB"/>
    <w:multiLevelType w:val="hybridMultilevel"/>
    <w:lvl w:ilvl="0">
      <w:lvlJc w:val="left"/>
      <w:lvlText w:val="•"/>
      <w:numFmt w:val="bullet"/>
      <w:start w:val="1"/>
    </w:lvl>
  </w:abstractNum>
  <w:abstractNum w:abstractNumId="44">
    <w:nsid w:val="579BE4F1"/>
    <w:multiLevelType w:val="hybridMultilevel"/>
    <w:lvl w:ilvl="0">
      <w:lvlJc w:val="left"/>
      <w:lvlText w:val="•"/>
      <w:numFmt w:val="bullet"/>
      <w:start w:val="1"/>
    </w:lvl>
  </w:abstractNum>
  <w:abstractNum w:abstractNumId="45">
    <w:nsid w:val="310C50B3"/>
    <w:multiLevelType w:val="hybridMultilevel"/>
    <w:lvl w:ilvl="0">
      <w:lvlJc w:val="left"/>
      <w:lvlText w:val="•"/>
      <w:numFmt w:val="bullet"/>
      <w:start w:val="1"/>
    </w:lvl>
  </w:abstractNum>
  <w:abstractNum w:abstractNumId="46">
    <w:nsid w:val="5FF87E05"/>
    <w:multiLevelType w:val="hybridMultilevel"/>
    <w:lvl w:ilvl="0">
      <w:lvlJc w:val="left"/>
      <w:lvlText w:val="•"/>
      <w:numFmt w:val="bullet"/>
      <w:start w:val="1"/>
    </w:lvl>
  </w:abstractNum>
  <w:abstractNum w:abstractNumId="47">
    <w:nsid w:val="2F305DEF"/>
    <w:multiLevelType w:val="hybridMultilevel"/>
    <w:lvl w:ilvl="0">
      <w:lvlJc w:val="left"/>
      <w:lvlText w:val="•"/>
      <w:numFmt w:val="bullet"/>
      <w:start w:val="1"/>
    </w:lvl>
  </w:abstractNum>
  <w:abstractNum w:abstractNumId="48">
    <w:nsid w:val="25A70BF7"/>
    <w:multiLevelType w:val="hybridMultilevel"/>
    <w:lvl w:ilvl="0">
      <w:lvlJc w:val="left"/>
      <w:lvlText w:val="(%1)"/>
      <w:numFmt w:val="lowerRoman"/>
      <w:start w:val="2"/>
    </w:lvl>
  </w:abstractNum>
  <w:abstractNum w:abstractNumId="49">
    <w:nsid w:val="1DBABF00"/>
    <w:multiLevelType w:val="hybridMultilevel"/>
    <w:lvl w:ilvl="0">
      <w:lvlJc w:val="left"/>
      <w:lvlText w:val="(%1)"/>
      <w:numFmt w:val="decimal"/>
      <w:start w:val="1"/>
    </w:lvl>
  </w:abstractNum>
  <w:abstractNum w:abstractNumId="50">
    <w:nsid w:val="4AD084E9"/>
    <w:multiLevelType w:val="hybridMultilevel"/>
    <w:lvl w:ilvl="0">
      <w:lvlJc w:val="left"/>
      <w:lvlText w:val="(%1)"/>
      <w:numFmt w:val="decimal"/>
      <w:start w:val="1"/>
    </w:lvl>
  </w:abstractNum>
  <w:abstractNum w:abstractNumId="51">
    <w:nsid w:val="1F48EAA1"/>
    <w:multiLevelType w:val="hybridMultilevel"/>
    <w:lvl w:ilvl="0">
      <w:lvlJc w:val="left"/>
      <w:lvlText w:val="(%1)"/>
      <w:numFmt w:val="decimal"/>
      <w:start w:val="1"/>
    </w:lvl>
  </w:abstractNum>
  <w:abstractNum w:abstractNumId="52">
    <w:nsid w:val="1381823A"/>
    <w:multiLevelType w:val="hybridMultilevel"/>
    <w:lvl w:ilvl="0">
      <w:lvlJc w:val="left"/>
      <w:lvlText w:val="(%1)"/>
      <w:numFmt w:val="decimal"/>
      <w:start w:val="4"/>
    </w:lvl>
  </w:abstractNum>
  <w:abstractNum w:abstractNumId="53">
    <w:nsid w:val="5DB70AE5"/>
    <w:multiLevelType w:val="hybridMultilevel"/>
    <w:lvl w:ilvl="0">
      <w:lvlJc w:val="left"/>
      <w:lvlText w:val="(%1)"/>
      <w:numFmt w:val="decimal"/>
      <w:start w:val="1"/>
    </w:lvl>
  </w:abstractNum>
  <w:abstractNum w:abstractNumId="54">
    <w:nsid w:val="100F8FCA"/>
    <w:multiLevelType w:val="hybridMultilevel"/>
    <w:lvl w:ilvl="0">
      <w:lvlJc w:val="left"/>
      <w:lvlText w:val="(%1)"/>
      <w:numFmt w:val="decimal"/>
      <w:start w:val="1"/>
    </w:lvl>
  </w:abstractNum>
  <w:abstractNum w:abstractNumId="55">
    <w:nsid w:val="6590700B"/>
    <w:multiLevelType w:val="hybridMultilevel"/>
    <w:lvl w:ilvl="0">
      <w:lvlJc w:val="left"/>
      <w:lvlText w:val="(%1)"/>
      <w:numFmt w:val="decimal"/>
      <w:start w:val="1"/>
    </w:lvl>
  </w:abstractNum>
  <w:abstractNum w:abstractNumId="56">
    <w:nsid w:val="15014ACB"/>
    <w:multiLevelType w:val="hybridMultilevel"/>
    <w:lvl w:ilvl="0">
      <w:lvlJc w:val="left"/>
      <w:lvlText w:val="(%1)"/>
      <w:numFmt w:val="decimal"/>
      <w:start w:val="1"/>
    </w:lvl>
  </w:abstractNum>
  <w:abstractNum w:abstractNumId="57">
    <w:nsid w:val="5F5E7FD0"/>
    <w:multiLevelType w:val="hybridMultilevel"/>
    <w:lvl w:ilvl="0">
      <w:lvlJc w:val="left"/>
      <w:lvlText w:val="(%1)"/>
      <w:numFmt w:val="decimal"/>
      <w:start w:val="1"/>
    </w:lvl>
  </w:abstractNum>
  <w:abstractNum w:abstractNumId="58">
    <w:nsid w:val="98A3148"/>
    <w:multiLevelType w:val="hybridMultilevel"/>
    <w:lvl w:ilvl="0">
      <w:lvlJc w:val="left"/>
      <w:lvlText w:val="•"/>
      <w:numFmt w:val="bullet"/>
      <w:start w:val="1"/>
    </w:lvl>
  </w:abstractNum>
  <w:abstractNum w:abstractNumId="59">
    <w:nsid w:val="799D0247"/>
    <w:multiLevelType w:val="hybridMultilevel"/>
    <w:lvl w:ilvl="0">
      <w:lvlJc w:val="left"/>
      <w:lvlText w:val="•"/>
      <w:numFmt w:val="bullet"/>
      <w:start w:val="1"/>
    </w:lvl>
  </w:abstractNum>
  <w:abstractNum w:abstractNumId="60">
    <w:nsid w:val="6B94764"/>
    <w:multiLevelType w:val="hybridMultilevel"/>
    <w:lvl w:ilvl="0">
      <w:lvlJc w:val="left"/>
      <w:lvlText w:val="•"/>
      <w:numFmt w:val="bullet"/>
      <w:start w:val="1"/>
    </w:lvl>
  </w:abstractNum>
  <w:abstractNum w:abstractNumId="61">
    <w:nsid w:val="42C296BD"/>
    <w:multiLevelType w:val="hybridMultilevel"/>
    <w:lvl w:ilvl="0">
      <w:lvlJc w:val="left"/>
      <w:lvlText w:val="•"/>
      <w:numFmt w:val="bullet"/>
      <w:start w:val="1"/>
    </w:lvl>
  </w:abstractNum>
  <w:abstractNum w:abstractNumId="62">
    <w:nsid w:val="168E121F"/>
    <w:multiLevelType w:val="hybridMultilevel"/>
    <w:lvl w:ilvl="0">
      <w:lvlJc w:val="left"/>
      <w:lvlText w:val="•"/>
      <w:numFmt w:val="bullet"/>
      <w:start w:val="1"/>
    </w:lvl>
  </w:abstractNum>
  <w:abstractNum w:abstractNumId="63">
    <w:nsid w:val="1EBA5D23"/>
    <w:multiLevelType w:val="hybridMultilevel"/>
    <w:lvl w:ilvl="0">
      <w:lvlJc w:val="left"/>
      <w:lvlText w:val="•"/>
      <w:numFmt w:val="bullet"/>
      <w:start w:val="1"/>
    </w:lvl>
  </w:abstractNum>
  <w:abstractNum w:abstractNumId="64">
    <w:nsid w:val="661E3F1E"/>
    <w:multiLevelType w:val="hybridMultilevel"/>
    <w:lvl w:ilvl="0">
      <w:lvlJc w:val="left"/>
      <w:lvlText w:val="•"/>
      <w:numFmt w:val="bullet"/>
      <w:start w:val="1"/>
    </w:lvl>
  </w:abstractNum>
  <w:abstractNum w:abstractNumId="65">
    <w:nsid w:val="5DC79EA8"/>
    <w:multiLevelType w:val="hybridMultilevel"/>
    <w:lvl w:ilvl="0">
      <w:lvlJc w:val="left"/>
      <w:lvlText w:val="•"/>
      <w:numFmt w:val="bullet"/>
      <w:start w:val="1"/>
    </w:lvl>
  </w:abstractNum>
  <w:abstractNum w:abstractNumId="66">
    <w:nsid w:val="540A471C"/>
    <w:multiLevelType w:val="hybridMultilevel"/>
    <w:lvl w:ilvl="0">
      <w:lvlJc w:val="left"/>
      <w:lvlText w:val="•"/>
      <w:numFmt w:val="bullet"/>
      <w:start w:val="1"/>
    </w:lvl>
  </w:abstractNum>
  <w:abstractNum w:abstractNumId="67">
    <w:nsid w:val="7BD3EE7B"/>
    <w:multiLevelType w:val="hybridMultilevel"/>
    <w:lvl w:ilvl="0">
      <w:lvlJc w:val="left"/>
      <w:lvlText w:val="(%1)"/>
      <w:numFmt w:val="decimal"/>
      <w:start w:val="1"/>
    </w:lvl>
  </w:abstractNum>
  <w:abstractNum w:abstractNumId="68">
    <w:nsid w:val="51D9C564"/>
    <w:multiLevelType w:val="hybridMultilevel"/>
    <w:lvl w:ilvl="0">
      <w:lvlJc w:val="left"/>
      <w:lvlText w:val="(%1)"/>
      <w:numFmt w:val="lowerRoman"/>
      <w:start w:val="1"/>
    </w:lvl>
  </w:abstractNum>
  <w:abstractNum w:abstractNumId="69">
    <w:nsid w:val="613EFDC5"/>
    <w:multiLevelType w:val="hybridMultilevel"/>
    <w:lvl w:ilvl="0">
      <w:lvlJc w:val="left"/>
      <w:lvlText w:val="(%1)"/>
      <w:numFmt w:val="decimal"/>
      <w:start w:val="1"/>
    </w:lvl>
  </w:abstractNum>
  <w:abstractNum w:abstractNumId="70">
    <w:nsid w:val="BF72B14"/>
    <w:multiLevelType w:val="hybridMultilevel"/>
    <w:lvl w:ilvl="0">
      <w:lvlJc w:val="left"/>
      <w:lvlText w:val="(%1)"/>
      <w:numFmt w:val="decimal"/>
      <w:start w:val="1"/>
    </w:lvl>
  </w:abstractNum>
  <w:abstractNum w:abstractNumId="71">
    <w:nsid w:val="11447B73"/>
    <w:multiLevelType w:val="hybridMultilevel"/>
    <w:lvl w:ilvl="0">
      <w:lvlJc w:val="left"/>
      <w:lvlText w:val="(%1)"/>
      <w:numFmt w:val="decimal"/>
      <w:start w:val="1"/>
    </w:lvl>
    <w:lvl w:ilvl="1">
      <w:lvlJc w:val="left"/>
      <w:lvlText w:val="(%2)"/>
      <w:numFmt w:val="decimal"/>
      <w:start w:val="2"/>
    </w:lvl>
  </w:abstractNum>
  <w:abstractNum w:abstractNumId="72">
    <w:nsid w:val="42963E5A"/>
    <w:multiLevelType w:val="hybridMultilevel"/>
    <w:lvl w:ilvl="0">
      <w:lvlJc w:val="left"/>
      <w:lvlText w:val="(%1)"/>
      <w:numFmt w:val="decimal"/>
      <w:start w:val="3"/>
    </w:lvl>
  </w:abstractNum>
  <w:abstractNum w:abstractNumId="73">
    <w:nsid w:val="A0382C5"/>
    <w:multiLevelType w:val="hybridMultilevel"/>
    <w:lvl w:ilvl="0">
      <w:lvlJc w:val="left"/>
      <w:lvlText w:val="*"/>
      <w:numFmt w:val="bullet"/>
      <w:start w:val="1"/>
    </w:lvl>
  </w:abstractNum>
  <w:abstractNum w:abstractNumId="74">
    <w:nsid w:val="8F2B15E"/>
    <w:multiLevelType w:val="hybridMultilevel"/>
    <w:lvl w:ilvl="0">
      <w:lvlJc w:val="left"/>
      <w:lvlText w:val="(%1)"/>
      <w:numFmt w:val="decimal"/>
      <w:start w:val="1"/>
    </w:lvl>
  </w:abstractNum>
  <w:abstractNum w:abstractNumId="75">
    <w:nsid w:val="1A32234B"/>
    <w:multiLevelType w:val="hybridMultilevel"/>
    <w:lvl w:ilvl="0">
      <w:lvlJc w:val="left"/>
      <w:lvlText w:val="(%1)"/>
      <w:numFmt w:val="decimal"/>
      <w:start w:val="6"/>
    </w:lvl>
  </w:abstractNum>
  <w:abstractNum w:abstractNumId="76">
    <w:nsid w:val="3B0FD379"/>
    <w:multiLevelType w:val="hybridMultilevel"/>
    <w:lvl w:ilvl="0">
      <w:lvlJc w:val="left"/>
      <w:lvlText w:val="(%1)"/>
      <w:numFmt w:val="decimal"/>
      <w:start w:val="1"/>
    </w:lvl>
  </w:abstractNum>
  <w:abstractNum w:abstractNumId="77">
    <w:nsid w:val="68EB2F63"/>
    <w:multiLevelType w:val="hybridMultilevel"/>
    <w:lvl w:ilvl="0">
      <w:lvlJc w:val="left"/>
      <w:lvlText w:val="%1."/>
      <w:numFmt w:val="decimal"/>
      <w:start w:val="1"/>
    </w:lvl>
  </w:abstractNum>
  <w:abstractNum w:abstractNumId="78">
    <w:nsid w:val="4962813B"/>
    <w:multiLevelType w:val="hybridMultilevel"/>
    <w:lvl w:ilvl="0">
      <w:lvlJc w:val="left"/>
      <w:lvlText w:val="%1."/>
      <w:numFmt w:val="decimal"/>
      <w:start w:val="2"/>
    </w:lvl>
  </w:abstractNum>
  <w:abstractNum w:abstractNumId="79">
    <w:nsid w:val="60B6DF70"/>
    <w:multiLevelType w:val="hybridMultilevel"/>
    <w:lvl w:ilvl="0">
      <w:lvlJc w:val="left"/>
      <w:lvlText w:val="%1."/>
      <w:numFmt w:val="decimal"/>
      <w:start w:val="3"/>
    </w:lvl>
  </w:abstractNum>
  <w:abstractNum w:abstractNumId="80">
    <w:nsid w:val="6A5EE64"/>
    <w:multiLevelType w:val="hybridMultilevel"/>
    <w:lvl w:ilvl="0">
      <w:lvlJc w:val="left"/>
      <w:lvlText w:val="%1"/>
      <w:numFmt w:val="decimal"/>
      <w:start w:val="104"/>
    </w:lvl>
  </w:abstractNum>
  <w:abstractNum w:abstractNumId="81">
    <w:nsid w:val="1433062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jpe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jpe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jpe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jpe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jpe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2026-05-14T06:35:00Z</dcterms:created>
  <dcterms:modified xsi:type="dcterms:W3CDTF">2026-05-14T06:35:00Z</dcterms:modified>
</cp:coreProperties>
</file>